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Хоменко А. 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ООО «Инновации и цифровое развитие» 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hyperlink r:id="rId7" w:history="1">
        <w:r w:rsidRPr="005B2194">
          <w:rPr>
            <w:rStyle w:val="a5"/>
            <w:rFonts w:ascii="Times New Roman" w:eastAsia="MS Mincho" w:hAnsi="Times New Roman" w:cs="Times New Roman"/>
            <w:color w:val="auto"/>
            <w:sz w:val="24"/>
            <w:szCs w:val="24"/>
            <w:u w:val="none"/>
            <w:lang w:eastAsia="ja-JP"/>
          </w:rPr>
          <w:t>aleshahom@mail.ru</w:t>
        </w:r>
      </w:hyperlink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:rsidR="00DF46B3" w:rsidRPr="005B2194" w:rsidRDefault="00A81DCC" w:rsidP="00A81DCC">
      <w:pPr>
        <w:widowControl w:val="0"/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ВЛИЯНИЕ ЦБ РОССИИ НА ЦИФРОВУЮ МОДЕРНИЗАЦИЮ В ФИНАНСОВОЙ СФЕРЕ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F46B3" w:rsidRPr="005B2194" w:rsidRDefault="00DF46B3" w:rsidP="00DF46B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Ключевые слова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Pr="005B2194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Банк России, цифровая трансформация, Система быстрых платежей (СБП), таксономия XBRL, цифровой рубль, машиночитаемое регулирование, финансовая инфраструктура.</w:t>
      </w:r>
    </w:p>
    <w:p w:rsidR="00DF46B3" w:rsidRPr="005B2194" w:rsidRDefault="00DF46B3" w:rsidP="00DF46B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Цифровизация России постоянно наращивает обороты. На сегодняшний день из всех сфер экономики наиболее технологичной является финансовая сфера. Большую роль в этом сыграл Центральный банк России. Он неоднократно подчеркивал, что цифровизаци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я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финансовой сферы является одним из его основных приоритетов, так как это позволит существенно упрощать и удешевлять транзакции. ЦБ РФ реализует комплексную стратегию, предусматривающую создание цифровой платежной инфраструктуры для банковского сектора, системы контроля для рынка ценных бумаг и др.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Однако влияние регулятора выходит далеко за рамки запуска отдельных сервисов. Банк России последовательно выстраивает целостную архитектуру цифровой финансовой экосистемы, где каждый новый проект логически и технологически базируется на предыдущих. Два ключевых элемента этой архитектуры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Система быстрых платежей (СБП) и стандарт цифровой отчетности XBRL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не только произвели революцию в своих областях, но и создали необходимый фундамент для следующего эволюционного скачка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внедрения цифрового рубля. Цель нашей работы проанализировать роль ЦБ как системного интегратора, формирующего новую инфраструктуру национального финансового рынка.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СБП как фундамент платежей нового поколения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Банк России выступил ключевым архитектором, регулятором и оператором Системы быстрых платежей, создав её как национальную инфраструктуру для мгновенных переводов. В 2018 г. ЦБ не просто инициировал проект, но и обязал крупные банки к подключению, установив единые технические стандарты и обеспечив работу системы через свою платформу. Это позволило преодолеть фрагментацию рынка и гарантировать всеобщую доступность сервиса.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Технологически СБП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это надстройка над банковской инфраструктурой,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в которой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основным платёжным идентификатором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является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номер мобильного телефона, привязанный к банковскому счёту. Когда отправитель инициирует перевод, система в реальном времени находит счёт получателя в базе данных и обеспечивает мгновенный расчёт между банками-участниками. Весь процесс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от ввода данных до зачисления средств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занимает несколько секунд и работает в режиме 24/7. Система быстро эволюционировала от простых P2P-переводов до многофункциональной платформы. Помимо расчётов между физическими лицами, СБП поддерживает оплату товаров и услуг по QR-коду (C2B), выплаты бизнеса гражданам (B2C), а также оплату налогов и штрафов (C2G).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Для стимулирования спроса ЦБ установил льготные тарифы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для граждан переводы до 100 тыс. рублей в месяц бесплатны, а для бизнеса комиссия за приём платежей (0.4-0.7%) значительно ниже традиционного эквайринга. Ключевые параметры СБП включают лимиты и безопасность. Максимальная сумма одной операции составляет 1 млн рублей. Операции защищены банковскими стандартами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для подтверждения перевода требуется двухфакторная аутентификация в мобильном приложении, что минимизирует риски мошенничества при оплате по QR-коду или переводах по номеру телефона.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Социально-экономический эффект системы оказался значительным. СБП стала массовым сервисом: к концу 2025 года ею пользовались около 30 млн человек. Система обеспечила переводы на сумму более 25.6 трлн рублей, снизив зависимость от наличных денег и международных платёжных систем. Для бизнеса она открыла возможность быстрых и дешёвых расчётов с клиентами, а для граждан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мгновенные переводы между любыми банками. Однако главная роль СБП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создание готовой, массовой и технологически отлаженной экосистемы мгновенных платежей.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Эта экосистема стала идеальной средой для тестирования и последующего внедрения более сложного инструмента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цифрового рубля, унаследовавшего от СБП принципы мгновенных расчетов и простоты использования для конечного клиента.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Таксономия XBRL как фундамент для контроля и прозрачности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Другим важным примером стимулирования цифровизации является таксономия XBRL. Это создание единого цифрового языка для всего финансового сектора. Каждый показатель в отчёте банка или страховой компании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активы, кредитный портфель или расходы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получает чёткое, машиночитаемое «имя» и правила, по которым с ним можно работать. Это и есть таксономия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структурированный словарь,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который превращает разрозненные документы в поток стандартизированных данных.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Архитектура таксономии продумана до мелочей и сочетает два подхода. С одной стороны, для привычной бухгалтерской отчётности используется «формоцентричная» модель, удобная для интеграции с международными стандартами. С другой стороны, для надзорной работы ЦБ применяет более продвинутую, «датацентричную» модель. Данные в ней организованы не в плоские таблицы, а в многомерные структуры (гиперкубы), что позволяет регулятору проводить глубокий анализ, «нарезая» информацию по разным параметрам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валюте, срокам, типам рисков и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др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этом заключается техническая элегантность XBRL. Данные (факты в экземпляре) полностью отделены от их представления (формы отчёта). Один и тот же экземпляр отчёта можно использовать разными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способами: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1. Пропустить через стилевой файл (XSLT-преобразование) и автоматически получить красивый PDF-документ в форме, привычной для человеческого глаза, для печати или архива.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2. Напрямую загрузить в аналитическую базу данных регулятора, где он сразу станет частью огромного массива для кросс-секторального анализа, построения графиков и выявления аномалий.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3. Опубликовать на корпоративном сайте в виде интерактивной HTML-таблицы.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4. Использовать внутри компании для сравнительного управленческого учёта.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Многие финансовые организации начали использовать структуру таксономии и для своего внутреннего управленческого учёта. В итоге для всего рынка формируется единое, прозрачное и структурированное информационное поле. По сути, таксономия XBRL создала технологический фундамент для будущих цифровых преобразований. Она является необходимым условием для внедрения сквозной аналитики и машинного обучения в риск-менеджмент.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Но, как и в случае с СБП, значение XBRL оказалось шире. Стандартизировав язык данных, Банк России заложил основу для «машиночитаемого регулирования», когда правила контроля встраиваются непосредственно в цифровую среду. Это стало критически важным для цифрового рубля. Операции с ним представляют собой новый тип данных в финансовой системе. Таксономия XBRL предоставила регулятору готовый инструмент для того, чтобы автоматически включать цифровые рубли в отчетность, отслеживать их движение и обеспечивать соответствие операций законодательству, минимизируя возможности для злоупотреблений.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Синтез технологий как путь к цифровому рублю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Роль Банка России как стратегического архитектора в полной мере проявилась и при разработке концепции цифрового рубля. Цифровой рубль (ЦР) </w:t>
      </w:r>
      <w:r w:rsidR="00A81DCC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это не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изолированная инновация, а логический синтез компетенций и инфраструктуры, созданных в рамках СБП и XBRL. От СБП цифровой рубль унаследовал принцип работы в режиме 24/7, ориентацию на мгновенные расчеты и использование простых идентификаторов (номер телефона, СНИЛС). Платформа ЦР, как и СБП, является инфраструктурой Банка России, что гарантирует ее надежность и всеобщую доступность.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 таксономии XBRL цифровой рубль получил не менее важное свойство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беспрецедентный уровень программируемости и прозрачности. Каждая единица ЦР по сути является «смарт-контрактом», цифровым токеном, который может нести в себе дополнительную информацию и правила использования (например, целевые бюджетные средства, которые можно потратить только на определенные нужды). Именно стандарты данных, подобные XBRL, позволяют описывать, учитывать и контролировать эти сложные логические цепочки в автоматическом режиме.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Таким образом, если СБП подготовила пользовательский опыт и платежную экосистему, то XBRL подготовила регуляторную и учетную среду для принципиально нового финансового актива.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Влияние новых технологий на финансовые организации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Активная архитектурная роль ЦБ кардинально меняет ландшафт для традиционных финансовых организаций. С одной стороны, они получают мощные инфраструктурные возможности (СБП) и стандарты (XBRL), снижающие их операционные издержки. С другой стороны, с приходом цифрового рубля они сталкиваются с усилением конкуренции со стороны небанковских игроков (финтех-компаний, агрегаторов) и с перспективой фундаментального изменения своей монополии на расчетно-платежные услуги.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Это заставляет банки и страховые компании ускоренно трансформироваться, инвестируя в собственную цифровую инфраструктуру, развивая открытые API и строя экосистемы услуг вокруг своего клиента. Для них таксономия XBRL становится не только обязательным требованием регулятора, но и внутренним стандартом данных, а СБП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ключевым каналом взаимодействия с клиентом.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Однако цифровая модернизация порождает и новые вызовы. Главными из них являются следующие.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1. Кибербезопасность. Унификация и централизация инфраструктуры создают единые точки уязвимости, что требует от ЦБ и участников рынка беспрецедентных инвестиций в защиту данных и транзакций.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 Цифровое неравенство. Необходимо обеспечить доступность новых сервисов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для всех слоев населения и регионов, включая малый бизнес и граждан с низкой цифровой грамотностью.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3. Адаптация регулирования. Темпы технологических изменений опережают скорость изменения законодательства. Банк России активно использует такие инструменты, как «регуляторные песочницы», чтобы тестировать инновации в контролируемой среде, не нарушая текущих норм.</w:t>
      </w:r>
    </w:p>
    <w:p w:rsidR="00DF46B3" w:rsidRPr="005B2194" w:rsidRDefault="005B2194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Выводы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Влияние Банка России на цифровую модернизацию финансовой сферы носит глубинный и архитектурный характер. Через реализацию таких проектов, как Система быстрых платежей и таксономия XBRL, регулятор последовательно создавал технологические, инфраструктурные и регуляторные блоки новой финансовой системы. Эти проекты доказали свою эффективность независимо друг от друга: СБП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области массовых платежей, XBRL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в области контроля и аналитики.</w:t>
      </w:r>
    </w:p>
    <w:p w:rsidR="00DF46B3" w:rsidRPr="005B2194" w:rsidRDefault="00DF46B3" w:rsidP="00DF46B3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Однако их совокупный стратегический эффект проявился в том, что они сформировали необходимый и достаточный фундамент для следующего этапа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внедрения цифрового рубля. ЦР стал точкой конвергенции этих технологий, унаследовав скорость и доступность СБП и программируемость, прозрачность, заложенные в принципах XBRL. Таким образом, Банк России демонстрирует модель централизованного, но поэтапного построения суверенной цифровой финансовой экосистемы, в которой каждый новый элемент усиливает и развивает предыдущие. Эта стратегия позволяет минимизировать риски трансформации и обеспечивать устойчивость финансовой системы в условиях быстро меняющейся технологической реальности.</w:t>
      </w:r>
    </w:p>
    <w:p w:rsidR="005B2194" w:rsidRPr="005B2194" w:rsidRDefault="005B2194" w:rsidP="00DF46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6B3" w:rsidRPr="005B2194" w:rsidRDefault="00DF46B3" w:rsidP="00DF46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19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5B2194" w:rsidRPr="005B2194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Pr="005B21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Официальный сайт Банка России. Раздел «Национальная платежная система»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8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cbr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psystem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</w:hyperlink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Банк России. Основные направления развития финансовых технологий на период 2024–2026 годов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2023.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9" w:history="1"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cbr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Content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Document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File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/151292/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on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fintech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_2024-2026.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pdf</w:t>
        </w:r>
      </w:hyperlink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Банк России. Обзор финансового рынка. Специальный выпуск: «Розничные платежи и финансовые технологии»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2023.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10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cbr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Collection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Collection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File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/41010/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fs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_2023_01.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pdf</w:t>
        </w:r>
      </w:hyperlink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Банк России. Вестник </w:t>
      </w: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XBRL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 Вып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№ 1 (13).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–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2024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11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cbr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Content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Document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File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/158973/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xbrl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bulletin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_13.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pdf</w:t>
        </w:r>
      </w:hyperlink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Банк России. Концепция цифрового рубля. Отчет для общественных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консультаций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2023.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12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cbr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Content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Document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File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/130844/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consultation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paper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_20201013.</w:t>
        </w:r>
        <w:r w:rsidRPr="005B2194">
          <w:rPr>
            <w:rFonts w:ascii="Times New Roman" w:hAnsi="Times New Roman" w:cs="Times New Roman"/>
            <w:sz w:val="24"/>
            <w:szCs w:val="24"/>
            <w:lang w:val="pl-PL" w:eastAsia="ja-JP"/>
          </w:rPr>
          <w:t>pdf</w:t>
        </w:r>
      </w:hyperlink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Федеральный закон от 27.06.2011 № 161-ФЗ «О национальной платежной системе» (ред. от 24.03.2023)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13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http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consultant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document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cons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doc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LAW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_115625/</w:t>
        </w:r>
      </w:hyperlink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Аналитический центр при Правительстве Российской Федерации. Мониторинг цифровой экономики: 2023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Раздел «Финансовые технологии».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14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ac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gov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uploads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/2-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Publications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monitoring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_2023.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pdf</w:t>
        </w:r>
      </w:hyperlink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DF46B3" w:rsidRPr="005B2194" w:rsidRDefault="00DF46B3" w:rsidP="00DF46B3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Сколково (Центр исследований финансовых технологий и цифровой экономики). Ежегодный</w:t>
      </w: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отчет</w:t>
      </w: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«FinTech &amp; Digital Banking 2023/2024»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hyperlink r:id="rId15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https://finance.skolkovo.ru/downloads/fintech/</w:t>
        </w:r>
      </w:hyperlink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</w:p>
    <w:p w:rsidR="003C3AA8" w:rsidRPr="005B2194" w:rsidRDefault="00DF46B3" w:rsidP="005B2194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McKinsey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&amp; </w:t>
      </w:r>
      <w:r w:rsidRPr="005B219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Company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 Отчет «Цифровая Россия: Новая реальность»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2022. Раздел «Финансовые услуги». </w:t>
      </w:r>
      <w:r w:rsidR="005B2194"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Pr="005B219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16" w:tgtFrame="_blank" w:history="1"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https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://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www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mckinsey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.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com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ru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our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-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work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/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digital</w:t>
        </w:r>
        <w:r w:rsidRPr="005B2194">
          <w:rPr>
            <w:rFonts w:ascii="Times New Roman" w:hAnsi="Times New Roman" w:cs="Times New Roman"/>
            <w:sz w:val="24"/>
            <w:szCs w:val="24"/>
            <w:lang w:eastAsia="ja-JP"/>
          </w:rPr>
          <w:t>-</w:t>
        </w:r>
        <w:r w:rsidRPr="005B2194">
          <w:rPr>
            <w:rFonts w:ascii="Times New Roman" w:hAnsi="Times New Roman" w:cs="Times New Roman"/>
            <w:sz w:val="24"/>
            <w:szCs w:val="24"/>
            <w:lang w:val="en-US" w:eastAsia="ja-JP"/>
          </w:rPr>
          <w:t>russia</w:t>
        </w:r>
      </w:hyperlink>
    </w:p>
    <w:sectPr w:rsidR="003C3AA8" w:rsidRPr="005B2194" w:rsidSect="00A81DCC">
      <w:footerReference w:type="default" r:id="rId1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DCC" w:rsidRDefault="00A81DCC" w:rsidP="00A81DCC">
      <w:pPr>
        <w:spacing w:after="0" w:line="240" w:lineRule="auto"/>
      </w:pPr>
      <w:r>
        <w:separator/>
      </w:r>
    </w:p>
  </w:endnote>
  <w:endnote w:type="continuationSeparator" w:id="0">
    <w:p w:rsidR="00A81DCC" w:rsidRDefault="00A81DCC" w:rsidP="00A8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9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1DCC" w:rsidRPr="00A81DCC" w:rsidRDefault="00A81DCC" w:rsidP="00A81DC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1D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1D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1D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19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81D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DCC" w:rsidRDefault="00A81DCC" w:rsidP="00A81DCC">
      <w:pPr>
        <w:spacing w:after="0" w:line="240" w:lineRule="auto"/>
      </w:pPr>
      <w:r>
        <w:separator/>
      </w:r>
    </w:p>
  </w:footnote>
  <w:footnote w:type="continuationSeparator" w:id="0">
    <w:p w:rsidR="00A81DCC" w:rsidRDefault="00A81DCC" w:rsidP="00A8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515"/>
    <w:multiLevelType w:val="hybridMultilevel"/>
    <w:tmpl w:val="27F0A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1E0ADC"/>
    <w:multiLevelType w:val="hybridMultilevel"/>
    <w:tmpl w:val="7A0A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6B3"/>
    <w:rsid w:val="003C3AA8"/>
    <w:rsid w:val="005B2194"/>
    <w:rsid w:val="00A81DCC"/>
    <w:rsid w:val="00D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B3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46B3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0"/>
      <w:szCs w:val="20"/>
      <w:lang w:val="en-US" w:eastAsia="ja-JP"/>
    </w:rPr>
  </w:style>
  <w:style w:type="character" w:customStyle="1" w:styleId="a4">
    <w:name w:val="Текст сноски Знак"/>
    <w:basedOn w:val="a0"/>
    <w:link w:val="a3"/>
    <w:uiPriority w:val="99"/>
    <w:semiHidden/>
    <w:rsid w:val="00DF46B3"/>
    <w:rPr>
      <w:rFonts w:ascii="Century" w:eastAsia="MS Mincho" w:hAnsi="Century" w:cs="Times New Roman"/>
      <w:kern w:val="2"/>
      <w:sz w:val="20"/>
      <w:szCs w:val="20"/>
      <w:lang w:val="en-US" w:eastAsia="ja-JP"/>
    </w:rPr>
  </w:style>
  <w:style w:type="character" w:styleId="a5">
    <w:name w:val="Hyperlink"/>
    <w:basedOn w:val="a0"/>
    <w:uiPriority w:val="99"/>
    <w:unhideWhenUsed/>
    <w:rsid w:val="00DF46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6B3"/>
    <w:rPr>
      <w:kern w:val="2"/>
    </w:rPr>
  </w:style>
  <w:style w:type="paragraph" w:styleId="a8">
    <w:name w:val="footer"/>
    <w:basedOn w:val="a"/>
    <w:link w:val="a9"/>
    <w:uiPriority w:val="99"/>
    <w:unhideWhenUsed/>
    <w:rsid w:val="00DF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6B3"/>
    <w:rPr>
      <w:kern w:val="2"/>
    </w:rPr>
  </w:style>
  <w:style w:type="paragraph" w:styleId="aa">
    <w:name w:val="List Paragraph"/>
    <w:basedOn w:val="a"/>
    <w:uiPriority w:val="34"/>
    <w:qFormat/>
    <w:rsid w:val="00DF46B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F46B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46B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F46B3"/>
    <w:rPr>
      <w:kern w:val="2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46B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F46B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F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46B3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psystem/" TargetMode="External"/><Relationship Id="rId13" Type="http://schemas.openxmlformats.org/officeDocument/2006/relationships/hyperlink" Target="http://www.consultant.ru/document/cons_doc_LAW_11562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shahom@mail.ru" TargetMode="External"/><Relationship Id="rId12" Type="http://schemas.openxmlformats.org/officeDocument/2006/relationships/hyperlink" Target="https://www.cbr.ru/Content/Document/File/130844/consultation_paper_20201013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ckinsey.com/ru/our-work/digital-russ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r.ru/Content/Document/File/158973/xbrl_bulletin_1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nance.skolkovo.ru/downloads/fintech/" TargetMode="External"/><Relationship Id="rId10" Type="http://schemas.openxmlformats.org/officeDocument/2006/relationships/hyperlink" Target="https://www.cbr.ru/Collection/Collection/File/41010/fs_2023_0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br.ru/Content/Document/File/151292/on_fintech_2024-2026.pdf" TargetMode="External"/><Relationship Id="rId14" Type="http://schemas.openxmlformats.org/officeDocument/2006/relationships/hyperlink" Target="https://ac.gov.ru/uploads/2-Publications/monitoring_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2025-12-26T14:44:00Z</dcterms:created>
  <dcterms:modified xsi:type="dcterms:W3CDTF">2025-12-26T15:01:00Z</dcterms:modified>
</cp:coreProperties>
</file>