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7C" w:rsidRPr="00A0237C" w:rsidRDefault="00A0237C" w:rsidP="00A023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0237C">
        <w:rPr>
          <w:rFonts w:ascii="Times New Roman" w:hAnsi="Times New Roman" w:cs="Times New Roman"/>
          <w:b/>
          <w:bCs/>
          <w:i/>
          <w:sz w:val="24"/>
          <w:szCs w:val="24"/>
        </w:rPr>
        <w:t>Мамадалиева Э.Р.</w:t>
      </w:r>
    </w:p>
    <w:p w:rsidR="00A0237C" w:rsidRDefault="00A0237C" w:rsidP="00A023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специалист,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макроэкономических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исследований,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Ташкент</w:t>
      </w:r>
    </w:p>
    <w:p w:rsidR="00A0237C" w:rsidRDefault="00A0237C" w:rsidP="00A023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6CCF" w:rsidRPr="003208A6" w:rsidRDefault="006E6CCF" w:rsidP="00A023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8A6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ЕАЭС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ВНУТРЕННИХ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АСИММЕТРИЙ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ВНЕШНИХ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ОГРАНИЧЕНИЙ</w:t>
      </w:r>
    </w:p>
    <w:p w:rsidR="003208A6" w:rsidRPr="003208A6" w:rsidRDefault="003208A6" w:rsidP="003208A6">
      <w:pPr>
        <w:tabs>
          <w:tab w:val="left" w:pos="316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6CCF" w:rsidRPr="00A0237C" w:rsidRDefault="006E6CCF" w:rsidP="003208A6">
      <w:pPr>
        <w:tabs>
          <w:tab w:val="left" w:pos="316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37C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3208A6" w:rsidRPr="00A023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0237C">
        <w:rPr>
          <w:rFonts w:ascii="Times New Roman" w:hAnsi="Times New Roman" w:cs="Times New Roman"/>
          <w:b/>
          <w:bCs/>
          <w:i/>
          <w:sz w:val="24"/>
          <w:szCs w:val="24"/>
        </w:rPr>
        <w:t>слова:</w:t>
      </w:r>
      <w:r w:rsidR="003208A6" w:rsidRPr="00A023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технологический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суверенитет,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ЕАЭС,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инновационная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политика,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внутренние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асимметрии,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внешние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ограничения,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высокотехнологичный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экспорт,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интеграция.</w:t>
      </w:r>
    </w:p>
    <w:p w:rsidR="006E6CCF" w:rsidRDefault="006E6CCF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A0237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technological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sovereignty,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EAEU,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innovation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policy,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internal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asymmetries,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external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restrictions,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high-tech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exports,</w:t>
      </w:r>
      <w:r w:rsidR="003208A6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9A60C4" w:rsidRPr="00A0237C">
        <w:rPr>
          <w:rFonts w:ascii="Times New Roman" w:hAnsi="Times New Roman" w:cs="Times New Roman"/>
          <w:i/>
          <w:sz w:val="24"/>
          <w:szCs w:val="24"/>
          <w:lang w:val="uz-Cyrl-UZ"/>
        </w:rPr>
        <w:t>integration.</w:t>
      </w:r>
    </w:p>
    <w:p w:rsidR="00A0237C" w:rsidRPr="00A0237C" w:rsidRDefault="00A0237C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33927" w:rsidRPr="003208A6" w:rsidRDefault="00A33927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Современная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геоэкономическая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среда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характеризуется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усилением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конкуренции,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ограничением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трансграничных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поставок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высокотехнологичной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продукции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ускоренной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перестройкой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глобальных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цепочек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создания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стоимости.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государств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Евразийского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особую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значимость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приобретает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формирование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sym w:font="Symbol" w:char="F02D"/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способности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обеспечивать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устойчивое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основе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собственных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приоритетных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(ИКТ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программное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обеспечение,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машиностроение,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энергетические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технологии,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логистика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цифровые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платформы)</w:t>
      </w:r>
      <w:r w:rsidRPr="003208A6">
        <w:rPr>
          <w:rFonts w:ascii="Times New Roman" w:hAnsi="Times New Roman" w:cs="Times New Roman"/>
          <w:sz w:val="24"/>
          <w:szCs w:val="24"/>
        </w:rPr>
        <w:t>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компетенций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цепочек.</w:t>
      </w:r>
    </w:p>
    <w:p w:rsidR="00F213A7" w:rsidRPr="003208A6" w:rsidRDefault="00F213A7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Технологический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контексте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следует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рассматривать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полную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изоляцию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мировых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рынков,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способность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государств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интеграционного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объединения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целом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обеспечивать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критически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важные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потребности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счет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собственных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ресурсов,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компетенций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институтов,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сохраняя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возможность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избирательной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взаимовыгодной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международной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подход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предполагает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наличие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наднациональных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механизмов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науки,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инноваций,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устойчивых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цепочек,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также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кадрового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институционального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обеспечения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данная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задача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осложняется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существенными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различиями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структуре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промышленности,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научно-технологическом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потенциале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доступе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финансовым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ресурсам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между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странами-участниками.</w:t>
      </w:r>
    </w:p>
    <w:p w:rsidR="00F213A7" w:rsidRPr="003208A6" w:rsidRDefault="00F213A7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lastRenderedPageBreak/>
        <w:t>Вопрос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формирования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внутренних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асимметрий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достаточно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активно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обсуждается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современной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экспертной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литературе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охватывает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теоретико-методологические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аспекты,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прикладные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проблемы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интеграционного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Существенный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пласт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исследований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посвящ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="00990F76" w:rsidRPr="003208A6">
        <w:rPr>
          <w:rFonts w:ascii="Times New Roman" w:hAnsi="Times New Roman" w:cs="Times New Roman"/>
          <w:sz w:val="24"/>
          <w:szCs w:val="24"/>
        </w:rPr>
        <w:t>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уточнению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самого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понятия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его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месту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системе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экономического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суверенитета.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частности,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работах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Белобровой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Н.В.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технологический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суверенитет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рассматривается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многокомпонентная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категория,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включающая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способность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государства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формировать,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воспроизводить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контролировать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критически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важные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технологии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основе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собственного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научно-производственного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потенциала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сохранении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избирательной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открытости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международному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90F76" w:rsidRPr="003208A6">
        <w:rPr>
          <w:rFonts w:ascii="Times New Roman" w:hAnsi="Times New Roman" w:cs="Times New Roman"/>
          <w:sz w:val="24"/>
          <w:szCs w:val="24"/>
        </w:rPr>
        <w:t>сотрудничеству</w:t>
      </w:r>
      <w:r w:rsidR="00990F76"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990F76" w:rsidRPr="003208A6">
        <w:rPr>
          <w:rFonts w:ascii="Times New Roman" w:hAnsi="Times New Roman" w:cs="Times New Roman"/>
          <w:sz w:val="24"/>
          <w:szCs w:val="24"/>
        </w:rPr>
        <w:t>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Схожую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A0237C">
        <w:rPr>
          <w:rFonts w:ascii="Times New Roman" w:hAnsi="Times New Roman" w:cs="Times New Roman"/>
          <w:sz w:val="24"/>
          <w:szCs w:val="24"/>
        </w:rPr>
        <w:t>позицию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развивает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Афанасьев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А.А.,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который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систематизирует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существующие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подходы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анализу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–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узкоотраслевых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до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системных,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подч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="005955F4" w:rsidRPr="003208A6">
        <w:rPr>
          <w:rFonts w:ascii="Times New Roman" w:hAnsi="Times New Roman" w:cs="Times New Roman"/>
          <w:sz w:val="24"/>
          <w:szCs w:val="24"/>
        </w:rPr>
        <w:t>ркивая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его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связь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промышленной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политикой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5955F4" w:rsidRPr="003208A6">
        <w:rPr>
          <w:rFonts w:ascii="Times New Roman" w:hAnsi="Times New Roman" w:cs="Times New Roman"/>
          <w:sz w:val="24"/>
          <w:szCs w:val="24"/>
        </w:rPr>
        <w:t>государства</w:t>
      </w:r>
      <w:r w:rsidR="005955F4"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5955F4" w:rsidRPr="003208A6">
        <w:rPr>
          <w:rFonts w:ascii="Times New Roman" w:hAnsi="Times New Roman" w:cs="Times New Roman"/>
          <w:sz w:val="24"/>
          <w:szCs w:val="24"/>
        </w:rPr>
        <w:t>.</w:t>
      </w:r>
    </w:p>
    <w:p w:rsidR="00A33927" w:rsidRPr="003208A6" w:rsidRDefault="005955F4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Значительная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часть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литературы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посвящена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прикладным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аспектам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рамках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Евразийского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исследованиях,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выполненных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российскими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евразийскими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экономистами,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подч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ркивается,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специфика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заключается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высокой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неоднородности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стран-участников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структуре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степени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вовлеч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нности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глобальные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создания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стоимости.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аналитическ</w:t>
      </w:r>
      <w:r w:rsidR="001155DB" w:rsidRPr="003208A6">
        <w:rPr>
          <w:rFonts w:ascii="Times New Roman" w:hAnsi="Times New Roman" w:cs="Times New Roman"/>
          <w:sz w:val="24"/>
          <w:szCs w:val="24"/>
        </w:rPr>
        <w:t>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работ</w:t>
      </w:r>
      <w:r w:rsidR="001155DB" w:rsidRPr="003208A6">
        <w:rPr>
          <w:rFonts w:ascii="Times New Roman" w:hAnsi="Times New Roman" w:cs="Times New Roman"/>
          <w:sz w:val="24"/>
          <w:szCs w:val="24"/>
        </w:rPr>
        <w:t>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Карповой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Е.Д.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Седовой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А.Д.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рассматриваются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проблемы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зависимости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импорта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оборудования,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также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возможности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снижения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зависимости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сч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совместных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проектов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согласования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промышленной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политики</w:t>
      </w:r>
      <w:r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38570A" w:rsidRPr="003208A6">
        <w:rPr>
          <w:rFonts w:ascii="Times New Roman" w:hAnsi="Times New Roman" w:cs="Times New Roman"/>
          <w:sz w:val="24"/>
          <w:szCs w:val="24"/>
        </w:rPr>
        <w:t>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статье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Давыденко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Е.В.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акцент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сделан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анализе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интеграционного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объединения,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где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подч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="0038570A" w:rsidRPr="003208A6">
        <w:rPr>
          <w:rFonts w:ascii="Times New Roman" w:hAnsi="Times New Roman" w:cs="Times New Roman"/>
          <w:sz w:val="24"/>
          <w:szCs w:val="24"/>
        </w:rPr>
        <w:t>ркивается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роль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наднациональных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институтов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формировании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общих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технологических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приоритетов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механизмов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поддержки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кооперационных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38570A" w:rsidRPr="003208A6">
        <w:rPr>
          <w:rFonts w:ascii="Times New Roman" w:hAnsi="Times New Roman" w:cs="Times New Roman"/>
          <w:sz w:val="24"/>
          <w:szCs w:val="24"/>
        </w:rPr>
        <w:t>проектов</w:t>
      </w:r>
      <w:r w:rsidR="0038570A"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38570A" w:rsidRPr="003208A6">
        <w:rPr>
          <w:rFonts w:ascii="Times New Roman" w:hAnsi="Times New Roman" w:cs="Times New Roman"/>
          <w:sz w:val="24"/>
          <w:szCs w:val="24"/>
        </w:rPr>
        <w:t>.</w:t>
      </w:r>
    </w:p>
    <w:p w:rsidR="0038570A" w:rsidRPr="003208A6" w:rsidRDefault="00850F42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Важное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место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литературе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занимает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анализ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ограничений,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прежде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всего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санкционного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давления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экспортного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контроля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фактора,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влияющего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стратегии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контексте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рассматривается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только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категория,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элемент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региональной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безопасности.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Экспертные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исследования,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основанные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опросах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анализе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дискурсов,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показывают,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российском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евразийском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сообществе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вс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чаще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интерпретируется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способность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адаптации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ограничениям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перестройки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цепочек,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полный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отказ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связей</w:t>
      </w:r>
      <w:r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3208A6">
        <w:rPr>
          <w:rFonts w:ascii="Times New Roman" w:hAnsi="Times New Roman" w:cs="Times New Roman"/>
          <w:sz w:val="24"/>
          <w:szCs w:val="24"/>
        </w:rPr>
        <w:t>.</w:t>
      </w:r>
    </w:p>
    <w:p w:rsidR="00EE4B2E" w:rsidRPr="003208A6" w:rsidRDefault="006171D6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Дополняют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академические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исследования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выступления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официальные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заявления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представителей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Евразийской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комиссии,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которых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подч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ркивается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приоритет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повестке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материалах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акцент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делается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необходимости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углубления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промышленной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вовлечения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бизнеса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реализацию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совместных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проектов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формирования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устойчивого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ограничений</w:t>
      </w:r>
      <w:r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3208A6">
        <w:rPr>
          <w:rFonts w:ascii="Times New Roman" w:hAnsi="Times New Roman" w:cs="Times New Roman"/>
          <w:sz w:val="24"/>
          <w:szCs w:val="24"/>
        </w:rPr>
        <w:t>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1D6" w:rsidRPr="003208A6" w:rsidRDefault="006171D6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совокупности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рассмотренная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литература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свидетельствует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формировании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устойчивого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экспертного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дискурса,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рамках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которого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рассматривается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комплексная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динамическая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задача,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требующая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уч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внутренних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асимметрий,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координации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стратегий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активной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роли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наднациональных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институтов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трансформации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мировой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системы.</w:t>
      </w:r>
    </w:p>
    <w:p w:rsidR="00EE4B2E" w:rsidRPr="003208A6" w:rsidRDefault="00DD3691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Формирование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Евразийского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–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многомерный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стратегически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важный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процесс,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нацеленный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повышение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способности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государств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самостоятельно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обеспечивать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свои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потребности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ключевых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минимизировать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зависимость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источников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сохранении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преимуществ.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современных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геополитических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характеризующихся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усилением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санкций,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торговых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барьеров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геотехнологической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конкуренции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между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крупными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державами,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становится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одним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из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центральных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элементов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стратегий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безопасности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развития.</w:t>
      </w:r>
    </w:p>
    <w:p w:rsidR="00DD3691" w:rsidRPr="003208A6" w:rsidRDefault="00DD3691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Ключевым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вызовом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пути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независимости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рамках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являются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внутренние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асимметрии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–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существенные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различия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потенциале,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научно-технологической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инфраструктуре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возможностях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государств-членов.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174B31" w:rsidRPr="003208A6">
        <w:rPr>
          <w:rFonts w:ascii="Times New Roman" w:hAnsi="Times New Roman" w:cs="Times New Roman"/>
          <w:sz w:val="24"/>
          <w:szCs w:val="24"/>
        </w:rPr>
        <w:t>Р</w:t>
      </w:r>
      <w:r w:rsidRPr="003208A6">
        <w:rPr>
          <w:rFonts w:ascii="Times New Roman" w:hAnsi="Times New Roman" w:cs="Times New Roman"/>
          <w:sz w:val="24"/>
          <w:szCs w:val="24"/>
        </w:rPr>
        <w:t>оссия,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крупнейшая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1B47A0">
        <w:rPr>
          <w:rFonts w:ascii="Times New Roman" w:hAnsi="Times New Roman" w:cs="Times New Roman"/>
          <w:sz w:val="24"/>
          <w:szCs w:val="24"/>
        </w:rPr>
        <w:t>С</w:t>
      </w:r>
      <w:r w:rsidRPr="003208A6">
        <w:rPr>
          <w:rFonts w:ascii="Times New Roman" w:hAnsi="Times New Roman" w:cs="Times New Roman"/>
          <w:sz w:val="24"/>
          <w:szCs w:val="24"/>
        </w:rPr>
        <w:t>оюза,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обладает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значительно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более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базой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производственными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мощностями,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концентрирующими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значительную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часть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отраслей.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Армения,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Казахстан,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Беларусь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Киргизия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демонстрируют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участия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деятельности: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IT-сектора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ВВП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Армении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приближалась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7,5%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2024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году,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отражает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ориентацию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цифровые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стартап-экосистему,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время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Беларусь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ориентирована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промышленную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электронику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робототехнику,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Казахстан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–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цифровизацию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госуправления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космические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программы</w:t>
      </w:r>
      <w:r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3208A6">
        <w:rPr>
          <w:rFonts w:ascii="Times New Roman" w:hAnsi="Times New Roman" w:cs="Times New Roman"/>
          <w:sz w:val="24"/>
          <w:szCs w:val="24"/>
        </w:rPr>
        <w:t>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Киргизия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же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оста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этапе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постепенного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наращивания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потенциала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через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партн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рами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привлечение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инвестиций.</w:t>
      </w:r>
    </w:p>
    <w:p w:rsidR="00174B31" w:rsidRPr="003208A6" w:rsidRDefault="00174B31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По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активности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явным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лидером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среди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является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Россия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(59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место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рейтинге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Global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Innovation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Index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2024</w:t>
      </w:r>
      <w:r w:rsidR="002916FA"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3208A6">
        <w:rPr>
          <w:rFonts w:ascii="Times New Roman" w:hAnsi="Times New Roman" w:cs="Times New Roman"/>
          <w:sz w:val="24"/>
          <w:szCs w:val="24"/>
        </w:rPr>
        <w:t>).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Далее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рейтинге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располагается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Армения,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занимая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63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место.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Беларусь,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Казахстан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Кыргызстан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занимают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более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низкие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позиции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(85,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78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99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соответственно),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наглядно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отражает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только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различия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масштабах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систем,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глубину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структурных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дисбалансов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внутри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Наиболее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уязвимым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участником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точки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зрения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оста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Кыргызстан,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занимающий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99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место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рейтинге.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Низкие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показатели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обусловлены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ограниченными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финансовыми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ресурсами,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слабой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научно-технологической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базой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высокой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зависимостью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импорта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технологий.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активность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носит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фрагментарный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характер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значительной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степени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определяется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факторами,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включая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трансграничное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сотрудничество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трудовую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миграцию.</w:t>
      </w:r>
    </w:p>
    <w:p w:rsidR="00EE4B2E" w:rsidRPr="003208A6" w:rsidRDefault="001B29CF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Внутренние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асимметрии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1155DB" w:rsidRPr="003208A6">
        <w:rPr>
          <w:rFonts w:ascii="Times New Roman" w:hAnsi="Times New Roman" w:cs="Times New Roman"/>
          <w:sz w:val="24"/>
          <w:szCs w:val="24"/>
        </w:rPr>
        <w:t>Союза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отражаются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только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инвестиций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активности,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возможностях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государств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реализовывать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комплексные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стратегии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Различия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масштабах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финансирования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опытно-конструкторских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работ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(НИОКР),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объ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мах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выпуска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высокотехнологичной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продукции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численности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кадров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создают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структурные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препятствия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создания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единых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евразийских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цепочек.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Например,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Россия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концентрирует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значительную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часть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потенциала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делает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ключевым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драйвером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рамках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проектов,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одновременно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усиливает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зависимость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остальных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членов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российских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решений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определ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областях.</w:t>
      </w:r>
    </w:p>
    <w:p w:rsidR="001B29CF" w:rsidRPr="003208A6" w:rsidRDefault="001B29CF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Одновременно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этим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демонстрирует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активность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цифровых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секторов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всей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интеграционной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структуры.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данным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экспертов,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около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77,7%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населения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имеют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доступ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1B47A0">
        <w:rPr>
          <w:rFonts w:ascii="Times New Roman" w:hAnsi="Times New Roman" w:cs="Times New Roman"/>
          <w:sz w:val="24"/>
          <w:szCs w:val="24"/>
        </w:rPr>
        <w:t>И</w:t>
      </w:r>
      <w:r w:rsidRPr="003208A6">
        <w:rPr>
          <w:rFonts w:ascii="Times New Roman" w:hAnsi="Times New Roman" w:cs="Times New Roman"/>
          <w:sz w:val="24"/>
          <w:szCs w:val="24"/>
        </w:rPr>
        <w:t>нтернету,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объ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экспорта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ИКТ-услуг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A97FBB" w:rsidRPr="003208A6">
        <w:rPr>
          <w:rFonts w:ascii="Times New Roman" w:hAnsi="Times New Roman" w:cs="Times New Roman"/>
          <w:sz w:val="24"/>
          <w:szCs w:val="24"/>
        </w:rPr>
        <w:t>составляет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10,8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млрд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A97FBB" w:rsidRPr="003208A6">
        <w:rPr>
          <w:rFonts w:ascii="Times New Roman" w:hAnsi="Times New Roman" w:cs="Times New Roman"/>
          <w:sz w:val="24"/>
          <w:szCs w:val="24"/>
        </w:rPr>
        <w:t>долл.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A97FBB" w:rsidRPr="003208A6">
        <w:rPr>
          <w:rFonts w:ascii="Times New Roman" w:hAnsi="Times New Roman" w:cs="Times New Roman"/>
          <w:sz w:val="24"/>
          <w:szCs w:val="24"/>
        </w:rPr>
        <w:t>США</w:t>
      </w:r>
      <w:r w:rsidRPr="003208A6">
        <w:rPr>
          <w:rFonts w:ascii="Times New Roman" w:hAnsi="Times New Roman" w:cs="Times New Roman"/>
          <w:sz w:val="24"/>
          <w:szCs w:val="24"/>
        </w:rPr>
        <w:t>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экспорт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цифровых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услуг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превысил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30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млрд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A97FBB" w:rsidRPr="003208A6">
        <w:rPr>
          <w:rFonts w:ascii="Times New Roman" w:hAnsi="Times New Roman" w:cs="Times New Roman"/>
          <w:sz w:val="24"/>
          <w:szCs w:val="24"/>
        </w:rPr>
        <w:t>долл.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A97FBB" w:rsidRPr="003208A6">
        <w:rPr>
          <w:rFonts w:ascii="Times New Roman" w:hAnsi="Times New Roman" w:cs="Times New Roman"/>
          <w:sz w:val="24"/>
          <w:szCs w:val="24"/>
        </w:rPr>
        <w:t>США</w:t>
      </w:r>
      <w:r w:rsidRPr="003208A6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3208A6">
        <w:rPr>
          <w:rFonts w:ascii="Times New Roman" w:hAnsi="Times New Roman" w:cs="Times New Roman"/>
          <w:sz w:val="24"/>
          <w:szCs w:val="24"/>
        </w:rPr>
        <w:t>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свидетельствуют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позитивной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динамике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области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цифровой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также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1B47A0">
        <w:rPr>
          <w:rFonts w:ascii="Times New Roman" w:hAnsi="Times New Roman" w:cs="Times New Roman"/>
          <w:sz w:val="24"/>
          <w:szCs w:val="24"/>
        </w:rPr>
        <w:t>показывают</w:t>
      </w:r>
      <w:r w:rsidRPr="003208A6">
        <w:rPr>
          <w:rFonts w:ascii="Times New Roman" w:hAnsi="Times New Roman" w:cs="Times New Roman"/>
          <w:sz w:val="24"/>
          <w:szCs w:val="24"/>
        </w:rPr>
        <w:t>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требует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согласованной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политики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координации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Союза.</w:t>
      </w:r>
    </w:p>
    <w:p w:rsidR="00C778C6" w:rsidRPr="003208A6" w:rsidRDefault="00C778C6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Наряду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внутренними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проблемами,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процесс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достижения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осложняют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–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инструменты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международного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давления,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включая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санкции,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экспортные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передовые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доступа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критическим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компонентам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(например,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микросхемам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специализированному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программному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обеспечению),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также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давление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глобальные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институты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стандартизации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нормативной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регуляции.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факторы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стимулируют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ускоренному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собственных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решений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снижению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зависимости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импорта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ключевых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продуктов.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России,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например,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реальное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импортозамещение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ИТ-секторе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получило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мощный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импульс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2022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</w:t>
      </w:r>
      <w:r w:rsidR="00CE53E5" w:rsidRPr="003208A6">
        <w:rPr>
          <w:rFonts w:ascii="Times New Roman" w:hAnsi="Times New Roman" w:cs="Times New Roman"/>
          <w:sz w:val="24"/>
          <w:szCs w:val="24"/>
        </w:rPr>
        <w:t>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ответ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уход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зарубежных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поставщиков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программного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обеспечения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оборудования,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сделало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отечественных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цифровых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критическим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фактором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сохранения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информационной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CE53E5" w:rsidRPr="003208A6" w:rsidRDefault="00CE53E5" w:rsidP="001B47A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Таблица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1B47A0">
        <w:rPr>
          <w:rFonts w:ascii="Times New Roman" w:hAnsi="Times New Roman" w:cs="Times New Roman"/>
          <w:sz w:val="24"/>
          <w:szCs w:val="24"/>
        </w:rPr>
        <w:t>1</w:t>
      </w:r>
    </w:p>
    <w:p w:rsidR="00CE53E5" w:rsidRPr="003208A6" w:rsidRDefault="00CE53E5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8A6">
        <w:rPr>
          <w:rFonts w:ascii="Times New Roman" w:hAnsi="Times New Roman" w:cs="Times New Roman"/>
          <w:b/>
          <w:bCs/>
          <w:sz w:val="24"/>
          <w:szCs w:val="24"/>
        </w:rPr>
        <w:t>Объем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экспорта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высокотехнологичных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товаров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услуг,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млн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долл.</w:t>
      </w:r>
      <w:r w:rsidR="0032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b/>
          <w:bCs/>
          <w:sz w:val="24"/>
          <w:szCs w:val="24"/>
        </w:rPr>
        <w:t>США</w:t>
      </w:r>
    </w:p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3"/>
        <w:gridCol w:w="1129"/>
        <w:gridCol w:w="1134"/>
        <w:gridCol w:w="1134"/>
        <w:gridCol w:w="1134"/>
        <w:gridCol w:w="1134"/>
        <w:gridCol w:w="992"/>
      </w:tblGrid>
      <w:tr w:rsidR="00CE53E5" w:rsidRPr="001B47A0" w:rsidTr="00CE53E5">
        <w:trPr>
          <w:trHeight w:val="300"/>
          <w:jc w:val="center"/>
        </w:trPr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  <w:r w:rsidR="003208A6"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="003208A6"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  <w:r w:rsidR="003208A6"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="003208A6"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  <w:r w:rsidR="003208A6"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="003208A6"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7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E53E5" w:rsidRPr="001B47A0" w:rsidTr="00CE53E5">
        <w:trPr>
          <w:trHeight w:val="300"/>
          <w:jc w:val="center"/>
        </w:trPr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892,6</w:t>
            </w:r>
          </w:p>
        </w:tc>
      </w:tr>
      <w:tr w:rsidR="00CE53E5" w:rsidRPr="001B47A0" w:rsidTr="00CE53E5">
        <w:trPr>
          <w:trHeight w:val="300"/>
          <w:jc w:val="center"/>
        </w:trPr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</w:tr>
      <w:tr w:rsidR="00CE53E5" w:rsidRPr="001B47A0" w:rsidTr="00CE53E5">
        <w:trPr>
          <w:trHeight w:val="300"/>
          <w:jc w:val="center"/>
        </w:trPr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2224,6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2031,8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5145,7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7194,4</w:t>
            </w:r>
          </w:p>
        </w:tc>
      </w:tr>
      <w:tr w:rsidR="00CE53E5" w:rsidRPr="001B47A0" w:rsidTr="00CE53E5">
        <w:trPr>
          <w:trHeight w:val="300"/>
          <w:jc w:val="center"/>
        </w:trPr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Кыргызстан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</w:tr>
      <w:tr w:rsidR="00CE53E5" w:rsidRPr="001B47A0" w:rsidTr="00CE53E5">
        <w:trPr>
          <w:trHeight w:val="300"/>
          <w:jc w:val="center"/>
        </w:trPr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10783,4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6567,5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10598,6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53E5" w:rsidRPr="001B47A0" w:rsidRDefault="00CE53E5" w:rsidP="001B47A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</w:tr>
    </w:tbl>
    <w:p w:rsidR="00CE53E5" w:rsidRPr="003208A6" w:rsidRDefault="00CE53E5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7A0">
        <w:rPr>
          <w:rFonts w:ascii="Times New Roman" w:hAnsi="Times New Roman" w:cs="Times New Roman"/>
        </w:rPr>
        <w:t>Источник:</w:t>
      </w:r>
      <w:r w:rsidR="003208A6" w:rsidRPr="001B47A0">
        <w:rPr>
          <w:rFonts w:ascii="Times New Roman" w:hAnsi="Times New Roman" w:cs="Times New Roman"/>
        </w:rPr>
        <w:t xml:space="preserve"> </w:t>
      </w:r>
      <w:r w:rsidRPr="001B47A0">
        <w:rPr>
          <w:rFonts w:ascii="Times New Roman" w:hAnsi="Times New Roman" w:cs="Times New Roman"/>
        </w:rPr>
        <w:t>составлено</w:t>
      </w:r>
      <w:r w:rsidR="003208A6" w:rsidRPr="001B47A0">
        <w:rPr>
          <w:rFonts w:ascii="Times New Roman" w:hAnsi="Times New Roman" w:cs="Times New Roman"/>
        </w:rPr>
        <w:t xml:space="preserve"> </w:t>
      </w:r>
      <w:r w:rsidRPr="001B47A0">
        <w:rPr>
          <w:rFonts w:ascii="Times New Roman" w:hAnsi="Times New Roman" w:cs="Times New Roman"/>
        </w:rPr>
        <w:t>автором</w:t>
      </w:r>
      <w:r w:rsidR="003208A6" w:rsidRPr="001B47A0">
        <w:rPr>
          <w:rFonts w:ascii="Times New Roman" w:hAnsi="Times New Roman" w:cs="Times New Roman"/>
        </w:rPr>
        <w:t xml:space="preserve"> </w:t>
      </w:r>
      <w:r w:rsidRPr="001B47A0">
        <w:rPr>
          <w:rFonts w:ascii="Times New Roman" w:hAnsi="Times New Roman" w:cs="Times New Roman"/>
        </w:rPr>
        <w:t>по</w:t>
      </w:r>
      <w:r w:rsidR="003208A6" w:rsidRPr="001B47A0">
        <w:rPr>
          <w:rFonts w:ascii="Times New Roman" w:hAnsi="Times New Roman" w:cs="Times New Roman"/>
        </w:rPr>
        <w:t xml:space="preserve"> </w:t>
      </w:r>
      <w:r w:rsidRPr="001B47A0">
        <w:rPr>
          <w:rFonts w:ascii="Times New Roman" w:hAnsi="Times New Roman" w:cs="Times New Roman"/>
        </w:rPr>
        <w:t>данным</w:t>
      </w:r>
      <w:r w:rsidR="003208A6" w:rsidRPr="001B47A0">
        <w:rPr>
          <w:rFonts w:ascii="Times New Roman" w:hAnsi="Times New Roman" w:cs="Times New Roman"/>
        </w:rPr>
        <w:t xml:space="preserve"> </w:t>
      </w:r>
      <w:r w:rsidRPr="001B47A0">
        <w:rPr>
          <w:rFonts w:ascii="Times New Roman" w:hAnsi="Times New Roman" w:cs="Times New Roman"/>
        </w:rPr>
        <w:t>Всемирного</w:t>
      </w:r>
      <w:r w:rsidR="003208A6" w:rsidRPr="001B47A0">
        <w:rPr>
          <w:rFonts w:ascii="Times New Roman" w:hAnsi="Times New Roman" w:cs="Times New Roman"/>
        </w:rPr>
        <w:t xml:space="preserve"> </w:t>
      </w:r>
      <w:r w:rsidRPr="001B47A0">
        <w:rPr>
          <w:rFonts w:ascii="Times New Roman" w:hAnsi="Times New Roman" w:cs="Times New Roman"/>
        </w:rPr>
        <w:t>банка</w:t>
      </w:r>
    </w:p>
    <w:p w:rsidR="00CE53E5" w:rsidRPr="003208A6" w:rsidRDefault="001B1508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Привед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статистические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объ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м</w:t>
      </w:r>
      <w:r w:rsidR="002D6DE9" w:rsidRPr="003208A6">
        <w:rPr>
          <w:rFonts w:ascii="Times New Roman" w:hAnsi="Times New Roman" w:cs="Times New Roman"/>
          <w:sz w:val="24"/>
          <w:szCs w:val="24"/>
        </w:rPr>
        <w:t>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экспорта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товаров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услуг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(таблица)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позволяют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выявить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структурные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особенности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формирования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Союзе.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Динамика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показателей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демонстрирует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различия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масштабах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специализации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влияние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экспортно-ориентированные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сегменты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сектора.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Крупные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обеспечивают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масштаб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базовую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инфраструктуру,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тогда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меньшие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государства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демонстрируют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точечные,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динамичные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прорывы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отдельных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сегментах,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прежде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всего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сфере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цифровых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услуг.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созда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объективные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предпосылки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углубления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внутрисоюзной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которой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асимметрии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могут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трансформироваться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из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источник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комплементарности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устойчивого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всего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этом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рост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экспорта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высокотехнологичной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продукции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сам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по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себе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гарантирует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укрепления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суверенитета,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если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он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основан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преимущественно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сервисных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или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аутсорсинговых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моделях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сопровождается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развитием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собственной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научно-производственной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9A60C4" w:rsidRPr="003208A6">
        <w:rPr>
          <w:rFonts w:ascii="Times New Roman" w:hAnsi="Times New Roman" w:cs="Times New Roman"/>
          <w:sz w:val="24"/>
          <w:szCs w:val="24"/>
        </w:rPr>
        <w:t>базы.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00" w:rsidRPr="003208A6" w:rsidRDefault="00701700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Важным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аспектом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остается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сводится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полной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изоляции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внешнего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мира,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скорее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представляет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собой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управляемую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взаимозависимость,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когда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государства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стремятся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собственные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компетенции,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также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участвуют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международных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обменах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особенно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актуально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меньшими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экономическими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возможностями,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которых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глобальные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доступ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иностранным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инвестициям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остаются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важными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источниками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роста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модернизации.</w:t>
      </w:r>
    </w:p>
    <w:p w:rsidR="00701700" w:rsidRPr="003208A6" w:rsidRDefault="00701700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целом,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постепенно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адаптирует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механизмы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сотрудничества</w:t>
      </w:r>
      <w:r w:rsidR="001B47A0">
        <w:rPr>
          <w:rFonts w:ascii="Times New Roman" w:hAnsi="Times New Roman" w:cs="Times New Roman"/>
          <w:sz w:val="24"/>
          <w:szCs w:val="24"/>
        </w:rPr>
        <w:t xml:space="preserve"> –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создание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совместных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проектов,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производств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платформ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обмена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данными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технологиями.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перспективе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стремится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создать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интегрированную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цифровую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платформу,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общую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финансовую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инфраструктуру,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единые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рынки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энергоносителей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логистики,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будет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способствовать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снижению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барьеров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трансграничного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обмена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укреплению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потенциала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всего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701700" w:rsidRPr="003208A6" w:rsidRDefault="00701700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основании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результатов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анализа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можно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сделать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ряд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выводов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предложений.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Во-первых,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формирование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рамках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осуществляется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выраженной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неоднородности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различий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активности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асимметричного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распределения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потенциала.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различия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носят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структурный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характер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могут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быть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устранены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краткосрочной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перспективе,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однако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наличии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эффективных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механизмов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они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способны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трансформироваться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из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фактор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взаимодополняемости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устойчивости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интеграционного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701700" w:rsidRPr="003208A6" w:rsidRDefault="00701700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Во-вторых,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включая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санкционное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давление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доступа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критически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важным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технологиям,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="001B47A0">
        <w:rPr>
          <w:rFonts w:ascii="Times New Roman" w:hAnsi="Times New Roman" w:cs="Times New Roman"/>
          <w:sz w:val="24"/>
          <w:szCs w:val="24"/>
        </w:rPr>
        <w:t>стали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катализатором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переосмысления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роли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для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результате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акцент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смещается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модели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интеграции,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ориентированной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преимущественно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глобальные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рынки,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модели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управляемой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автономии,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предполагающей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собственных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компетенций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сохранении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избирательной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внешней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наибольшую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адаптационную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способность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демонстрируют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страны,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обладающие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человеческим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капиталом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гибкими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институциональными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механизмами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поддержки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инноваций.</w:t>
      </w:r>
    </w:p>
    <w:p w:rsidR="00701700" w:rsidRPr="003208A6" w:rsidRDefault="00701700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В-третьих,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эмпирический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анализ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экспорта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товаров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услуг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позиций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международных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рейтингах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подтверждает,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что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ключевым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драйвером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оста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столько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объ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экономики,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сколько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качество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среды,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уровень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разработок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способность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интегрировать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результаты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производственные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цепочки.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этом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контексте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опыт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отдельных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указывает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возможность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ускоренного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наращивания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потенциала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даже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ограниченных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ресурсах,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целенаправленной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государственной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политики.</w:t>
      </w:r>
    </w:p>
    <w:p w:rsidR="00701700" w:rsidRPr="003208A6" w:rsidRDefault="00701700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уч</w:t>
      </w:r>
      <w:r w:rsidR="001C4DB8" w:rsidRPr="003208A6">
        <w:rPr>
          <w:rFonts w:ascii="Times New Roman" w:hAnsi="Times New Roman" w:cs="Times New Roman"/>
          <w:sz w:val="24"/>
          <w:szCs w:val="24"/>
        </w:rPr>
        <w:t>е</w:t>
      </w:r>
      <w:r w:rsidRPr="003208A6">
        <w:rPr>
          <w:rFonts w:ascii="Times New Roman" w:hAnsi="Times New Roman" w:cs="Times New Roman"/>
          <w:sz w:val="24"/>
          <w:szCs w:val="24"/>
        </w:rPr>
        <w:t>том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выявленных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тенденций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представляется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целесообразным,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во-первых,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усилить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координацию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научно-технологической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политики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включая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формирование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общих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приоритетов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критических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механизмов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совместного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финансирования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НИОКР.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Во-вторых,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необходимо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трансграничные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кластеры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евразийские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платформы,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ориентированные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вовлечение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стран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более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низким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уровнем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активности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кооперационные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проекты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технологическими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лидерами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Союза.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В-третьих,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особое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внимание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следует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уделить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человеческого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капитала,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гармонизации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образовательных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стандартов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стимулированию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мобильности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исследователей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инженеров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внутри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ЕАЭС.</w:t>
      </w:r>
    </w:p>
    <w:p w:rsidR="00701700" w:rsidRPr="003208A6" w:rsidRDefault="00701700" w:rsidP="00320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долгосрочной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перспективе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реализация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данных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мер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позволит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только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снизить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внутренние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асимметрии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развития,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сформировать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более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устойчивую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модель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суверенитета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ЕАЭС,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основанную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кооперации,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специализации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синергии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национальных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инновационных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систем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в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условиях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продолжающейся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трансформации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глобальной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технологической</w:t>
      </w:r>
      <w:r w:rsidR="003208A6">
        <w:rPr>
          <w:rFonts w:ascii="Times New Roman" w:hAnsi="Times New Roman" w:cs="Times New Roman"/>
          <w:sz w:val="24"/>
          <w:szCs w:val="24"/>
        </w:rPr>
        <w:t xml:space="preserve"> </w:t>
      </w:r>
      <w:r w:rsidRPr="003208A6">
        <w:rPr>
          <w:rFonts w:ascii="Times New Roman" w:hAnsi="Times New Roman" w:cs="Times New Roman"/>
          <w:sz w:val="24"/>
          <w:szCs w:val="24"/>
        </w:rPr>
        <w:t>среды.</w:t>
      </w:r>
    </w:p>
    <w:sectPr w:rsidR="00701700" w:rsidRPr="003208A6" w:rsidSect="003208A6">
      <w:footerReference w:type="default" r:id="rId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A6" w:rsidRDefault="003208A6" w:rsidP="00990F76">
      <w:pPr>
        <w:spacing w:after="0" w:line="240" w:lineRule="auto"/>
      </w:pPr>
      <w:r>
        <w:separator/>
      </w:r>
    </w:p>
  </w:endnote>
  <w:endnote w:type="continuationSeparator" w:id="0">
    <w:p w:rsidR="003208A6" w:rsidRDefault="003208A6" w:rsidP="0099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9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08A6" w:rsidRPr="003208A6" w:rsidRDefault="003208A6" w:rsidP="003208A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08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08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08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32B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208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A6" w:rsidRDefault="003208A6" w:rsidP="00990F76">
      <w:pPr>
        <w:spacing w:after="0" w:line="240" w:lineRule="auto"/>
      </w:pPr>
      <w:r>
        <w:separator/>
      </w:r>
    </w:p>
  </w:footnote>
  <w:footnote w:type="continuationSeparator" w:id="0">
    <w:p w:rsidR="003208A6" w:rsidRDefault="003208A6" w:rsidP="00990F76">
      <w:pPr>
        <w:spacing w:after="0" w:line="240" w:lineRule="auto"/>
      </w:pPr>
      <w:r>
        <w:continuationSeparator/>
      </w:r>
    </w:p>
  </w:footnote>
  <w:footnote w:id="1">
    <w:p w:rsidR="003208A6" w:rsidRPr="00A0237C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  <w:i/>
        </w:rPr>
        <w:t>Белоброва</w:t>
      </w:r>
      <w:r w:rsidR="00A0237C" w:rsidRPr="00A0237C">
        <w:rPr>
          <w:rFonts w:ascii="Times New Roman" w:hAnsi="Times New Roman" w:cs="Times New Roman"/>
          <w:i/>
        </w:rPr>
        <w:t xml:space="preserve"> </w:t>
      </w:r>
      <w:r w:rsidRPr="00A0237C">
        <w:rPr>
          <w:rFonts w:ascii="Times New Roman" w:hAnsi="Times New Roman" w:cs="Times New Roman"/>
          <w:i/>
        </w:rPr>
        <w:t>Н.В</w:t>
      </w:r>
      <w:r w:rsidRPr="00A0237C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Технологический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суверенитет: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теоретико-методологические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подходы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к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определению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//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Вестник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Института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экономических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исследований</w:t>
      </w:r>
      <w:r w:rsidR="00A0237C">
        <w:rPr>
          <w:rFonts w:ascii="Times New Roman" w:hAnsi="Times New Roman" w:cs="Times New Roman"/>
        </w:rPr>
        <w:t xml:space="preserve">. – </w:t>
      </w:r>
      <w:r w:rsidRPr="00A0237C">
        <w:rPr>
          <w:rFonts w:ascii="Times New Roman" w:hAnsi="Times New Roman" w:cs="Times New Roman"/>
        </w:rPr>
        <w:t>20</w:t>
      </w:r>
      <w:r w:rsidR="00A0237C">
        <w:rPr>
          <w:rFonts w:ascii="Times New Roman" w:hAnsi="Times New Roman" w:cs="Times New Roman"/>
        </w:rPr>
        <w:t xml:space="preserve">25. – </w:t>
      </w:r>
      <w:r w:rsidRPr="00A0237C">
        <w:rPr>
          <w:rFonts w:ascii="Times New Roman" w:hAnsi="Times New Roman" w:cs="Times New Roman"/>
        </w:rPr>
        <w:t>№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2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(38)</w:t>
      </w:r>
      <w:r w:rsidR="00A0237C">
        <w:rPr>
          <w:rFonts w:ascii="Times New Roman" w:hAnsi="Times New Roman" w:cs="Times New Roman"/>
        </w:rPr>
        <w:t>.</w:t>
      </w:r>
    </w:p>
  </w:footnote>
  <w:footnote w:id="2">
    <w:p w:rsidR="003208A6" w:rsidRPr="00A0237C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  <w:i/>
        </w:rPr>
        <w:t>Афанасьев</w:t>
      </w:r>
      <w:r w:rsidR="00A0237C" w:rsidRPr="00A0237C">
        <w:rPr>
          <w:rFonts w:ascii="Times New Roman" w:hAnsi="Times New Roman" w:cs="Times New Roman"/>
          <w:i/>
        </w:rPr>
        <w:t xml:space="preserve"> </w:t>
      </w:r>
      <w:r w:rsidRPr="00A0237C">
        <w:rPr>
          <w:rFonts w:ascii="Times New Roman" w:hAnsi="Times New Roman" w:cs="Times New Roman"/>
          <w:i/>
        </w:rPr>
        <w:t>А.А</w:t>
      </w:r>
      <w:r w:rsidRPr="00A0237C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Технологический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суверенитет: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варианты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переходов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к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рассмотрению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проблемы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//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Вопросы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инновационной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экономики.</w:t>
      </w:r>
      <w:r w:rsidR="00A0237C">
        <w:rPr>
          <w:rFonts w:ascii="Times New Roman" w:hAnsi="Times New Roman" w:cs="Times New Roman"/>
        </w:rPr>
        <w:t xml:space="preserve"> – </w:t>
      </w:r>
      <w:r w:rsidR="00A0237C" w:rsidRPr="00A0237C">
        <w:rPr>
          <w:rFonts w:ascii="Times New Roman" w:hAnsi="Times New Roman" w:cs="Times New Roman"/>
        </w:rPr>
        <w:t>2023.</w:t>
      </w:r>
      <w:r w:rsidR="00A0237C">
        <w:rPr>
          <w:rFonts w:ascii="Times New Roman" w:hAnsi="Times New Roman" w:cs="Times New Roman"/>
        </w:rPr>
        <w:t xml:space="preserve"> – </w:t>
      </w:r>
      <w:r w:rsidRPr="00A0237C">
        <w:rPr>
          <w:rFonts w:ascii="Times New Roman" w:hAnsi="Times New Roman" w:cs="Times New Roman"/>
        </w:rPr>
        <w:t>Т.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13,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№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2</w:t>
      </w:r>
      <w:r w:rsidR="00A0237C">
        <w:rPr>
          <w:rFonts w:ascii="Times New Roman" w:hAnsi="Times New Roman" w:cs="Times New Roman"/>
        </w:rPr>
        <w:t>. – С</w:t>
      </w:r>
      <w:r w:rsidRPr="00A0237C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689-706</w:t>
      </w:r>
      <w:r w:rsidR="00A0237C">
        <w:rPr>
          <w:rFonts w:ascii="Times New Roman" w:hAnsi="Times New Roman" w:cs="Times New Roman"/>
        </w:rPr>
        <w:t>.</w:t>
      </w:r>
    </w:p>
  </w:footnote>
  <w:footnote w:id="3">
    <w:p w:rsidR="003208A6" w:rsidRPr="00A0237C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  <w:i/>
        </w:rPr>
        <w:t>Карпова</w:t>
      </w:r>
      <w:r w:rsidR="00A0237C" w:rsidRPr="00A0237C">
        <w:rPr>
          <w:rFonts w:ascii="Times New Roman" w:hAnsi="Times New Roman" w:cs="Times New Roman"/>
          <w:i/>
        </w:rPr>
        <w:t xml:space="preserve"> </w:t>
      </w:r>
      <w:r w:rsidRPr="00A0237C">
        <w:rPr>
          <w:rFonts w:ascii="Times New Roman" w:hAnsi="Times New Roman" w:cs="Times New Roman"/>
          <w:i/>
        </w:rPr>
        <w:t>Е.Д.,</w:t>
      </w:r>
      <w:r w:rsidR="00A0237C" w:rsidRPr="00A0237C">
        <w:rPr>
          <w:rFonts w:ascii="Times New Roman" w:hAnsi="Times New Roman" w:cs="Times New Roman"/>
          <w:i/>
        </w:rPr>
        <w:t xml:space="preserve"> </w:t>
      </w:r>
      <w:r w:rsidRPr="00A0237C">
        <w:rPr>
          <w:rFonts w:ascii="Times New Roman" w:hAnsi="Times New Roman" w:cs="Times New Roman"/>
          <w:i/>
        </w:rPr>
        <w:t>Седова</w:t>
      </w:r>
      <w:r w:rsidR="00A0237C" w:rsidRPr="00A0237C">
        <w:rPr>
          <w:rFonts w:ascii="Times New Roman" w:hAnsi="Times New Roman" w:cs="Times New Roman"/>
          <w:i/>
        </w:rPr>
        <w:t xml:space="preserve"> </w:t>
      </w:r>
      <w:r w:rsidRPr="00A0237C">
        <w:rPr>
          <w:rFonts w:ascii="Times New Roman" w:hAnsi="Times New Roman" w:cs="Times New Roman"/>
          <w:i/>
        </w:rPr>
        <w:t>А.Д</w:t>
      </w:r>
      <w:r w:rsidRPr="00A0237C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Инновации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технологический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стран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ЕАЭС: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пути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преодоления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зависимости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от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зарубежных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//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Актуальные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проблемы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развития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ЕАЭС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условиях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современных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глобальных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изменений: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материалы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Всерос.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конф.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молодых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исследователей.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–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Иркутск,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2025</w:t>
      </w:r>
      <w:r w:rsidR="00A0237C">
        <w:rPr>
          <w:rFonts w:ascii="Times New Roman" w:hAnsi="Times New Roman" w:cs="Times New Roman"/>
        </w:rPr>
        <w:t>. – С</w:t>
      </w:r>
      <w:r w:rsidRPr="00A0237C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72-79</w:t>
      </w:r>
      <w:r w:rsidR="00A0237C">
        <w:rPr>
          <w:rFonts w:ascii="Times New Roman" w:hAnsi="Times New Roman" w:cs="Times New Roman"/>
        </w:rPr>
        <w:t>.</w:t>
      </w:r>
    </w:p>
  </w:footnote>
  <w:footnote w:id="4">
    <w:p w:rsidR="003208A6" w:rsidRPr="00A0237C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  <w:i/>
        </w:rPr>
        <w:t>Давыденко</w:t>
      </w:r>
      <w:r w:rsidR="00A0237C" w:rsidRPr="00A0237C">
        <w:rPr>
          <w:rFonts w:ascii="Times New Roman" w:hAnsi="Times New Roman" w:cs="Times New Roman"/>
          <w:i/>
        </w:rPr>
        <w:t xml:space="preserve"> </w:t>
      </w:r>
      <w:r w:rsidRPr="00A0237C">
        <w:rPr>
          <w:rFonts w:ascii="Times New Roman" w:hAnsi="Times New Roman" w:cs="Times New Roman"/>
          <w:i/>
        </w:rPr>
        <w:t>Е.В</w:t>
      </w:r>
      <w:r w:rsidRPr="00A0237C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Технологический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Евразийского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экономического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союза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условиях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новой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реальности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//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Экономические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отношения</w:t>
      </w:r>
      <w:r w:rsidR="00A0237C">
        <w:rPr>
          <w:rFonts w:ascii="Times New Roman" w:hAnsi="Times New Roman" w:cs="Times New Roman"/>
        </w:rPr>
        <w:t xml:space="preserve">. –  </w:t>
      </w:r>
      <w:r w:rsidR="00A0237C" w:rsidRPr="00A0237C">
        <w:rPr>
          <w:rFonts w:ascii="Times New Roman" w:hAnsi="Times New Roman" w:cs="Times New Roman"/>
        </w:rPr>
        <w:t>2024.</w:t>
      </w:r>
      <w:r w:rsidR="00A0237C">
        <w:rPr>
          <w:rFonts w:ascii="Times New Roman" w:hAnsi="Times New Roman" w:cs="Times New Roman"/>
        </w:rPr>
        <w:t xml:space="preserve"> – </w:t>
      </w:r>
      <w:r w:rsidRPr="00A0237C">
        <w:rPr>
          <w:rFonts w:ascii="Times New Roman" w:hAnsi="Times New Roman" w:cs="Times New Roman"/>
        </w:rPr>
        <w:t>Т.14,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№</w:t>
      </w:r>
      <w:r w:rsidR="001B47A0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4</w:t>
      </w:r>
      <w:r w:rsidR="001B47A0">
        <w:rPr>
          <w:rFonts w:ascii="Times New Roman" w:hAnsi="Times New Roman" w:cs="Times New Roman"/>
        </w:rPr>
        <w:t>. –</w:t>
      </w:r>
      <w:r w:rsidR="00A0237C">
        <w:rPr>
          <w:rFonts w:ascii="Times New Roman" w:hAnsi="Times New Roman" w:cs="Times New Roman"/>
        </w:rPr>
        <w:t xml:space="preserve"> </w:t>
      </w:r>
      <w:r w:rsidR="001B47A0">
        <w:rPr>
          <w:rFonts w:ascii="Times New Roman" w:hAnsi="Times New Roman" w:cs="Times New Roman"/>
        </w:rPr>
        <w:t>С</w:t>
      </w:r>
      <w:r w:rsidRPr="00A0237C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721-732</w:t>
      </w:r>
      <w:r w:rsidR="001B47A0">
        <w:rPr>
          <w:rFonts w:ascii="Times New Roman" w:hAnsi="Times New Roman" w:cs="Times New Roman"/>
        </w:rPr>
        <w:t>.</w:t>
      </w:r>
    </w:p>
  </w:footnote>
  <w:footnote w:id="5">
    <w:p w:rsidR="003208A6" w:rsidRPr="00A0237C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</w:rPr>
        <w:t xml:space="preserve"> </w:t>
      </w:r>
      <w:r w:rsidRPr="001B47A0">
        <w:rPr>
          <w:rFonts w:ascii="Times New Roman" w:hAnsi="Times New Roman" w:cs="Times New Roman"/>
          <w:i/>
        </w:rPr>
        <w:t>Капогузов</w:t>
      </w:r>
      <w:r w:rsidR="00A0237C" w:rsidRPr="001B47A0">
        <w:rPr>
          <w:rFonts w:ascii="Times New Roman" w:hAnsi="Times New Roman" w:cs="Times New Roman"/>
          <w:i/>
        </w:rPr>
        <w:t xml:space="preserve"> </w:t>
      </w:r>
      <w:r w:rsidRPr="001B47A0">
        <w:rPr>
          <w:rFonts w:ascii="Times New Roman" w:hAnsi="Times New Roman" w:cs="Times New Roman"/>
          <w:i/>
        </w:rPr>
        <w:t>Е.А.,</w:t>
      </w:r>
      <w:r w:rsidR="00A0237C" w:rsidRPr="001B47A0">
        <w:rPr>
          <w:rFonts w:ascii="Times New Roman" w:hAnsi="Times New Roman" w:cs="Times New Roman"/>
          <w:i/>
        </w:rPr>
        <w:t xml:space="preserve"> </w:t>
      </w:r>
      <w:r w:rsidRPr="001B47A0">
        <w:rPr>
          <w:rFonts w:ascii="Times New Roman" w:hAnsi="Times New Roman" w:cs="Times New Roman"/>
          <w:i/>
        </w:rPr>
        <w:t>Пахалов</w:t>
      </w:r>
      <w:r w:rsidR="00A0237C" w:rsidRPr="001B47A0">
        <w:rPr>
          <w:rFonts w:ascii="Times New Roman" w:hAnsi="Times New Roman" w:cs="Times New Roman"/>
          <w:i/>
        </w:rPr>
        <w:t xml:space="preserve"> </w:t>
      </w:r>
      <w:r w:rsidRPr="001B47A0">
        <w:rPr>
          <w:rFonts w:ascii="Times New Roman" w:hAnsi="Times New Roman" w:cs="Times New Roman"/>
          <w:i/>
        </w:rPr>
        <w:t>А.М.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Технологический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суверенитет: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концептуальные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подходы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восприятие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российскими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академическими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экспертами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//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Журнал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Новой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экономической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ассоциации</w:t>
      </w:r>
      <w:r w:rsidR="001B47A0">
        <w:rPr>
          <w:rFonts w:ascii="Times New Roman" w:hAnsi="Times New Roman" w:cs="Times New Roman"/>
        </w:rPr>
        <w:t>. –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2024.</w:t>
      </w:r>
      <w:r w:rsidR="00A0237C">
        <w:rPr>
          <w:rFonts w:ascii="Times New Roman" w:hAnsi="Times New Roman" w:cs="Times New Roman"/>
        </w:rPr>
        <w:t xml:space="preserve"> </w:t>
      </w:r>
      <w:r w:rsidR="001B47A0">
        <w:rPr>
          <w:rFonts w:ascii="Times New Roman" w:hAnsi="Times New Roman" w:cs="Times New Roman"/>
        </w:rPr>
        <w:t xml:space="preserve">– </w:t>
      </w:r>
      <w:r w:rsidRPr="00A0237C">
        <w:rPr>
          <w:rFonts w:ascii="Times New Roman" w:hAnsi="Times New Roman" w:cs="Times New Roman"/>
        </w:rPr>
        <w:t>№</w:t>
      </w:r>
      <w:r w:rsidR="001B47A0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3</w:t>
      </w:r>
      <w:r w:rsidR="001B47A0">
        <w:rPr>
          <w:rFonts w:ascii="Times New Roman" w:hAnsi="Times New Roman" w:cs="Times New Roman"/>
        </w:rPr>
        <w:t>. –</w:t>
      </w:r>
      <w:r w:rsidR="00A0237C">
        <w:rPr>
          <w:rFonts w:ascii="Times New Roman" w:hAnsi="Times New Roman" w:cs="Times New Roman"/>
        </w:rPr>
        <w:t xml:space="preserve"> </w:t>
      </w:r>
      <w:r w:rsidR="001B47A0">
        <w:rPr>
          <w:rFonts w:ascii="Times New Roman" w:hAnsi="Times New Roman" w:cs="Times New Roman"/>
        </w:rPr>
        <w:t>С</w:t>
      </w:r>
      <w:r w:rsidRPr="00A0237C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244-250</w:t>
      </w:r>
      <w:r w:rsidR="001B47A0">
        <w:rPr>
          <w:rFonts w:ascii="Times New Roman" w:hAnsi="Times New Roman" w:cs="Times New Roman"/>
        </w:rPr>
        <w:t>.</w:t>
      </w:r>
    </w:p>
  </w:footnote>
  <w:footnote w:id="6">
    <w:p w:rsidR="003208A6" w:rsidRPr="001B47A0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Технологический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стран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ЕАЭС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должен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быть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обеспечен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максимально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возможной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степени</w:t>
      </w:r>
      <w:r w:rsidR="001B47A0">
        <w:rPr>
          <w:rFonts w:ascii="Times New Roman" w:hAnsi="Times New Roman" w:cs="Times New Roman"/>
        </w:rPr>
        <w:t>.</w:t>
      </w:r>
      <w:r w:rsidR="00A0237C">
        <w:rPr>
          <w:rFonts w:ascii="Times New Roman" w:hAnsi="Times New Roman" w:cs="Times New Roman"/>
        </w:rPr>
        <w:t xml:space="preserve"> </w:t>
      </w:r>
      <w:r w:rsidR="001B47A0">
        <w:rPr>
          <w:rFonts w:ascii="Times New Roman" w:hAnsi="Times New Roman" w:cs="Times New Roman"/>
        </w:rPr>
        <w:t>–</w:t>
      </w:r>
      <w:r w:rsidR="00A0237C">
        <w:rPr>
          <w:rFonts w:ascii="Times New Roman" w:hAnsi="Times New Roman" w:cs="Times New Roman"/>
        </w:rPr>
        <w:t xml:space="preserve"> </w:t>
      </w:r>
      <w:hyperlink r:id="rId1" w:history="1">
        <w:r w:rsidRPr="00A0237C">
          <w:rPr>
            <w:rStyle w:val="aa"/>
            <w:rFonts w:ascii="Times New Roman" w:hAnsi="Times New Roman" w:cs="Times New Roman"/>
            <w:color w:val="auto"/>
            <w:u w:val="none"/>
          </w:rPr>
          <w:t>https://eec.eaeunion.org/en/news/neobkhodimo-maksimalno-obespechivat-tekhnologicheskiy-suverenitet-stran-eaes</w:t>
        </w:r>
      </w:hyperlink>
      <w:r w:rsidRPr="00A0237C">
        <w:rPr>
          <w:rFonts w:ascii="Times New Roman" w:hAnsi="Times New Roman" w:cs="Times New Roman"/>
        </w:rPr>
        <w:t>;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ЕЭФ-2023: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«Новая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промышленная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политика: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технологический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международное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сотрудничество»</w:t>
      </w:r>
      <w:r w:rsidR="001B47A0">
        <w:rPr>
          <w:rFonts w:ascii="Times New Roman" w:hAnsi="Times New Roman" w:cs="Times New Roman"/>
        </w:rPr>
        <w:t xml:space="preserve">. – </w:t>
      </w:r>
      <w:hyperlink r:id="rId2" w:history="1"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https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://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eec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.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eaeunion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.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org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/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en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/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news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/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eef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-2023-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novaya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-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promyshlennaya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-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politika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-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tekhnologicheskiy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-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suverenitet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-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i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-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mezhdunarodnaya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</w:rPr>
          <w:t>-</w:t>
        </w:r>
        <w:r w:rsidRPr="001B47A0">
          <w:rPr>
            <w:rStyle w:val="aa"/>
            <w:rFonts w:ascii="Times New Roman" w:hAnsi="Times New Roman" w:cs="Times New Roman"/>
            <w:color w:val="auto"/>
            <w:u w:val="none"/>
            <w:lang w:val="pl-PL"/>
          </w:rPr>
          <w:t>kooperatsiya</w:t>
        </w:r>
      </w:hyperlink>
      <w:r w:rsidR="00A0237C" w:rsidRPr="001B47A0">
        <w:rPr>
          <w:rFonts w:ascii="Times New Roman" w:hAnsi="Times New Roman" w:cs="Times New Roman"/>
        </w:rPr>
        <w:t xml:space="preserve"> </w:t>
      </w:r>
    </w:p>
  </w:footnote>
  <w:footnote w:id="7">
    <w:p w:rsidR="003208A6" w:rsidRPr="00A0237C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Страны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ЕАЭС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формируют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стратегии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технологического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суверенитета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во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взаимодействии</w:t>
      </w:r>
      <w:r w:rsidR="001B47A0">
        <w:rPr>
          <w:rFonts w:ascii="Times New Roman" w:hAnsi="Times New Roman" w:cs="Times New Roman"/>
        </w:rPr>
        <w:t xml:space="preserve">. – </w:t>
      </w:r>
      <w:hyperlink r:id="rId3" w:history="1">
        <w:r w:rsidRPr="00A0237C">
          <w:rPr>
            <w:rStyle w:val="aa"/>
            <w:rFonts w:ascii="Times New Roman" w:hAnsi="Times New Roman" w:cs="Times New Roman"/>
            <w:color w:val="auto"/>
            <w:u w:val="none"/>
          </w:rPr>
          <w:t>https://rg.ru/2025/05/26/strany-eaes-v-poiskah-tehnologicheskogo-suvereniteta.html</w:t>
        </w:r>
      </w:hyperlink>
      <w:r w:rsidR="00A0237C">
        <w:rPr>
          <w:rFonts w:ascii="Times New Roman" w:hAnsi="Times New Roman" w:cs="Times New Roman"/>
        </w:rPr>
        <w:t xml:space="preserve"> </w:t>
      </w:r>
    </w:p>
  </w:footnote>
  <w:footnote w:id="8">
    <w:p w:rsidR="003208A6" w:rsidRPr="001B47A0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Global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Innovation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Index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2024: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Unlocking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the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Promise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of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Social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="001B47A0">
        <w:rPr>
          <w:rFonts w:ascii="Times New Roman" w:hAnsi="Times New Roman" w:cs="Times New Roman"/>
          <w:lang w:val="en-US"/>
        </w:rPr>
        <w:t>Entrepreneurship</w:t>
      </w:r>
      <w:r w:rsidR="001B47A0" w:rsidRPr="001B47A0">
        <w:rPr>
          <w:rFonts w:ascii="Times New Roman" w:hAnsi="Times New Roman" w:cs="Times New Roman"/>
          <w:lang w:val="en-US"/>
        </w:rPr>
        <w:t xml:space="preserve"> /</w:t>
      </w:r>
      <w:r w:rsidR="00A0237C">
        <w:rPr>
          <w:rFonts w:ascii="Times New Roman" w:hAnsi="Times New Roman" w:cs="Times New Roman"/>
          <w:lang w:val="en-US"/>
        </w:rPr>
        <w:t xml:space="preserve"> </w:t>
      </w:r>
      <w:r w:rsidRPr="00A0237C">
        <w:rPr>
          <w:rFonts w:ascii="Times New Roman" w:hAnsi="Times New Roman" w:cs="Times New Roman"/>
          <w:lang w:val="en-US"/>
        </w:rPr>
        <w:t>WIPO</w:t>
      </w:r>
      <w:r w:rsidR="001B47A0">
        <w:rPr>
          <w:rFonts w:ascii="Times New Roman" w:hAnsi="Times New Roman" w:cs="Times New Roman"/>
          <w:lang w:val="en-US"/>
        </w:rPr>
        <w:t>. –</w:t>
      </w:r>
      <w:r w:rsidR="00A0237C" w:rsidRPr="001B47A0">
        <w:rPr>
          <w:rFonts w:ascii="Times New Roman" w:hAnsi="Times New Roman" w:cs="Times New Roman"/>
          <w:lang w:val="en-US"/>
        </w:rPr>
        <w:t xml:space="preserve"> </w:t>
      </w:r>
      <w:r w:rsidRPr="001B47A0">
        <w:rPr>
          <w:rFonts w:ascii="Times New Roman" w:hAnsi="Times New Roman" w:cs="Times New Roman"/>
          <w:lang w:val="en-US"/>
        </w:rPr>
        <w:t>2024</w:t>
      </w:r>
      <w:r w:rsidR="001B47A0">
        <w:rPr>
          <w:rFonts w:ascii="Times New Roman" w:hAnsi="Times New Roman" w:cs="Times New Roman"/>
          <w:lang w:val="en-US"/>
        </w:rPr>
        <w:t>.</w:t>
      </w:r>
    </w:p>
  </w:footnote>
  <w:footnote w:id="9">
    <w:p w:rsidR="003208A6" w:rsidRPr="00A0237C" w:rsidRDefault="003208A6" w:rsidP="00A0237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0237C">
        <w:rPr>
          <w:rStyle w:val="a5"/>
          <w:rFonts w:ascii="Times New Roman" w:hAnsi="Times New Roman" w:cs="Times New Roman"/>
        </w:rPr>
        <w:footnoteRef/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Страны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ЕАЭС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будут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стремиться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к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технологическому</w:t>
      </w:r>
      <w:r w:rsidR="00A0237C">
        <w:rPr>
          <w:rFonts w:ascii="Times New Roman" w:hAnsi="Times New Roman" w:cs="Times New Roman"/>
        </w:rPr>
        <w:t xml:space="preserve"> </w:t>
      </w:r>
      <w:r w:rsidRPr="00A0237C">
        <w:rPr>
          <w:rFonts w:ascii="Times New Roman" w:hAnsi="Times New Roman" w:cs="Times New Roman"/>
        </w:rPr>
        <w:t>суверенитету</w:t>
      </w:r>
      <w:r w:rsidR="001B47A0">
        <w:rPr>
          <w:rFonts w:ascii="Times New Roman" w:hAnsi="Times New Roman" w:cs="Times New Roman"/>
        </w:rPr>
        <w:t xml:space="preserve">. – </w:t>
      </w:r>
      <w:hyperlink r:id="rId4" w:history="1">
        <w:r w:rsidRPr="00A0237C">
          <w:rPr>
            <w:rStyle w:val="aa"/>
            <w:rFonts w:ascii="Times New Roman" w:hAnsi="Times New Roman" w:cs="Times New Roman"/>
            <w:color w:val="auto"/>
            <w:u w:val="none"/>
          </w:rPr>
          <w:t>https://www.eprussia.ru/news/base/2023/2068190.htm</w:t>
        </w:r>
      </w:hyperlink>
      <w:r w:rsidR="00A0237C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2BB"/>
    <w:rsid w:val="001155DB"/>
    <w:rsid w:val="001363FC"/>
    <w:rsid w:val="00174B31"/>
    <w:rsid w:val="001B1508"/>
    <w:rsid w:val="001B29CF"/>
    <w:rsid w:val="001B47A0"/>
    <w:rsid w:val="001C4DB8"/>
    <w:rsid w:val="002232BF"/>
    <w:rsid w:val="002916FA"/>
    <w:rsid w:val="00293DD8"/>
    <w:rsid w:val="002D3BA4"/>
    <w:rsid w:val="002D6DE9"/>
    <w:rsid w:val="003208A6"/>
    <w:rsid w:val="003502BB"/>
    <w:rsid w:val="0038570A"/>
    <w:rsid w:val="003C6CB1"/>
    <w:rsid w:val="005955F4"/>
    <w:rsid w:val="005C63FC"/>
    <w:rsid w:val="006171D6"/>
    <w:rsid w:val="006661ED"/>
    <w:rsid w:val="006B7AA1"/>
    <w:rsid w:val="006E6CCF"/>
    <w:rsid w:val="00701700"/>
    <w:rsid w:val="00753A79"/>
    <w:rsid w:val="007754E5"/>
    <w:rsid w:val="00850F42"/>
    <w:rsid w:val="008555E2"/>
    <w:rsid w:val="00990F76"/>
    <w:rsid w:val="009A60C4"/>
    <w:rsid w:val="00A0237C"/>
    <w:rsid w:val="00A33927"/>
    <w:rsid w:val="00A97FBB"/>
    <w:rsid w:val="00C01FCD"/>
    <w:rsid w:val="00C048E1"/>
    <w:rsid w:val="00C778C6"/>
    <w:rsid w:val="00CE53E5"/>
    <w:rsid w:val="00DD3691"/>
    <w:rsid w:val="00E2536E"/>
    <w:rsid w:val="00EE4B2E"/>
    <w:rsid w:val="00F213A7"/>
    <w:rsid w:val="00F34043"/>
    <w:rsid w:val="00FB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0F7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0F7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90F7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85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70A"/>
  </w:style>
  <w:style w:type="paragraph" w:styleId="a8">
    <w:name w:val="footer"/>
    <w:basedOn w:val="a"/>
    <w:link w:val="a9"/>
    <w:uiPriority w:val="99"/>
    <w:unhideWhenUsed/>
    <w:rsid w:val="00385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70A"/>
  </w:style>
  <w:style w:type="character" w:styleId="aa">
    <w:name w:val="Hyperlink"/>
    <w:basedOn w:val="a0"/>
    <w:uiPriority w:val="99"/>
    <w:unhideWhenUsed/>
    <w:rsid w:val="006171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71D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1B47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g.ru/2025/05/26/strany-eaes-v-poiskah-tehnologicheskogo-suvereniteta.html" TargetMode="External"/><Relationship Id="rId2" Type="http://schemas.openxmlformats.org/officeDocument/2006/relationships/hyperlink" Target="https://eec.eaeunion.org/en/news/eef-2023-novaya-promyshlennaya-politika-tekhnologicheskiy-suverenitet-i-mezhdunarodnaya-kooperatsiya" TargetMode="External"/><Relationship Id="rId1" Type="http://schemas.openxmlformats.org/officeDocument/2006/relationships/hyperlink" Target="https://eec.eaeunion.org/en/news/neobkhodimo-maksimalno-obespechivat-tekhnologicheskiy-suverenitet-stran-eaes" TargetMode="External"/><Relationship Id="rId4" Type="http://schemas.openxmlformats.org/officeDocument/2006/relationships/hyperlink" Target="https://www.eprussia.ru/news/base/2023/206819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B275-47C0-48F3-88B4-3B9F87E3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Mamadaliyeva Elvira</dc:creator>
  <cp:lastModifiedBy>Владимир</cp:lastModifiedBy>
  <cp:revision>4</cp:revision>
  <dcterms:created xsi:type="dcterms:W3CDTF">2025-12-22T12:06:00Z</dcterms:created>
  <dcterms:modified xsi:type="dcterms:W3CDTF">2026-01-07T10:58:00Z</dcterms:modified>
</cp:coreProperties>
</file>