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8E" w:rsidRPr="005F0C8E" w:rsidRDefault="00386E3C" w:rsidP="005F0C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5F0C8E">
        <w:rPr>
          <w:rFonts w:ascii="Times New Roman" w:hAnsi="Times New Roman" w:cs="Times New Roman"/>
          <w:b/>
          <w:i/>
          <w:sz w:val="24"/>
          <w:szCs w:val="24"/>
        </w:rPr>
        <w:t>Дергачева</w:t>
      </w:r>
      <w:r w:rsidR="005F0C8E" w:rsidRPr="005F0C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5F0C8E" w:rsidRPr="005F0C8E">
        <w:rPr>
          <w:rFonts w:ascii="Times New Roman" w:hAnsi="Times New Roman" w:cs="Times New Roman"/>
          <w:b/>
          <w:i/>
          <w:sz w:val="24"/>
          <w:szCs w:val="24"/>
        </w:rPr>
        <w:t>.А.</w:t>
      </w:r>
    </w:p>
    <w:p w:rsidR="00386E3C" w:rsidRPr="005F0C8E" w:rsidRDefault="00386E3C" w:rsidP="005F0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F0C8E">
        <w:rPr>
          <w:rFonts w:ascii="Times New Roman" w:hAnsi="Times New Roman" w:cs="Times New Roman"/>
          <w:sz w:val="24"/>
          <w:szCs w:val="24"/>
        </w:rPr>
        <w:t>к.э.н.,</w:t>
      </w:r>
      <w:r w:rsidR="005F0C8E">
        <w:rPr>
          <w:rFonts w:ascii="Times New Roman" w:hAnsi="Times New Roman" w:cs="Times New Roman"/>
          <w:sz w:val="24"/>
          <w:szCs w:val="24"/>
        </w:rPr>
        <w:t xml:space="preserve"> доцент </w:t>
      </w:r>
      <w:r w:rsidRPr="005F0C8E">
        <w:rPr>
          <w:rFonts w:ascii="Times New Roman" w:hAnsi="Times New Roman" w:cs="Times New Roman"/>
          <w:sz w:val="24"/>
          <w:szCs w:val="24"/>
        </w:rPr>
        <w:t>кафедры</w:t>
      </w:r>
      <w:r w:rsidR="005F0C8E">
        <w:rPr>
          <w:rFonts w:ascii="Times New Roman" w:hAnsi="Times New Roman" w:cs="Times New Roman"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sz w:val="24"/>
          <w:szCs w:val="24"/>
        </w:rPr>
        <w:t>«Цифровая</w:t>
      </w:r>
      <w:r w:rsidR="005F0C8E">
        <w:rPr>
          <w:rFonts w:ascii="Times New Roman" w:hAnsi="Times New Roman" w:cs="Times New Roman"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sz w:val="24"/>
          <w:szCs w:val="24"/>
        </w:rPr>
        <w:t>экономика</w:t>
      </w:r>
      <w:r w:rsidR="005F0C8E">
        <w:rPr>
          <w:rFonts w:ascii="Times New Roman" w:hAnsi="Times New Roman" w:cs="Times New Roman"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sz w:val="24"/>
          <w:szCs w:val="24"/>
        </w:rPr>
        <w:t>и</w:t>
      </w:r>
      <w:r w:rsidR="005F0C8E">
        <w:rPr>
          <w:rFonts w:ascii="Times New Roman" w:hAnsi="Times New Roman" w:cs="Times New Roman"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sz w:val="24"/>
          <w:szCs w:val="24"/>
        </w:rPr>
        <w:t>финансы»</w:t>
      </w:r>
      <w:r w:rsidR="005F0C8E">
        <w:rPr>
          <w:rFonts w:ascii="Times New Roman" w:hAnsi="Times New Roman" w:cs="Times New Roman"/>
          <w:sz w:val="24"/>
          <w:szCs w:val="24"/>
        </w:rPr>
        <w:t xml:space="preserve"> ф</w:t>
      </w:r>
      <w:r w:rsidRPr="005F0C8E">
        <w:rPr>
          <w:rFonts w:ascii="Times New Roman" w:hAnsi="Times New Roman" w:cs="Times New Roman"/>
          <w:sz w:val="24"/>
          <w:szCs w:val="24"/>
        </w:rPr>
        <w:t>илиала</w:t>
      </w:r>
      <w:r w:rsidR="005F0C8E">
        <w:rPr>
          <w:rFonts w:ascii="Times New Roman" w:hAnsi="Times New Roman" w:cs="Times New Roman"/>
          <w:sz w:val="24"/>
          <w:szCs w:val="24"/>
        </w:rPr>
        <w:t xml:space="preserve"> Российского экономического университета, </w:t>
      </w:r>
      <w:r w:rsidRPr="005F0C8E">
        <w:rPr>
          <w:rFonts w:ascii="Times New Roman" w:hAnsi="Times New Roman" w:cs="Times New Roman"/>
          <w:sz w:val="24"/>
          <w:szCs w:val="24"/>
        </w:rPr>
        <w:t>г.</w:t>
      </w:r>
      <w:r w:rsidR="005F0C8E">
        <w:rPr>
          <w:rFonts w:ascii="Times New Roman" w:hAnsi="Times New Roman" w:cs="Times New Roman"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sz w:val="24"/>
          <w:szCs w:val="24"/>
        </w:rPr>
        <w:t>Ташкент</w:t>
      </w:r>
    </w:p>
    <w:p w:rsidR="00386E3C" w:rsidRPr="005F0C8E" w:rsidRDefault="00386E3C" w:rsidP="005F0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386E3C" w:rsidRPr="005F0C8E" w:rsidRDefault="005F0C8E" w:rsidP="005F0C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C8E">
        <w:rPr>
          <w:rFonts w:ascii="Times New Roman" w:hAnsi="Times New Roman" w:cs="Times New Roman"/>
          <w:b/>
          <w:sz w:val="24"/>
          <w:szCs w:val="24"/>
        </w:rPr>
        <w:t>ЗАРУБЕЖНЫЙ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sz w:val="24"/>
          <w:szCs w:val="24"/>
        </w:rPr>
        <w:t>ОПЫТ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sz w:val="24"/>
          <w:szCs w:val="24"/>
        </w:rPr>
        <w:t>ПЕРСПЕКТИВЫ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sz w:val="24"/>
          <w:szCs w:val="24"/>
        </w:rPr>
        <w:t>ВНЕДРЕНИЯ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sz w:val="24"/>
          <w:szCs w:val="24"/>
        </w:rPr>
        <w:t>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F0C8E">
        <w:rPr>
          <w:rFonts w:ascii="Times New Roman" w:hAnsi="Times New Roman" w:cs="Times New Roman"/>
          <w:b/>
          <w:sz w:val="24"/>
          <w:szCs w:val="24"/>
        </w:rPr>
        <w:t>ИСКУССТВЕННОГО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sz w:val="24"/>
          <w:szCs w:val="24"/>
        </w:rPr>
        <w:t>ИНТЕЛЛЕКТА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sz w:val="24"/>
          <w:szCs w:val="24"/>
        </w:rPr>
        <w:t>СЕЛЬСКОМ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sz w:val="24"/>
          <w:szCs w:val="24"/>
        </w:rPr>
        <w:t>ХОЗЯЙСТВЕ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sz w:val="24"/>
          <w:szCs w:val="24"/>
        </w:rPr>
        <w:t>РЕСПУБЛИКИ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sz w:val="24"/>
          <w:szCs w:val="24"/>
        </w:rPr>
        <w:t>УЗБЕКИСТАН</w:t>
      </w:r>
    </w:p>
    <w:p w:rsidR="00386E3C" w:rsidRPr="005F0C8E" w:rsidRDefault="00386E3C" w:rsidP="005F0C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E3C" w:rsidRPr="005F0C8E" w:rsidRDefault="00386E3C" w:rsidP="005F0C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C8E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5F0C8E" w:rsidRPr="005F0C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0C8E">
        <w:rPr>
          <w:rFonts w:ascii="Times New Roman" w:hAnsi="Times New Roman" w:cs="Times New Roman"/>
          <w:b/>
          <w:i/>
          <w:sz w:val="24"/>
          <w:szCs w:val="24"/>
        </w:rPr>
        <w:t>слова</w:t>
      </w:r>
      <w:r w:rsidRPr="005F0C8E">
        <w:rPr>
          <w:rFonts w:ascii="Times New Roman" w:hAnsi="Times New Roman" w:cs="Times New Roman"/>
          <w:i/>
          <w:sz w:val="24"/>
          <w:szCs w:val="24"/>
        </w:rPr>
        <w:t>: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искусственный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интеллект,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сельское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хозяйство,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технологии,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конкурентоспособность,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продовольственная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безопасность,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экспортный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потенциал,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финансирование,</w:t>
      </w:r>
      <w:r w:rsidR="005F0C8E" w:rsidRPr="005F0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</w:rPr>
        <w:t>стартапы.</w:t>
      </w:r>
    </w:p>
    <w:p w:rsidR="00386E3C" w:rsidRPr="005F0C8E" w:rsidRDefault="00386E3C" w:rsidP="005F0C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F0C8E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</w:t>
      </w:r>
      <w:r w:rsidRPr="005F0C8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5F0C8E" w:rsidRPr="005F0C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  <w:lang w:val="en-US"/>
        </w:rPr>
        <w:t>artificial</w:t>
      </w:r>
      <w:r w:rsidR="005F0C8E" w:rsidRPr="005F0C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  <w:lang w:val="en-US"/>
        </w:rPr>
        <w:t>intelligence,</w:t>
      </w:r>
      <w:r w:rsidR="005F0C8E" w:rsidRPr="005F0C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  <w:lang w:val="en-US"/>
        </w:rPr>
        <w:t>agriculture,</w:t>
      </w:r>
      <w:r w:rsidR="005F0C8E" w:rsidRPr="005F0C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  <w:lang w:val="en-US"/>
        </w:rPr>
        <w:t>technology,</w:t>
      </w:r>
      <w:r w:rsidR="005F0C8E" w:rsidRPr="005F0C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  <w:lang w:val="en-US"/>
        </w:rPr>
        <w:t>competitiveness,</w:t>
      </w:r>
      <w:r w:rsidR="005F0C8E" w:rsidRPr="005F0C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  <w:lang w:val="en-US"/>
        </w:rPr>
        <w:t>food</w:t>
      </w:r>
      <w:r w:rsidR="005F0C8E" w:rsidRPr="005F0C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  <w:lang w:val="en-US"/>
        </w:rPr>
        <w:t>security,</w:t>
      </w:r>
      <w:r w:rsidR="005F0C8E" w:rsidRPr="005F0C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  <w:lang w:val="en-US"/>
        </w:rPr>
        <w:t>export</w:t>
      </w:r>
      <w:r w:rsidR="005F0C8E" w:rsidRPr="005F0C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  <w:lang w:val="en-US"/>
        </w:rPr>
        <w:t>potential,</w:t>
      </w:r>
      <w:r w:rsidR="005F0C8E" w:rsidRPr="005F0C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  <w:lang w:val="en-US"/>
        </w:rPr>
        <w:t>financing,</w:t>
      </w:r>
      <w:r w:rsidR="005F0C8E" w:rsidRPr="005F0C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115E" w:rsidRPr="005F0C8E">
        <w:rPr>
          <w:rFonts w:ascii="Times New Roman" w:hAnsi="Times New Roman" w:cs="Times New Roman"/>
          <w:i/>
          <w:sz w:val="24"/>
          <w:szCs w:val="24"/>
          <w:lang w:val="en-US"/>
        </w:rPr>
        <w:t>startups.</w:t>
      </w:r>
    </w:p>
    <w:p w:rsidR="00340855" w:rsidRPr="005F0C8E" w:rsidRDefault="00340855" w:rsidP="005F0C8E">
      <w:pPr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44CBE" w:rsidRPr="005F0C8E" w:rsidRDefault="00271C27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глобальном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масштабе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назрело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усиление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</w:t>
      </w:r>
      <w:r w:rsidR="0065235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обусловлен</w:t>
      </w:r>
      <w:r w:rsidR="0065235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способностью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качественно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трансформировать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производством,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повысить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эффективность,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адаптивность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вызовам,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дефицит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производительность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труда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содействовать 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 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продовольственной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экспортного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потенциала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сохранения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427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нации.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Чрезвычайно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серьезное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продовольствием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планеты,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растущего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темпами,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посредством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урожайности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минимизации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затрат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одновременным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воздействия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среду.</w:t>
      </w:r>
    </w:p>
    <w:p w:rsidR="00C24279" w:rsidRPr="005F0C8E" w:rsidRDefault="00C24279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оптимизировать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воды,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удобрений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энергетических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ресурсов.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массивов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отношении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почв;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спутниковых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наблюдений)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интеллектуальные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дозирование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издержек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минимизирует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негативное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воздействие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C21A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среду.</w:t>
      </w:r>
    </w:p>
    <w:p w:rsidR="00CC21AA" w:rsidRPr="005F0C8E" w:rsidRDefault="00CC21AA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Алгоритмы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используются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прогнозирования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урожайности,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оптимальных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уборки,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подбора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сортов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особенностей,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способствует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стабильности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предсказуемости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производства.</w:t>
      </w:r>
    </w:p>
    <w:p w:rsidR="00CC21AA" w:rsidRPr="005F0C8E" w:rsidRDefault="00CC21AA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заблаговременно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угрозы,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засухами,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вредителями,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болезнями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растений.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Раннее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обнаружение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рисков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своевременное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управленческих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потери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урожая.</w:t>
      </w:r>
    </w:p>
    <w:p w:rsidR="00CC21AA" w:rsidRPr="005F0C8E" w:rsidRDefault="00CC21AA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отметить,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цифровизация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способствует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автоматизации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рутинных,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трудоемких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процессов.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управляемой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интеллектом,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снизить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зависимость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сезонной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цепочки.</w:t>
      </w:r>
    </w:p>
    <w:p w:rsidR="00CC21AA" w:rsidRPr="005F0C8E" w:rsidRDefault="004E6107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предприятиях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интеллектуальных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аналитических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программно-техническую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этапах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сбыта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продукции.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переходить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интуитивного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данных.</w:t>
      </w:r>
    </w:p>
    <w:p w:rsidR="00652359" w:rsidRPr="005F0C8E" w:rsidRDefault="00652359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заключается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«умного»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посредством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рационального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природопользования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долгосрочной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эффективности;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глобальные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цепочки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в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ении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прозрачность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экспортного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потенциала.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44CBE" w:rsidRPr="005F0C8E" w:rsidRDefault="00044CBE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целом,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сказать,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растущая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заключается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экстенсивных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интеллектуально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управляемым,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инновационным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моделям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обеспечивающим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продовольственную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безопасность.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6079E" w:rsidRPr="005F0C8E" w:rsidRDefault="00044CBE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чрезвычайно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079E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демонстрирует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широкий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спектр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интеллекта.</w:t>
      </w:r>
    </w:p>
    <w:p w:rsidR="00044CBE" w:rsidRPr="005F0C8E" w:rsidRDefault="0096079E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Одним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наиболее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прецизионное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(координатное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точное)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земледелие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гибкого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выращивания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ресурсами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хозяйства.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подхода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урожайности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оптимальном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5FE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ресурсов.</w:t>
      </w:r>
      <w:r w:rsidR="00AC5AAB" w:rsidRPr="005F0C8E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1"/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земледелие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предполагает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усреднено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масштабе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гектаров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полей,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отдельных,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часто,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небольших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участков.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подход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учитывать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разнообразие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всходов,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вегетации,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влажности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плодородия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почвы,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точечное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удобрений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пестицидов.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достигается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объединения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спутников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беспилотных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летательных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аппаратов,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сенсоров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технике,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непосредственно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землях,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метеостанциях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источниках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подобного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759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рода.</w:t>
      </w:r>
    </w:p>
    <w:p w:rsidR="00BF5FE0" w:rsidRPr="005F0C8E" w:rsidRDefault="00E77590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американск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John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Deere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крупные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производители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внедряют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автономные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тракторы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комбайны,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позволяет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управлять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оптимизировать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почвы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минимальными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потерями.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повышают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производительность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сокращают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операций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185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185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этапах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185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выращивания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185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185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185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растениеводства</w:t>
      </w:r>
      <w:r w:rsidR="00F9241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0185A" w:rsidRPr="005F0C8E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2"/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185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185A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закупит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сельхозтехнику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компании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300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долл.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США,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половина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этих средств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сельхозтехники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A6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хлопка.</w:t>
      </w:r>
      <w:r w:rsidR="00843A60" w:rsidRPr="005F0C8E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3"/>
      </w:r>
    </w:p>
    <w:p w:rsidR="0060185A" w:rsidRPr="005F0C8E" w:rsidRDefault="00843A60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отметить,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ферм</w:t>
      </w:r>
      <w:r w:rsidR="008147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ерские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7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могут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интегрировать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существующие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прецизионного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земледелия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существующим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7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7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повысить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7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7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7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значительных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7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7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капитальных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7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затрат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платформ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Farm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Management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System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облегчает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вмешательства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723D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операций.</w:t>
      </w:r>
    </w:p>
    <w:p w:rsidR="0060185A" w:rsidRPr="005F0C8E" w:rsidRDefault="008723D5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Прецизионное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земледелие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предполагает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зрения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207CB" w:rsidRPr="005F0C8E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4"/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идентифицируют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сорняки,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болезни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стресс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стадиях,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гербициды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удобрения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действительно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07C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нужно.</w:t>
      </w:r>
    </w:p>
    <w:p w:rsidR="00BF5FE0" w:rsidRPr="005F0C8E" w:rsidRDefault="00B45D37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тенденцией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автоматизация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роботов.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могут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заменять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орехов,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фруктов,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помогает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бороться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нехваткой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сезонной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силы,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потери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7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оботизация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беспилотные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тракторы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комбайны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управляются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оператором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дистанционно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GPS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препятствия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(животные,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камни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др.),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маневров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509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случае.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83276" w:rsidRPr="005F0C8E" w:rsidRDefault="00383276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Уникальным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примеро</w:t>
      </w:r>
      <w:r w:rsidR="0025501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имитируют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поведение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насекомых.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микропривода,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автономно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летать,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ориентируясь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пространстве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опылять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культуры.</w:t>
      </w:r>
      <w:r w:rsidR="00177E1D" w:rsidRPr="005F0C8E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5"/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95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95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95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95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средах,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95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95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нагрузку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95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95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естественных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95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опылителей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способствуя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восстановлению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экосистем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биоразнообразия</w:t>
      </w:r>
      <w:r w:rsidR="0093495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программирование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опыление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конкретных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растений,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7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позволяет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избега</w:t>
      </w:r>
      <w:r w:rsidR="00117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нежелательных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E1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скрещиваний.</w:t>
      </w:r>
    </w:p>
    <w:p w:rsidR="00D83689" w:rsidRPr="005F0C8E" w:rsidRDefault="00255010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странах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используются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беспилотные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летательные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аппараты.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анализируют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посевов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автоматически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распыляют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пестициды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удобрения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участках,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химикатов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нагрузку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среду.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аппараты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могут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оперативно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реагировать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реальном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времени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менеджерам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агрономам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368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83689" w:rsidRPr="005F0C8E" w:rsidRDefault="00D83689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фермерских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дехкан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7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оперативного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услугам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агрономов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мобильных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могут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изображения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поврежденных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растений,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болезни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лечению.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83689" w:rsidRPr="005F0C8E" w:rsidRDefault="00D83689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Огромное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прогнозировании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урожайности,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оптимальных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посевов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рисков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климатических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воздействий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массивов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(спутниковых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снимков,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метео-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почвенных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данных)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помогают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компаниям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долгосрочные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стратегии,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неопределенность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экстремальным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погодным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условиям.</w:t>
      </w:r>
    </w:p>
    <w:p w:rsidR="00D83689" w:rsidRPr="005F0C8E" w:rsidRDefault="003F3F4A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выделить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лидеров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EA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EA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ориентацией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EA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EA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EA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EA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EA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EA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США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дронов,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роботизированных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фермерских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хозяйствах,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Израиле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«умные»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орошения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водосбережения,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нейросетевые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алгоритмы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оптимизации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полива,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Нидерла</w:t>
      </w:r>
      <w:r w:rsidR="00781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автоматизация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тепличных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предиктивная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аналитика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микроклимата,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Китайской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цифровизации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животноводстве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логистике.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717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717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отметить,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717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717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717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717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деление,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717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т.к.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стараются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всё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разнообразие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717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</w:t>
      </w:r>
      <w:r w:rsidR="00117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717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7170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секторах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хозяйства.</w:t>
      </w:r>
    </w:p>
    <w:p w:rsidR="00383EAD" w:rsidRPr="005F0C8E" w:rsidRDefault="00692C4A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EA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23BD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стадии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становления,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отмечалось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конференции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«Применение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робототехники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хозяйстве»,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проходившей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Москве.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7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равительстве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РФ,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12%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агрокомпаний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37%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7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ближайшей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672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перспективе.</w:t>
      </w:r>
      <w:r w:rsidR="00AB6727" w:rsidRPr="005F0C8E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6"/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B3B4A" w:rsidRPr="005F0C8E" w:rsidRDefault="00AB3B4A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разработчик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«Ростсельмаш»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разработал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внедрил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систему,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«Агротоник»,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удаленный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технологическими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процессами,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оптимизировать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управлять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реального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времени.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урожайности,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предназначена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урожайности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влажности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точке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времени.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B3B4A" w:rsidRPr="005F0C8E" w:rsidRDefault="00AB3B4A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источников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финансирования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поддержки.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моделям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инструментам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отнести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грантовые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венчурные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стартапов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инновационных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компаний,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разрабатывающих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сфере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AgriTech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сотрудничество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A53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вузов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агропредприятий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прикладных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цифровому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хозяйству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государственно-частного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партнёрства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1A3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сфере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цифровизации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испытательных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площадок;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институтов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Всемирный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др.)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пилотные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цифровизации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сектора;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963A6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льготных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7705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кредитования.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D7705" w:rsidRPr="005F0C8E" w:rsidRDefault="006D7705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льготное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кредитование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закупку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обеспечения,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дооснащение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автоматизированными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системами,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закупку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дронов.</w:t>
      </w:r>
    </w:p>
    <w:p w:rsidR="006D7705" w:rsidRPr="005F0C8E" w:rsidRDefault="00DE11C9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показывает,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успешное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требует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инноваций,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условий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инфраструктуры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потенциала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стимулирования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предпринимательской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активности.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чрезвычайно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широкой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информированности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применяемых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применения.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E11C9" w:rsidRPr="005F0C8E" w:rsidRDefault="00DD0836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опроса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проведенного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A53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ВЦИОМ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показали,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40%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россиян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считают,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способствует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сбережению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ресурсов.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10%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россиян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хорошо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осведомлены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46%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респондентов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слышали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этом,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подробностей.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вызывает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определенную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тревогу.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35%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респондентов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опасаются,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привести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потере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киберугрозам,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27%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угрозе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урожайности,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17%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фермеров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процессами,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12%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снижению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10%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негативному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воздействию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среду,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9%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ухудшению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17" w:rsidRPr="005F0C8E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7"/>
      </w:r>
    </w:p>
    <w:p w:rsidR="00DE11C9" w:rsidRPr="005F0C8E" w:rsidRDefault="00DE11C9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экономикой,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учитывать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вышеназванные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цифровизации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591F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хозяйства.</w:t>
      </w:r>
    </w:p>
    <w:p w:rsidR="00DE11C9" w:rsidRPr="005F0C8E" w:rsidRDefault="000B591F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занимает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внося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значительный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вклад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ВВП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страны,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продовольственной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отрасли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сопровождается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рядом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производительностью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ручного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27D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1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ограниченностью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1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1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1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деградацией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1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1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1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зависимостью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1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1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погодных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4F17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условий.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B591F" w:rsidRPr="005F0C8E" w:rsidRDefault="001F4F17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последовательно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политику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цифровизации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агропромышленного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комплекса.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правительством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«Цифровой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2030»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предусматривает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широкое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информационно-коммуникационных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секторах,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хозяйство.</w:t>
      </w:r>
      <w:r w:rsidR="00537181" w:rsidRPr="005F0C8E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8"/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2020-2030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уделено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инновационных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платформ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земледелия.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приоритетных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посевов,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геоинформационных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(ГИС),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кластеров,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ориентированных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инновационное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6FFB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производство.</w:t>
      </w:r>
      <w:r w:rsidR="003F6FFB" w:rsidRPr="005F0C8E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9"/>
      </w:r>
    </w:p>
    <w:p w:rsidR="00BA50FA" w:rsidRPr="005F0C8E" w:rsidRDefault="00BA50FA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реализуются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пилотные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«умного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земледелия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Smart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Agriculture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Ферганской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Самаркандской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областях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внедряются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дистанционного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посевов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спутниковых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дронов;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Хорезмской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тестируются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автоматизированные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капельного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орошения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датчиков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влажности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почвы;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Ташкентской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создаются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платформы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фермеров,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обеспечивающи</w:t>
      </w:r>
      <w:r w:rsidR="00E81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погоде,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рынках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агротехническим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рекомендациям.</w:t>
      </w:r>
    </w:p>
    <w:p w:rsidR="00DC4845" w:rsidRPr="005F0C8E" w:rsidRDefault="00DC4845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интеллектуальных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формируется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инновационных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IT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Park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Uzbekistan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способствуют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стартапов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сфере,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гранты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менторскую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поддержку.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РУз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функционирует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занимается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апробацией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IT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-решений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фермеров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агрокластеров.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университетах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(Ташкентский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университет,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Ташкентский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университет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технологий)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внедряются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компетенциям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сфере.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Огромную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сотрудничество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организациями,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водопользования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аграриев.</w:t>
      </w:r>
    </w:p>
    <w:p w:rsidR="007B4CFE" w:rsidRPr="005F0C8E" w:rsidRDefault="00433E66" w:rsidP="005F0C8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того,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2030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приоритетные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хозяйстве:</w:t>
      </w:r>
    </w:p>
    <w:p w:rsidR="007B4CFE" w:rsidRPr="005F0C8E" w:rsidRDefault="007B4CFE" w:rsidP="005F0C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почвы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дистанционного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зондирования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комбайны,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глобальных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навигационных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систем;</w:t>
      </w:r>
    </w:p>
    <w:p w:rsidR="007B4CFE" w:rsidRPr="005F0C8E" w:rsidRDefault="007B4CFE" w:rsidP="005F0C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содействие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урожайности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культур;</w:t>
      </w:r>
    </w:p>
    <w:p w:rsidR="007B4CFE" w:rsidRPr="005F0C8E" w:rsidRDefault="007B4CFE" w:rsidP="005F0C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онлайн-мониторинга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(размножения)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крупного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рогатого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скота,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животных;</w:t>
      </w:r>
    </w:p>
    <w:p w:rsidR="007B4CFE" w:rsidRPr="005F0C8E" w:rsidRDefault="007B4CFE" w:rsidP="005F0C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почве,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урожайности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минеральных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удобрений.</w:t>
      </w:r>
      <w:r w:rsidR="00433E66" w:rsidRPr="005F0C8E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10"/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305A5" w:rsidRPr="005F0C8E" w:rsidRDefault="00B305A5" w:rsidP="005F0C8E">
      <w:pPr>
        <w:pStyle w:val="a4"/>
        <w:spacing w:before="0" w:beforeAutospacing="0" w:after="0" w:afterAutospacing="0" w:line="360" w:lineRule="auto"/>
        <w:ind w:firstLine="709"/>
        <w:jc w:val="both"/>
        <w:rPr>
          <w:bCs/>
        </w:rPr>
      </w:pPr>
      <w:r w:rsidRPr="005F0C8E">
        <w:rPr>
          <w:bCs/>
        </w:rPr>
        <w:t>В</w:t>
      </w:r>
      <w:r w:rsidR="005F0C8E">
        <w:rPr>
          <w:bCs/>
        </w:rPr>
        <w:t xml:space="preserve"> </w:t>
      </w:r>
      <w:r w:rsidRPr="005F0C8E">
        <w:rPr>
          <w:bCs/>
        </w:rPr>
        <w:t>Постановлении</w:t>
      </w:r>
      <w:r w:rsidR="005F0C8E">
        <w:rPr>
          <w:bCs/>
        </w:rPr>
        <w:t xml:space="preserve"> </w:t>
      </w:r>
      <w:r w:rsidR="002E5163">
        <w:rPr>
          <w:bCs/>
        </w:rPr>
        <w:t>Кабинета</w:t>
      </w:r>
      <w:r w:rsidR="005F0C8E">
        <w:rPr>
          <w:bCs/>
        </w:rPr>
        <w:t xml:space="preserve"> </w:t>
      </w:r>
      <w:r w:rsidRPr="005F0C8E">
        <w:rPr>
          <w:bCs/>
        </w:rPr>
        <w:t>Министров</w:t>
      </w:r>
      <w:r w:rsidR="005F0C8E">
        <w:rPr>
          <w:bCs/>
        </w:rPr>
        <w:t xml:space="preserve"> </w:t>
      </w:r>
      <w:r w:rsidRPr="005F0C8E">
        <w:rPr>
          <w:bCs/>
        </w:rPr>
        <w:t>Республики</w:t>
      </w:r>
      <w:r w:rsidR="005F0C8E">
        <w:rPr>
          <w:bCs/>
        </w:rPr>
        <w:t xml:space="preserve"> </w:t>
      </w:r>
      <w:r w:rsidRPr="005F0C8E">
        <w:rPr>
          <w:bCs/>
        </w:rPr>
        <w:t>Узбекистан</w:t>
      </w:r>
      <w:r w:rsidR="005F0C8E">
        <w:rPr>
          <w:bCs/>
        </w:rPr>
        <w:t xml:space="preserve"> </w:t>
      </w:r>
      <w:r w:rsidRPr="005F0C8E">
        <w:rPr>
          <w:bCs/>
        </w:rPr>
        <w:t>№</w:t>
      </w:r>
      <w:r w:rsidR="005F0C8E">
        <w:rPr>
          <w:bCs/>
        </w:rPr>
        <w:t xml:space="preserve"> </w:t>
      </w:r>
      <w:r w:rsidRPr="005F0C8E">
        <w:rPr>
          <w:bCs/>
        </w:rPr>
        <w:t>425</w:t>
      </w:r>
      <w:r w:rsidR="005F0C8E">
        <w:rPr>
          <w:bCs/>
        </w:rPr>
        <w:t xml:space="preserve"> </w:t>
      </w:r>
      <w:r w:rsidRPr="005F0C8E">
        <w:rPr>
          <w:bCs/>
        </w:rPr>
        <w:t>от</w:t>
      </w:r>
      <w:r w:rsidR="005F0C8E">
        <w:rPr>
          <w:bCs/>
        </w:rPr>
        <w:t xml:space="preserve"> </w:t>
      </w:r>
      <w:r w:rsidRPr="005F0C8E">
        <w:rPr>
          <w:bCs/>
        </w:rPr>
        <w:t>10.07.2025</w:t>
      </w:r>
      <w:r w:rsidR="005F0C8E">
        <w:rPr>
          <w:bCs/>
        </w:rPr>
        <w:t xml:space="preserve"> </w:t>
      </w:r>
      <w:r w:rsidRPr="005F0C8E">
        <w:rPr>
          <w:bCs/>
        </w:rPr>
        <w:t>г.</w:t>
      </w:r>
      <w:r w:rsidR="005F0C8E">
        <w:rPr>
          <w:bCs/>
        </w:rPr>
        <w:t xml:space="preserve"> </w:t>
      </w:r>
      <w:r w:rsidRPr="005F0C8E">
        <w:rPr>
          <w:bCs/>
        </w:rPr>
        <w:t>к</w:t>
      </w:r>
      <w:r w:rsidR="005F0C8E">
        <w:rPr>
          <w:bCs/>
        </w:rPr>
        <w:t xml:space="preserve"> </w:t>
      </w:r>
      <w:r w:rsidRPr="005F0C8E">
        <w:rPr>
          <w:bCs/>
        </w:rPr>
        <w:t>ноябрю</w:t>
      </w:r>
      <w:r w:rsidR="005F0C8E">
        <w:rPr>
          <w:bCs/>
        </w:rPr>
        <w:t xml:space="preserve"> </w:t>
      </w:r>
      <w:r w:rsidRPr="005F0C8E">
        <w:rPr>
          <w:bCs/>
        </w:rPr>
        <w:t>2026</w:t>
      </w:r>
      <w:r w:rsidR="005F0C8E">
        <w:rPr>
          <w:bCs/>
        </w:rPr>
        <w:t xml:space="preserve"> </w:t>
      </w:r>
      <w:r w:rsidRPr="005F0C8E">
        <w:rPr>
          <w:bCs/>
        </w:rPr>
        <w:t>г.</w:t>
      </w:r>
      <w:r w:rsidR="005F0C8E">
        <w:rPr>
          <w:bCs/>
        </w:rPr>
        <w:t xml:space="preserve"> </w:t>
      </w:r>
      <w:r w:rsidRPr="005F0C8E">
        <w:rPr>
          <w:bCs/>
        </w:rPr>
        <w:t>поставлены</w:t>
      </w:r>
      <w:r w:rsidR="005F0C8E">
        <w:rPr>
          <w:bCs/>
        </w:rPr>
        <w:t xml:space="preserve"> </w:t>
      </w:r>
      <w:r w:rsidRPr="005F0C8E">
        <w:rPr>
          <w:bCs/>
        </w:rPr>
        <w:t>задачи</w:t>
      </w:r>
      <w:r w:rsidR="005F0C8E">
        <w:rPr>
          <w:bCs/>
        </w:rPr>
        <w:t xml:space="preserve"> </w:t>
      </w:r>
      <w:r w:rsidRPr="005F0C8E">
        <w:rPr>
          <w:bCs/>
        </w:rPr>
        <w:t>по</w:t>
      </w:r>
      <w:r w:rsidR="005F0C8E">
        <w:rPr>
          <w:bCs/>
        </w:rPr>
        <w:t xml:space="preserve"> </w:t>
      </w:r>
      <w:r w:rsidRPr="005F0C8E">
        <w:t>реализация</w:t>
      </w:r>
      <w:r w:rsidR="005F0C8E">
        <w:t xml:space="preserve"> </w:t>
      </w:r>
      <w:r w:rsidRPr="005F0C8E">
        <w:t>пилотного</w:t>
      </w:r>
      <w:r w:rsidR="005F0C8E">
        <w:t xml:space="preserve"> </w:t>
      </w:r>
      <w:r w:rsidRPr="005F0C8E">
        <w:t>проекта</w:t>
      </w:r>
      <w:r w:rsidR="005F0C8E">
        <w:t xml:space="preserve"> </w:t>
      </w:r>
      <w:r w:rsidRPr="005F0C8E">
        <w:t>в</w:t>
      </w:r>
      <w:r w:rsidR="005F0C8E">
        <w:t xml:space="preserve"> </w:t>
      </w:r>
      <w:r w:rsidRPr="005F0C8E">
        <w:t>отдельных</w:t>
      </w:r>
      <w:r w:rsidR="005F0C8E">
        <w:t xml:space="preserve"> </w:t>
      </w:r>
      <w:r w:rsidRPr="005F0C8E">
        <w:t>регионах</w:t>
      </w:r>
      <w:r w:rsidR="005F0C8E">
        <w:t xml:space="preserve"> </w:t>
      </w:r>
      <w:r w:rsidRPr="005F0C8E">
        <w:t>по</w:t>
      </w:r>
      <w:r w:rsidR="005F0C8E">
        <w:t xml:space="preserve"> </w:t>
      </w:r>
      <w:r w:rsidRPr="005F0C8E">
        <w:t>прогнозированию</w:t>
      </w:r>
      <w:r w:rsidR="005F0C8E">
        <w:t xml:space="preserve"> </w:t>
      </w:r>
      <w:r w:rsidRPr="005F0C8E">
        <w:t>урожайности</w:t>
      </w:r>
      <w:r w:rsidR="005F0C8E">
        <w:t xml:space="preserve"> </w:t>
      </w:r>
      <w:r w:rsidRPr="005F0C8E">
        <w:t>сельскохозяйственных</w:t>
      </w:r>
      <w:r w:rsidR="005F0C8E">
        <w:t xml:space="preserve"> </w:t>
      </w:r>
      <w:r w:rsidRPr="005F0C8E">
        <w:t>культур</w:t>
      </w:r>
      <w:r w:rsidR="005F0C8E">
        <w:t xml:space="preserve"> </w:t>
      </w:r>
      <w:r w:rsidRPr="005F0C8E">
        <w:t>(пшеницы</w:t>
      </w:r>
      <w:r w:rsidR="005F0C8E">
        <w:t xml:space="preserve"> </w:t>
      </w:r>
      <w:r w:rsidRPr="005F0C8E">
        <w:t>и</w:t>
      </w:r>
      <w:r w:rsidR="005F0C8E">
        <w:t xml:space="preserve"> </w:t>
      </w:r>
      <w:r w:rsidRPr="005F0C8E">
        <w:t>хлопка)</w:t>
      </w:r>
      <w:r w:rsidR="005F0C8E">
        <w:t xml:space="preserve"> </w:t>
      </w:r>
      <w:r w:rsidRPr="005F0C8E">
        <w:t>с</w:t>
      </w:r>
      <w:r w:rsidR="005F0C8E">
        <w:t xml:space="preserve"> </w:t>
      </w:r>
      <w:r w:rsidRPr="005F0C8E">
        <w:t>использованием</w:t>
      </w:r>
      <w:r w:rsidR="005F0C8E">
        <w:t xml:space="preserve"> </w:t>
      </w:r>
      <w:r w:rsidRPr="005F0C8E">
        <w:t>искусственного</w:t>
      </w:r>
      <w:r w:rsidR="005F0C8E">
        <w:t xml:space="preserve"> </w:t>
      </w:r>
      <w:r w:rsidRPr="005F0C8E">
        <w:t>интеллекта</w:t>
      </w:r>
      <w:r w:rsidR="005F0C8E">
        <w:t xml:space="preserve"> </w:t>
      </w:r>
      <w:r w:rsidRPr="005F0C8E">
        <w:t>в</w:t>
      </w:r>
      <w:r w:rsidR="005F0C8E">
        <w:t xml:space="preserve"> </w:t>
      </w:r>
      <w:r w:rsidRPr="005F0C8E">
        <w:t>аэрокосмическом</w:t>
      </w:r>
      <w:r w:rsidR="005F0C8E">
        <w:t xml:space="preserve"> </w:t>
      </w:r>
      <w:r w:rsidRPr="005F0C8E">
        <w:t>мониторинге.</w:t>
      </w:r>
      <w:r w:rsidRPr="005F0C8E">
        <w:rPr>
          <w:rStyle w:val="a8"/>
        </w:rPr>
        <w:footnoteReference w:id="11"/>
      </w:r>
    </w:p>
    <w:p w:rsidR="000F7069" w:rsidRPr="005F0C8E" w:rsidRDefault="00967329" w:rsidP="005F0C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Несмотря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позитивных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тенденций,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масштабное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ограничивается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рядом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факторов</w:t>
      </w:r>
      <w:r w:rsidR="002E5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недостаточная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инфраструктура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(ограниченный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5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нтернету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местности,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оснащенност</w:t>
      </w:r>
      <w:r w:rsidR="002E5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фермерских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оборудованием);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нехватка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квалифицированных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цифровыми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платформами;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ограниченность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финансирования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(недостаточный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инвестиций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инновационные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разработки);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регулирования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обмена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агроданными.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67329" w:rsidRPr="005F0C8E" w:rsidRDefault="000F7069" w:rsidP="005F0C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считаем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целесообразным</w:t>
      </w:r>
      <w:r w:rsidR="002E5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5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разработку и реализацию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сферу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агротехнологий;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дальнейшее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специализированных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инкубаторов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акселератов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успешного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запуска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стартап-проектов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сфере;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инвестиций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опыта;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дальнейшую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поддержку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пилотных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(например,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сфере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орошения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животноводства).</w:t>
      </w:r>
    </w:p>
    <w:p w:rsidR="007B4CFE" w:rsidRPr="005F0C8E" w:rsidRDefault="007B4CFE" w:rsidP="005F0C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Внедрение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имеет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стратегическое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оптимизации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природных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отрасли.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Потенциал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сфере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страны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определяется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сочетанием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факторов,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богатого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аграрного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потенциала,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цифровизации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растущий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сектора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967329"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новационным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решениям.</w:t>
      </w:r>
    </w:p>
    <w:p w:rsidR="007B4CFE" w:rsidRPr="005F0C8E" w:rsidRDefault="000F7069" w:rsidP="005F0C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шагов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позволит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повысить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конкурентоспособность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агропроизводства,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знаниях,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технологиях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ответственности.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сказать,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становятся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технологическим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инструменто</w:t>
      </w:r>
      <w:r w:rsidR="002E5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элементом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стратегии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будущего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хозяйства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Узбекистан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повышения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продовольственной</w:t>
      </w:r>
      <w:r w:rsid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F0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безопасности.</w:t>
      </w:r>
    </w:p>
    <w:sectPr w:rsidR="007B4CFE" w:rsidRPr="005F0C8E" w:rsidSect="005F0C8E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0B3" w:rsidRDefault="001170B3" w:rsidP="00AC5AAB">
      <w:pPr>
        <w:spacing w:after="0" w:line="240" w:lineRule="auto"/>
      </w:pPr>
      <w:r>
        <w:separator/>
      </w:r>
    </w:p>
  </w:endnote>
  <w:endnote w:type="continuationSeparator" w:id="0">
    <w:p w:rsidR="001170B3" w:rsidRDefault="001170B3" w:rsidP="00AC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11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70B3" w:rsidRPr="005F0C8E" w:rsidRDefault="001170B3" w:rsidP="005F0C8E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0C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0C8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0C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192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F0C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0B3" w:rsidRDefault="001170B3" w:rsidP="00AC5AAB">
      <w:pPr>
        <w:spacing w:after="0" w:line="240" w:lineRule="auto"/>
      </w:pPr>
      <w:r>
        <w:separator/>
      </w:r>
    </w:p>
  </w:footnote>
  <w:footnote w:type="continuationSeparator" w:id="0">
    <w:p w:rsidR="001170B3" w:rsidRDefault="001170B3" w:rsidP="00AC5AAB">
      <w:pPr>
        <w:spacing w:after="0" w:line="240" w:lineRule="auto"/>
      </w:pPr>
      <w:r>
        <w:continuationSeparator/>
      </w:r>
    </w:p>
  </w:footnote>
  <w:footnote w:id="1">
    <w:p w:rsidR="001170B3" w:rsidRPr="001170B3" w:rsidRDefault="001170B3" w:rsidP="001170B3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170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Прецизионное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земледелие: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сельское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хозяйство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будущего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уже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здесь /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АО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«Россельхозбанк».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– 2024</w:t>
      </w:r>
      <w:r>
        <w:rPr>
          <w:rFonts w:ascii="Times New Roman" w:hAnsi="Times New Roman" w:cs="Times New Roman"/>
          <w:bCs/>
        </w:rPr>
        <w:t>. –</w:t>
      </w:r>
      <w:r w:rsidRPr="001170B3">
        <w:rPr>
          <w:rFonts w:ascii="Times New Roman" w:hAnsi="Times New Roman" w:cs="Times New Roman"/>
          <w:bCs/>
        </w:rPr>
        <w:t>14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октября.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lang w:val="en-US"/>
        </w:rPr>
        <w:t>https</w:t>
      </w:r>
      <w:r w:rsidRPr="001170B3">
        <w:rPr>
          <w:rFonts w:ascii="Times New Roman" w:hAnsi="Times New Roman" w:cs="Times New Roman"/>
        </w:rPr>
        <w:t>://</w:t>
      </w:r>
      <w:r w:rsidRPr="001170B3">
        <w:rPr>
          <w:rFonts w:ascii="Times New Roman" w:hAnsi="Times New Roman" w:cs="Times New Roman"/>
          <w:lang w:val="en-US"/>
        </w:rPr>
        <w:t>svoefermerstvo</w:t>
      </w:r>
      <w:r w:rsidRPr="001170B3">
        <w:rPr>
          <w:rFonts w:ascii="Times New Roman" w:hAnsi="Times New Roman" w:cs="Times New Roman"/>
        </w:rPr>
        <w:t>.</w:t>
      </w:r>
      <w:r w:rsidRPr="001170B3">
        <w:rPr>
          <w:rFonts w:ascii="Times New Roman" w:hAnsi="Times New Roman" w:cs="Times New Roman"/>
          <w:lang w:val="en-US"/>
        </w:rPr>
        <w:t>ru</w:t>
      </w:r>
      <w:r w:rsidRPr="001170B3">
        <w:rPr>
          <w:rFonts w:ascii="Times New Roman" w:hAnsi="Times New Roman" w:cs="Times New Roman"/>
        </w:rPr>
        <w:t>/</w:t>
      </w:r>
      <w:r w:rsidRPr="001170B3">
        <w:rPr>
          <w:rFonts w:ascii="Times New Roman" w:hAnsi="Times New Roman" w:cs="Times New Roman"/>
          <w:lang w:val="en-US"/>
        </w:rPr>
        <w:t>svoemedia</w:t>
      </w:r>
      <w:r w:rsidRPr="001170B3">
        <w:rPr>
          <w:rFonts w:ascii="Times New Roman" w:hAnsi="Times New Roman" w:cs="Times New Roman"/>
        </w:rPr>
        <w:t>/</w:t>
      </w:r>
      <w:r w:rsidRPr="001170B3">
        <w:rPr>
          <w:rFonts w:ascii="Times New Roman" w:hAnsi="Times New Roman" w:cs="Times New Roman"/>
          <w:lang w:val="en-US"/>
        </w:rPr>
        <w:t>articles</w:t>
      </w:r>
      <w:r w:rsidRPr="001170B3">
        <w:rPr>
          <w:rFonts w:ascii="Times New Roman" w:hAnsi="Times New Roman" w:cs="Times New Roman"/>
        </w:rPr>
        <w:t>/</w:t>
      </w:r>
      <w:r w:rsidRPr="001170B3">
        <w:rPr>
          <w:rFonts w:ascii="Times New Roman" w:hAnsi="Times New Roman" w:cs="Times New Roman"/>
          <w:lang w:val="en-US"/>
        </w:rPr>
        <w:t>precizionnoe</w:t>
      </w:r>
      <w:r w:rsidRPr="001170B3">
        <w:rPr>
          <w:rFonts w:ascii="Times New Roman" w:hAnsi="Times New Roman" w:cs="Times New Roman"/>
        </w:rPr>
        <w:t>-</w:t>
      </w:r>
      <w:r w:rsidRPr="001170B3">
        <w:rPr>
          <w:rFonts w:ascii="Times New Roman" w:hAnsi="Times New Roman" w:cs="Times New Roman"/>
          <w:lang w:val="en-US"/>
        </w:rPr>
        <w:t>zemledelie</w:t>
      </w:r>
    </w:p>
  </w:footnote>
  <w:footnote w:id="2">
    <w:p w:rsidR="001170B3" w:rsidRPr="001170B3" w:rsidRDefault="001170B3" w:rsidP="001170B3">
      <w:pPr>
        <w:pStyle w:val="a6"/>
        <w:ind w:firstLine="709"/>
        <w:jc w:val="both"/>
        <w:rPr>
          <w:rFonts w:ascii="Times New Roman" w:hAnsi="Times New Roman" w:cs="Times New Roman"/>
          <w:bCs/>
        </w:rPr>
      </w:pPr>
      <w:r w:rsidRPr="001170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  <w:bCs/>
        </w:rPr>
        <w:t>Топ-10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проверенных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решений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сельском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хозяйстве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использованием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ИИ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году: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оптимизация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урожайности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и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использования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ресурсов.</w:t>
      </w:r>
      <w:r>
        <w:rPr>
          <w:rFonts w:ascii="Times New Roman" w:hAnsi="Times New Roman" w:cs="Times New Roman"/>
          <w:bCs/>
        </w:rPr>
        <w:t xml:space="preserve"> – </w:t>
      </w:r>
      <w:r w:rsidRPr="001170B3">
        <w:rPr>
          <w:rFonts w:ascii="Times New Roman" w:hAnsi="Times New Roman" w:cs="Times New Roman"/>
          <w:bCs/>
        </w:rPr>
        <w:t>https://cadchain.com/tpost/i5a146yxc1-top-10-proven-ai-solutions-in-agricultur</w:t>
      </w:r>
      <w:r w:rsidRPr="001170B3">
        <w:rPr>
          <w:rFonts w:ascii="Times New Roman" w:hAnsi="Times New Roman" w:cs="Times New Roman"/>
          <w:bCs/>
          <w:lang w:val="en-US"/>
        </w:rPr>
        <w:t>e</w:t>
      </w:r>
    </w:p>
  </w:footnote>
  <w:footnote w:id="3">
    <w:p w:rsidR="001170B3" w:rsidRPr="001170B3" w:rsidRDefault="001170B3" w:rsidP="001170B3">
      <w:pPr>
        <w:pStyle w:val="a6"/>
        <w:ind w:firstLine="709"/>
        <w:jc w:val="both"/>
        <w:rPr>
          <w:rFonts w:ascii="Times New Roman" w:hAnsi="Times New Roman" w:cs="Times New Roman"/>
          <w:bCs/>
        </w:rPr>
      </w:pPr>
      <w:r w:rsidRPr="001170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Узбекистан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закупит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сельхозтехнику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американской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John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Deere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за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$300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млн</w:t>
      </w:r>
      <w:r>
        <w:rPr>
          <w:rFonts w:ascii="Times New Roman" w:hAnsi="Times New Roman" w:cs="Times New Roman"/>
          <w:bCs/>
        </w:rPr>
        <w:t xml:space="preserve"> // </w:t>
      </w:r>
      <w:r w:rsidRPr="001170B3">
        <w:rPr>
          <w:rFonts w:ascii="Times New Roman" w:hAnsi="Times New Roman" w:cs="Times New Roman"/>
          <w:bCs/>
          <w:lang w:val="en-US"/>
        </w:rPr>
        <w:t>Gazeta</w:t>
      </w:r>
      <w:r w:rsidRPr="001170B3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– 2025. – </w:t>
      </w:r>
      <w:r w:rsidRPr="001170B3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bCs/>
        </w:rPr>
        <w:t>ноября.</w:t>
      </w:r>
      <w:r>
        <w:rPr>
          <w:rFonts w:ascii="Times New Roman" w:hAnsi="Times New Roman" w:cs="Times New Roman"/>
          <w:bCs/>
        </w:rPr>
        <w:t xml:space="preserve"> – </w:t>
      </w:r>
      <w:r w:rsidRPr="001170B3">
        <w:rPr>
          <w:rFonts w:ascii="Times New Roman" w:hAnsi="Times New Roman" w:cs="Times New Roman"/>
          <w:bCs/>
        </w:rPr>
        <w:t>https://www.gazeta.uz/ru/2025/11/07/john-deere-uzbekistan</w:t>
      </w:r>
    </w:p>
  </w:footnote>
  <w:footnote w:id="4">
    <w:p w:rsidR="001170B3" w:rsidRPr="001170B3" w:rsidRDefault="001170B3" w:rsidP="001170B3">
      <w:pPr>
        <w:pStyle w:val="a6"/>
        <w:ind w:firstLine="709"/>
        <w:jc w:val="both"/>
        <w:rPr>
          <w:rFonts w:ascii="Times New Roman" w:eastAsiaTheme="majorEastAsia" w:hAnsi="Times New Roman" w:cs="Times New Roman"/>
          <w:bCs/>
          <w:lang w:val="en-US"/>
        </w:rPr>
      </w:pPr>
      <w:r w:rsidRPr="001170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  <w:i/>
        </w:rPr>
        <w:t>Свецкий А.В.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Применение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искусственного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интеллекта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в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сельском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хозяйстве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//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Сельское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хозяйство.</w:t>
      </w:r>
      <w:r>
        <w:rPr>
          <w:rFonts w:ascii="Times New Roman" w:eastAsiaTheme="majorEastAsia" w:hAnsi="Times New Roman" w:cs="Times New Roman"/>
          <w:bCs/>
        </w:rPr>
        <w:t xml:space="preserve"> – </w:t>
      </w:r>
      <w:r w:rsidRPr="001170B3">
        <w:rPr>
          <w:rFonts w:ascii="Times New Roman" w:eastAsiaTheme="majorEastAsia" w:hAnsi="Times New Roman" w:cs="Times New Roman"/>
          <w:bCs/>
        </w:rPr>
        <w:t>2022.</w:t>
      </w:r>
      <w:r>
        <w:rPr>
          <w:rFonts w:ascii="Times New Roman" w:eastAsiaTheme="majorEastAsia" w:hAnsi="Times New Roman" w:cs="Times New Roman"/>
          <w:bCs/>
        </w:rPr>
        <w:t xml:space="preserve"> – </w:t>
      </w:r>
      <w:r w:rsidRPr="001170B3">
        <w:rPr>
          <w:rFonts w:ascii="Times New Roman" w:eastAsiaTheme="majorEastAsia" w:hAnsi="Times New Roman" w:cs="Times New Roman"/>
          <w:bCs/>
        </w:rPr>
        <w:t>№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3.</w:t>
      </w:r>
      <w:r>
        <w:rPr>
          <w:rFonts w:ascii="Times New Roman" w:eastAsiaTheme="majorEastAsia" w:hAnsi="Times New Roman" w:cs="Times New Roman"/>
          <w:bCs/>
        </w:rPr>
        <w:t xml:space="preserve"> – </w:t>
      </w:r>
      <w:r w:rsidRPr="001170B3">
        <w:rPr>
          <w:rFonts w:ascii="Times New Roman" w:eastAsiaTheme="majorEastAsia" w:hAnsi="Times New Roman" w:cs="Times New Roman"/>
          <w:bCs/>
        </w:rPr>
        <w:t>С.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</w:rPr>
        <w:t>1-12.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  <w:lang w:val="en-US"/>
        </w:rPr>
        <w:t>DOI:</w:t>
      </w:r>
      <w:r>
        <w:rPr>
          <w:rFonts w:ascii="Times New Roman" w:eastAsiaTheme="majorEastAsia" w:hAnsi="Times New Roman" w:cs="Times New Roman"/>
          <w:bCs/>
          <w:lang w:val="en-US"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  <w:lang w:val="en-US"/>
        </w:rPr>
        <w:t>10.7256/2453-8809.2022.3.39469.</w:t>
      </w:r>
      <w:r>
        <w:rPr>
          <w:rFonts w:ascii="Times New Roman" w:eastAsiaTheme="majorEastAsia" w:hAnsi="Times New Roman" w:cs="Times New Roman"/>
          <w:bCs/>
          <w:lang w:val="en-US"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  <w:lang w:val="en-US"/>
        </w:rPr>
        <w:t>–</w:t>
      </w:r>
      <w:r>
        <w:rPr>
          <w:rFonts w:ascii="Times New Roman" w:eastAsiaTheme="majorEastAsia" w:hAnsi="Times New Roman" w:cs="Times New Roman"/>
          <w:bCs/>
          <w:lang w:val="en-US"/>
        </w:rPr>
        <w:t xml:space="preserve"> </w:t>
      </w:r>
      <w:r w:rsidRPr="001170B3">
        <w:rPr>
          <w:rFonts w:ascii="Times New Roman" w:eastAsiaTheme="majorEastAsia" w:hAnsi="Times New Roman" w:cs="Times New Roman"/>
          <w:bCs/>
          <w:lang w:val="en-US"/>
        </w:rPr>
        <w:t>https://cyberleninka.ru/article/n/primenenie-iskusstvennogo-intellekta-v-selskom-hozyaystve-1</w:t>
      </w:r>
    </w:p>
  </w:footnote>
  <w:footnote w:id="5">
    <w:p w:rsidR="001170B3" w:rsidRPr="001170B3" w:rsidRDefault="001170B3" w:rsidP="001170B3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170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Роботизация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в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сельском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хозяйстве: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новый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шаг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к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устойчивому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развитию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отрасли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//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Сайт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компании</w:t>
      </w:r>
      <w:r>
        <w:rPr>
          <w:rStyle w:val="a3"/>
          <w:rFonts w:ascii="Times New Roman" w:hAnsi="Times New Roman" w:cs="Times New Roman"/>
          <w:b w:val="0"/>
          <w:color w:val="000000"/>
        </w:rPr>
        <w:t xml:space="preserve"> </w:t>
      </w:r>
      <w:r w:rsidRPr="001170B3">
        <w:rPr>
          <w:rStyle w:val="a3"/>
          <w:rFonts w:ascii="Times New Roman" w:hAnsi="Times New Roman" w:cs="Times New Roman"/>
          <w:b w:val="0"/>
          <w:color w:val="000000"/>
        </w:rPr>
        <w:t>«СмартАгро».</w:t>
      </w:r>
      <w:r>
        <w:rPr>
          <w:rStyle w:val="a3"/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1170B3">
        <w:rPr>
          <w:rFonts w:ascii="Times New Roman" w:hAnsi="Times New Roman" w:cs="Times New Roman"/>
          <w:lang w:val="en-US"/>
        </w:rPr>
        <w:t>https</w:t>
      </w:r>
      <w:r w:rsidRPr="001170B3">
        <w:rPr>
          <w:rFonts w:ascii="Times New Roman" w:hAnsi="Times New Roman" w:cs="Times New Roman"/>
        </w:rPr>
        <w:t>://</w:t>
      </w:r>
      <w:r w:rsidRPr="001170B3">
        <w:rPr>
          <w:rFonts w:ascii="Times New Roman" w:hAnsi="Times New Roman" w:cs="Times New Roman"/>
          <w:lang w:val="en-US"/>
        </w:rPr>
        <w:t>smartagro</w:t>
      </w:r>
      <w:r w:rsidRPr="001170B3">
        <w:rPr>
          <w:rFonts w:ascii="Times New Roman" w:hAnsi="Times New Roman" w:cs="Times New Roman"/>
        </w:rPr>
        <w:t>.</w:t>
      </w:r>
      <w:r w:rsidRPr="001170B3">
        <w:rPr>
          <w:rFonts w:ascii="Times New Roman" w:hAnsi="Times New Roman" w:cs="Times New Roman"/>
          <w:lang w:val="en-US"/>
        </w:rPr>
        <w:t>ru</w:t>
      </w:r>
      <w:r w:rsidRPr="001170B3">
        <w:rPr>
          <w:rFonts w:ascii="Times New Roman" w:hAnsi="Times New Roman" w:cs="Times New Roman"/>
        </w:rPr>
        <w:t>/</w:t>
      </w:r>
      <w:r w:rsidRPr="001170B3">
        <w:rPr>
          <w:rFonts w:ascii="Times New Roman" w:hAnsi="Times New Roman" w:cs="Times New Roman"/>
          <w:lang w:val="en-US"/>
        </w:rPr>
        <w:t>robotizatsiya</w:t>
      </w:r>
      <w:r w:rsidRPr="001170B3">
        <w:rPr>
          <w:rFonts w:ascii="Times New Roman" w:hAnsi="Times New Roman" w:cs="Times New Roman"/>
        </w:rPr>
        <w:t>-</w:t>
      </w:r>
      <w:r w:rsidRPr="001170B3">
        <w:rPr>
          <w:rFonts w:ascii="Times New Roman" w:hAnsi="Times New Roman" w:cs="Times New Roman"/>
          <w:lang w:val="en-US"/>
        </w:rPr>
        <w:t>v</w:t>
      </w:r>
      <w:r w:rsidRPr="001170B3">
        <w:rPr>
          <w:rFonts w:ascii="Times New Roman" w:hAnsi="Times New Roman" w:cs="Times New Roman"/>
        </w:rPr>
        <w:t>-</w:t>
      </w:r>
      <w:r w:rsidRPr="001170B3">
        <w:rPr>
          <w:rFonts w:ascii="Times New Roman" w:hAnsi="Times New Roman" w:cs="Times New Roman"/>
          <w:lang w:val="en-US"/>
        </w:rPr>
        <w:t>selskom</w:t>
      </w:r>
      <w:r w:rsidRPr="001170B3">
        <w:rPr>
          <w:rFonts w:ascii="Times New Roman" w:hAnsi="Times New Roman" w:cs="Times New Roman"/>
        </w:rPr>
        <w:t>-</w:t>
      </w:r>
      <w:r w:rsidRPr="001170B3">
        <w:rPr>
          <w:rFonts w:ascii="Times New Roman" w:hAnsi="Times New Roman" w:cs="Times New Roman"/>
          <w:lang w:val="en-US"/>
        </w:rPr>
        <w:t>khozyaystve</w:t>
      </w:r>
    </w:p>
  </w:footnote>
  <w:footnote w:id="6">
    <w:p w:rsidR="001170B3" w:rsidRPr="001170B3" w:rsidRDefault="001170B3" w:rsidP="001170B3">
      <w:pPr>
        <w:pStyle w:val="a6"/>
        <w:ind w:firstLine="709"/>
        <w:jc w:val="both"/>
        <w:rPr>
          <w:rFonts w:ascii="Times New Roman" w:hAnsi="Times New Roman" w:cs="Times New Roman"/>
          <w:sz w:val="2"/>
        </w:rPr>
      </w:pPr>
      <w:r w:rsidRPr="001170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Совфеде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рассказали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внедрении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ИИ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сельское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хозяйство.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="00E81A53"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– </w:t>
      </w:r>
      <w:r w:rsidR="00E81A53"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2025</w:t>
      </w:r>
      <w:r w:rsidR="00E81A53"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. –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Февраль</w:t>
      </w:r>
      <w:r w:rsidR="00E81A53"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//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РИА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новости.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="00E81A53">
        <w:rPr>
          <w:rFonts w:ascii="Times New Roman" w:hAnsi="Times New Roman" w:cs="Times New Roman"/>
          <w:color w:val="000000"/>
          <w:szCs w:val="5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https://ria.ru/20250225/ii-2001582166.html</w:t>
      </w:r>
    </w:p>
  </w:footnote>
  <w:footnote w:id="7">
    <w:p w:rsidR="001170B3" w:rsidRPr="001170B3" w:rsidRDefault="001170B3" w:rsidP="001170B3">
      <w:pPr>
        <w:pStyle w:val="a6"/>
        <w:ind w:firstLine="709"/>
        <w:jc w:val="both"/>
        <w:rPr>
          <w:rFonts w:ascii="Times New Roman" w:hAnsi="Times New Roman" w:cs="Times New Roman"/>
          <w:color w:val="000000"/>
          <w:szCs w:val="54"/>
          <w:shd w:val="clear" w:color="auto" w:fill="FFFFFF"/>
        </w:rPr>
      </w:pPr>
      <w:r w:rsidRPr="001170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ВЦИОМ: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порядка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40%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россиян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согласны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тем,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что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ИИ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полезен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сельском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хозяйстве.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="00E81A53"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– 2025. –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Сентябрь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2025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="00E81A53">
        <w:rPr>
          <w:rFonts w:ascii="Times New Roman" w:hAnsi="Times New Roman" w:cs="Times New Roman"/>
          <w:color w:val="000000"/>
          <w:szCs w:val="5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Cs w:val="54"/>
          <w:shd w:val="clear" w:color="auto" w:fill="FFFFFF"/>
        </w:rPr>
        <w:t xml:space="preserve"> </w:t>
      </w:r>
      <w:r w:rsidRPr="001170B3">
        <w:rPr>
          <w:rFonts w:ascii="Times New Roman" w:hAnsi="Times New Roman" w:cs="Times New Roman"/>
          <w:color w:val="000000"/>
          <w:szCs w:val="54"/>
          <w:shd w:val="clear" w:color="auto" w:fill="FFFFFF"/>
        </w:rPr>
        <w:t>https://tass.ru/obschestvo/25090881</w:t>
      </w:r>
    </w:p>
  </w:footnote>
  <w:footnote w:id="8">
    <w:p w:rsidR="001170B3" w:rsidRPr="001170B3" w:rsidRDefault="001170B3" w:rsidP="001170B3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170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Узбекистан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УП-6079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05.10.2020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«Об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утверждении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«Цифровой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Узбекистан-2030»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мерах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ее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эффективной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реализации»</w:t>
      </w:r>
      <w:r w:rsidR="00E81A53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Национальная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база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законодательства.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https://lex.uz/docs/5031048</w:t>
      </w:r>
    </w:p>
  </w:footnote>
  <w:footnote w:id="9">
    <w:p w:rsidR="001170B3" w:rsidRPr="001170B3" w:rsidRDefault="001170B3" w:rsidP="001170B3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170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  <w:color w:val="212529"/>
        </w:rPr>
        <w:t>Указ</w:t>
      </w:r>
      <w:r>
        <w:rPr>
          <w:rFonts w:ascii="Times New Roman" w:hAnsi="Times New Roman" w:cs="Times New Roman"/>
          <w:color w:val="212529"/>
        </w:rPr>
        <w:t xml:space="preserve"> </w:t>
      </w:r>
      <w:r w:rsidRPr="001170B3">
        <w:rPr>
          <w:rFonts w:ascii="Times New Roman" w:hAnsi="Times New Roman" w:cs="Times New Roman"/>
          <w:color w:val="212529"/>
        </w:rPr>
        <w:t>Президента</w:t>
      </w:r>
      <w:r>
        <w:rPr>
          <w:rFonts w:ascii="Times New Roman" w:hAnsi="Times New Roman" w:cs="Times New Roman"/>
          <w:color w:val="212529"/>
        </w:rPr>
        <w:t xml:space="preserve"> </w:t>
      </w:r>
      <w:r w:rsidRPr="001170B3">
        <w:rPr>
          <w:rFonts w:ascii="Times New Roman" w:hAnsi="Times New Roman" w:cs="Times New Roman"/>
          <w:color w:val="212529"/>
        </w:rPr>
        <w:t>Республики</w:t>
      </w:r>
      <w:r>
        <w:rPr>
          <w:rFonts w:ascii="Times New Roman" w:hAnsi="Times New Roman" w:cs="Times New Roman"/>
          <w:color w:val="212529"/>
        </w:rPr>
        <w:t xml:space="preserve"> </w:t>
      </w:r>
      <w:r w:rsidRPr="001170B3">
        <w:rPr>
          <w:rFonts w:ascii="Times New Roman" w:hAnsi="Times New Roman" w:cs="Times New Roman"/>
          <w:color w:val="212529"/>
        </w:rPr>
        <w:t>Узбекистан</w:t>
      </w:r>
      <w:r>
        <w:rPr>
          <w:rFonts w:ascii="Times New Roman" w:hAnsi="Times New Roman" w:cs="Times New Roman"/>
          <w:color w:val="212529"/>
        </w:rPr>
        <w:t xml:space="preserve"> </w:t>
      </w:r>
      <w:r w:rsidRPr="001170B3">
        <w:rPr>
          <w:rFonts w:ascii="Times New Roman" w:hAnsi="Times New Roman" w:cs="Times New Roman"/>
          <w:color w:val="212529"/>
        </w:rPr>
        <w:t>№</w:t>
      </w:r>
      <w:r>
        <w:rPr>
          <w:rFonts w:ascii="Times New Roman" w:hAnsi="Times New Roman" w:cs="Times New Roman"/>
          <w:color w:val="212529"/>
        </w:rPr>
        <w:t xml:space="preserve"> </w:t>
      </w:r>
      <w:r w:rsidRPr="001170B3">
        <w:rPr>
          <w:rFonts w:ascii="Times New Roman" w:hAnsi="Times New Roman" w:cs="Times New Roman"/>
          <w:color w:val="212529"/>
        </w:rPr>
        <w:t>УП-5853</w:t>
      </w:r>
      <w:r>
        <w:rPr>
          <w:rFonts w:ascii="Times New Roman" w:hAnsi="Times New Roman" w:cs="Times New Roman"/>
          <w:color w:val="212529"/>
        </w:rPr>
        <w:t xml:space="preserve"> </w:t>
      </w:r>
      <w:r w:rsidRPr="001170B3">
        <w:rPr>
          <w:rFonts w:ascii="Times New Roman" w:hAnsi="Times New Roman" w:cs="Times New Roman"/>
          <w:color w:val="212529"/>
        </w:rPr>
        <w:t>от</w:t>
      </w:r>
      <w:r>
        <w:rPr>
          <w:rFonts w:ascii="Times New Roman" w:hAnsi="Times New Roman" w:cs="Times New Roman"/>
          <w:color w:val="212529"/>
        </w:rPr>
        <w:t xml:space="preserve"> </w:t>
      </w:r>
      <w:r w:rsidRPr="001170B3">
        <w:rPr>
          <w:rFonts w:ascii="Times New Roman" w:hAnsi="Times New Roman" w:cs="Times New Roman"/>
          <w:color w:val="212529"/>
        </w:rPr>
        <w:t>23.10.2019</w:t>
      </w:r>
      <w:r>
        <w:rPr>
          <w:rFonts w:ascii="Times New Roman" w:hAnsi="Times New Roman" w:cs="Times New Roman"/>
          <w:color w:val="212529"/>
        </w:rPr>
        <w:t xml:space="preserve"> </w:t>
      </w:r>
      <w:r w:rsidRPr="001170B3">
        <w:rPr>
          <w:rFonts w:ascii="Times New Roman" w:hAnsi="Times New Roman" w:cs="Times New Roman"/>
          <w:color w:val="212529"/>
        </w:rPr>
        <w:t>г.</w:t>
      </w:r>
      <w:r>
        <w:rPr>
          <w:rFonts w:ascii="Times New Roman" w:hAnsi="Times New Roman" w:cs="Times New Roman"/>
          <w:color w:val="212529"/>
        </w:rPr>
        <w:t xml:space="preserve"> </w:t>
      </w:r>
      <w:r w:rsidRPr="001170B3">
        <w:rPr>
          <w:rFonts w:ascii="Times New Roman" w:hAnsi="Times New Roman" w:cs="Times New Roman"/>
        </w:rPr>
        <w:t>«Об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утверждении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сельского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хозяйства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Узбекистан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2020-2030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годы»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Национальная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база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законодательства.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81A53">
        <w:rPr>
          <w:rFonts w:ascii="Times New Roman" w:hAnsi="Times New Roman" w:cs="Times New Roman"/>
        </w:rPr>
        <w:t>https://lex.uz/ru/docs/4567337</w:t>
      </w:r>
    </w:p>
  </w:footnote>
  <w:footnote w:id="10">
    <w:p w:rsidR="001170B3" w:rsidRPr="001170B3" w:rsidRDefault="001170B3" w:rsidP="001170B3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170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Постановление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Узбекистан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ПП-358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14.10.2024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«Об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утверждении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технологий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искусственного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интеллекта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2030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года»</w:t>
      </w:r>
      <w:r w:rsidR="002E5163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Национальная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база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законодательства.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https://lex.uz/ru/docs/7158606</w:t>
      </w:r>
    </w:p>
  </w:footnote>
  <w:footnote w:id="11">
    <w:p w:rsidR="001170B3" w:rsidRPr="001170B3" w:rsidRDefault="001170B3" w:rsidP="001170B3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170B3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eastAsia="Times New Roman" w:hAnsi="Times New Roman" w:cs="Times New Roman"/>
          <w:bCs/>
          <w:lang w:eastAsia="ru-RU"/>
        </w:rPr>
        <w:t>Постановлении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170B3">
        <w:rPr>
          <w:rFonts w:ascii="Times New Roman" w:eastAsia="Times New Roman" w:hAnsi="Times New Roman" w:cs="Times New Roman"/>
          <w:bCs/>
          <w:lang w:eastAsia="ru-RU"/>
        </w:rPr>
        <w:t>Кабинете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170B3">
        <w:rPr>
          <w:rFonts w:ascii="Times New Roman" w:eastAsia="Times New Roman" w:hAnsi="Times New Roman" w:cs="Times New Roman"/>
          <w:bCs/>
          <w:lang w:eastAsia="ru-RU"/>
        </w:rPr>
        <w:t>Министров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170B3">
        <w:rPr>
          <w:rFonts w:ascii="Times New Roman" w:eastAsia="Times New Roman" w:hAnsi="Times New Roman" w:cs="Times New Roman"/>
          <w:bCs/>
          <w:lang w:eastAsia="ru-RU"/>
        </w:rPr>
        <w:t>Республики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170B3">
        <w:rPr>
          <w:rFonts w:ascii="Times New Roman" w:eastAsia="Times New Roman" w:hAnsi="Times New Roman" w:cs="Times New Roman"/>
          <w:bCs/>
          <w:lang w:eastAsia="ru-RU"/>
        </w:rPr>
        <w:t>Узбекистан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170B3">
        <w:rPr>
          <w:rFonts w:ascii="Times New Roman" w:eastAsia="Times New Roman" w:hAnsi="Times New Roman" w:cs="Times New Roman"/>
          <w:bCs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170B3">
        <w:rPr>
          <w:rFonts w:ascii="Times New Roman" w:eastAsia="Times New Roman" w:hAnsi="Times New Roman" w:cs="Times New Roman"/>
          <w:bCs/>
          <w:lang w:eastAsia="ru-RU"/>
        </w:rPr>
        <w:t>425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170B3">
        <w:rPr>
          <w:rFonts w:ascii="Times New Roman" w:eastAsia="Times New Roman" w:hAnsi="Times New Roman" w:cs="Times New Roman"/>
          <w:bCs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170B3">
        <w:rPr>
          <w:rFonts w:ascii="Times New Roman" w:eastAsia="Times New Roman" w:hAnsi="Times New Roman" w:cs="Times New Roman"/>
          <w:bCs/>
          <w:lang w:eastAsia="ru-RU"/>
        </w:rPr>
        <w:t>10.07.2025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170B3">
        <w:rPr>
          <w:rFonts w:ascii="Times New Roman" w:eastAsia="Times New Roman" w:hAnsi="Times New Roman" w:cs="Times New Roman"/>
          <w:bCs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1170B3">
        <w:rPr>
          <w:rFonts w:ascii="Times New Roman" w:eastAsia="Times New Roman" w:hAnsi="Times New Roman" w:cs="Times New Roman"/>
          <w:bCs/>
          <w:lang w:eastAsia="ru-RU"/>
        </w:rPr>
        <w:t>«О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мерах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по</w:t>
      </w:r>
      <w:r w:rsidR="002E5163" w:rsidRPr="002E5163">
        <w:t xml:space="preserve"> </w:t>
      </w:r>
      <w:r w:rsidRPr="001170B3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приоритетных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проектов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технологий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искусственного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интеллекта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2025-2026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годах»</w:t>
      </w:r>
      <w:r w:rsidR="002E5163">
        <w:rPr>
          <w:rFonts w:ascii="Times New Roman" w:hAnsi="Times New Roman" w:cs="Times New Roman"/>
        </w:rPr>
        <w:t xml:space="preserve"> //</w:t>
      </w:r>
      <w:r w:rsidRPr="002E5163">
        <w:t xml:space="preserve"> </w:t>
      </w:r>
      <w:r w:rsidRPr="001170B3">
        <w:rPr>
          <w:rFonts w:ascii="Times New Roman" w:hAnsi="Times New Roman" w:cs="Times New Roman"/>
        </w:rPr>
        <w:t>Национальная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база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законодательства.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170B3">
        <w:rPr>
          <w:rFonts w:ascii="Times New Roman" w:hAnsi="Times New Roman" w:cs="Times New Roman"/>
        </w:rPr>
        <w:t>https://lex.uz/ru/docs/7621993#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8BC"/>
    <w:multiLevelType w:val="multilevel"/>
    <w:tmpl w:val="8A9C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26A7E"/>
    <w:multiLevelType w:val="multilevel"/>
    <w:tmpl w:val="65F0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031EF"/>
    <w:multiLevelType w:val="multilevel"/>
    <w:tmpl w:val="BB6E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FD76D6"/>
    <w:multiLevelType w:val="multilevel"/>
    <w:tmpl w:val="993E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D3EF9"/>
    <w:multiLevelType w:val="multilevel"/>
    <w:tmpl w:val="27BE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A01DC4"/>
    <w:multiLevelType w:val="multilevel"/>
    <w:tmpl w:val="5C1A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054B26"/>
    <w:multiLevelType w:val="multilevel"/>
    <w:tmpl w:val="4FDC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057B7C"/>
    <w:multiLevelType w:val="multilevel"/>
    <w:tmpl w:val="4CEA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86860"/>
    <w:multiLevelType w:val="multilevel"/>
    <w:tmpl w:val="E2D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A7262"/>
    <w:multiLevelType w:val="multilevel"/>
    <w:tmpl w:val="BB90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95173D"/>
    <w:multiLevelType w:val="multilevel"/>
    <w:tmpl w:val="5512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A38D3"/>
    <w:multiLevelType w:val="multilevel"/>
    <w:tmpl w:val="583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E7F47"/>
    <w:multiLevelType w:val="multilevel"/>
    <w:tmpl w:val="438A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405AF5"/>
    <w:multiLevelType w:val="multilevel"/>
    <w:tmpl w:val="7FB2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2E3A57"/>
    <w:multiLevelType w:val="multilevel"/>
    <w:tmpl w:val="BDE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D96815"/>
    <w:multiLevelType w:val="hybridMultilevel"/>
    <w:tmpl w:val="6E60C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E6363EC"/>
    <w:multiLevelType w:val="multilevel"/>
    <w:tmpl w:val="54DC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2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14"/>
  </w:num>
  <w:num w:numId="11">
    <w:abstractNumId w:val="6"/>
  </w:num>
  <w:num w:numId="12">
    <w:abstractNumId w:val="3"/>
  </w:num>
  <w:num w:numId="13">
    <w:abstractNumId w:val="1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E98"/>
    <w:rsid w:val="00017F84"/>
    <w:rsid w:val="00044CBE"/>
    <w:rsid w:val="00065F95"/>
    <w:rsid w:val="000B591F"/>
    <w:rsid w:val="000F7069"/>
    <w:rsid w:val="001170B3"/>
    <w:rsid w:val="00165095"/>
    <w:rsid w:val="00176D31"/>
    <w:rsid w:val="00177E1D"/>
    <w:rsid w:val="001F4F17"/>
    <w:rsid w:val="00255010"/>
    <w:rsid w:val="00271C27"/>
    <w:rsid w:val="002D7170"/>
    <w:rsid w:val="002E5163"/>
    <w:rsid w:val="00340855"/>
    <w:rsid w:val="00383276"/>
    <w:rsid w:val="00383EAD"/>
    <w:rsid w:val="00386E3C"/>
    <w:rsid w:val="003F3F4A"/>
    <w:rsid w:val="003F6FFB"/>
    <w:rsid w:val="00427130"/>
    <w:rsid w:val="00430A72"/>
    <w:rsid w:val="00433E66"/>
    <w:rsid w:val="004963A6"/>
    <w:rsid w:val="004E6107"/>
    <w:rsid w:val="0052147E"/>
    <w:rsid w:val="00537181"/>
    <w:rsid w:val="00565382"/>
    <w:rsid w:val="005739E6"/>
    <w:rsid w:val="005C6980"/>
    <w:rsid w:val="005F0C8E"/>
    <w:rsid w:val="0060185A"/>
    <w:rsid w:val="00652359"/>
    <w:rsid w:val="00692C4A"/>
    <w:rsid w:val="006D7705"/>
    <w:rsid w:val="006E115E"/>
    <w:rsid w:val="00752C9B"/>
    <w:rsid w:val="007770C1"/>
    <w:rsid w:val="00781928"/>
    <w:rsid w:val="007B4CFE"/>
    <w:rsid w:val="0081471D"/>
    <w:rsid w:val="00843A60"/>
    <w:rsid w:val="008723D5"/>
    <w:rsid w:val="0093495F"/>
    <w:rsid w:val="0096079E"/>
    <w:rsid w:val="00967329"/>
    <w:rsid w:val="00AA1A35"/>
    <w:rsid w:val="00AB3B4A"/>
    <w:rsid w:val="00AB6727"/>
    <w:rsid w:val="00AC5AAB"/>
    <w:rsid w:val="00B207CB"/>
    <w:rsid w:val="00B305A5"/>
    <w:rsid w:val="00B45D37"/>
    <w:rsid w:val="00BA50FA"/>
    <w:rsid w:val="00BC7433"/>
    <w:rsid w:val="00BE27D7"/>
    <w:rsid w:val="00BF5FE0"/>
    <w:rsid w:val="00C24279"/>
    <w:rsid w:val="00CC21AA"/>
    <w:rsid w:val="00D83689"/>
    <w:rsid w:val="00D96E98"/>
    <w:rsid w:val="00DC4845"/>
    <w:rsid w:val="00DD0836"/>
    <w:rsid w:val="00DE11C9"/>
    <w:rsid w:val="00DE66FB"/>
    <w:rsid w:val="00E1706D"/>
    <w:rsid w:val="00E77590"/>
    <w:rsid w:val="00E81A53"/>
    <w:rsid w:val="00F10AC0"/>
    <w:rsid w:val="00F123BD"/>
    <w:rsid w:val="00F9241A"/>
    <w:rsid w:val="00FB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7E"/>
  </w:style>
  <w:style w:type="paragraph" w:styleId="1">
    <w:name w:val="heading 1"/>
    <w:basedOn w:val="a"/>
    <w:next w:val="a"/>
    <w:link w:val="10"/>
    <w:uiPriority w:val="9"/>
    <w:qFormat/>
    <w:rsid w:val="00AC5A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96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6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E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E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E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96E98"/>
    <w:rPr>
      <w:b/>
      <w:bCs/>
    </w:rPr>
  </w:style>
  <w:style w:type="paragraph" w:styleId="a4">
    <w:name w:val="Normal (Web)"/>
    <w:basedOn w:val="a"/>
    <w:uiPriority w:val="99"/>
    <w:unhideWhenUsed/>
    <w:rsid w:val="00D9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96E9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D96E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s-1">
    <w:name w:val="ms-1"/>
    <w:basedOn w:val="a0"/>
    <w:rsid w:val="00044CBE"/>
  </w:style>
  <w:style w:type="character" w:customStyle="1" w:styleId="max-w-15ch">
    <w:name w:val="max-w-[15ch]"/>
    <w:basedOn w:val="a0"/>
    <w:rsid w:val="00044CBE"/>
  </w:style>
  <w:style w:type="paragraph" w:styleId="a6">
    <w:name w:val="footnote text"/>
    <w:basedOn w:val="a"/>
    <w:link w:val="a7"/>
    <w:uiPriority w:val="99"/>
    <w:semiHidden/>
    <w:unhideWhenUsed/>
    <w:rsid w:val="00AC5AA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C5AA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C5AA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C5A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AB6727"/>
    <w:rPr>
      <w:color w:val="0000FF"/>
      <w:u w:val="single"/>
    </w:rPr>
  </w:style>
  <w:style w:type="paragraph" w:customStyle="1" w:styleId="paragraphparagraph0hsuv">
    <w:name w:val="paragraph_paragraph__0hsuv"/>
    <w:basedOn w:val="a"/>
    <w:rsid w:val="00DD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C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C7433"/>
  </w:style>
  <w:style w:type="paragraph" w:styleId="ac">
    <w:name w:val="footer"/>
    <w:basedOn w:val="a"/>
    <w:link w:val="ad"/>
    <w:uiPriority w:val="99"/>
    <w:unhideWhenUsed/>
    <w:rsid w:val="00BC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C7433"/>
  </w:style>
  <w:style w:type="paragraph" w:styleId="ae">
    <w:name w:val="List Paragraph"/>
    <w:basedOn w:val="a"/>
    <w:uiPriority w:val="34"/>
    <w:qFormat/>
    <w:rsid w:val="00340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3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33BB-C7A4-458E-89FE-FE0A9D38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Владимир</cp:lastModifiedBy>
  <cp:revision>4</cp:revision>
  <dcterms:created xsi:type="dcterms:W3CDTF">2025-12-23T12:46:00Z</dcterms:created>
  <dcterms:modified xsi:type="dcterms:W3CDTF">2025-12-23T13:44:00Z</dcterms:modified>
</cp:coreProperties>
</file>