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8E" w:rsidRPr="00672D56" w:rsidRDefault="00B32C41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2D56">
        <w:rPr>
          <w:rFonts w:ascii="Times New Roman" w:hAnsi="Times New Roman" w:cs="Times New Roman"/>
          <w:b/>
          <w:i/>
          <w:sz w:val="24"/>
          <w:szCs w:val="24"/>
        </w:rPr>
        <w:t>Умарова</w:t>
      </w:r>
      <w:r w:rsidR="00672D56" w:rsidRPr="00672D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2D56">
        <w:rPr>
          <w:rFonts w:ascii="Times New Roman" w:hAnsi="Times New Roman" w:cs="Times New Roman"/>
          <w:b/>
          <w:i/>
          <w:sz w:val="24"/>
          <w:szCs w:val="24"/>
        </w:rPr>
        <w:t>Д.Т.</w:t>
      </w:r>
    </w:p>
    <w:p w:rsidR="00F3778E" w:rsidRDefault="00672D56" w:rsidP="00672D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к.э.н., Высшая аудиторская палата Республики Казахстан</w:t>
      </w:r>
    </w:p>
    <w:p w:rsidR="00672D56" w:rsidRPr="00672D56" w:rsidRDefault="00672D56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dinara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.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udt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@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outlook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.</w:t>
        </w:r>
        <w:r w:rsidRPr="00672D56">
          <w:rPr>
            <w:rStyle w:val="a6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F3778E" w:rsidRPr="00F3778E" w:rsidRDefault="00F3778E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174" w:rsidRPr="00D00164" w:rsidRDefault="00672D56" w:rsidP="00672D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164">
        <w:rPr>
          <w:rFonts w:ascii="Times New Roman" w:hAnsi="Times New Roman" w:cs="Times New Roman"/>
          <w:b/>
          <w:bCs/>
          <w:sz w:val="24"/>
          <w:szCs w:val="24"/>
        </w:rPr>
        <w:t>ОТДЕЛЬНЫЕ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АСПЕКТЫ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СРЕДНЕСРОЧНУЮ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ПЕРСПЕКТИВУ</w:t>
      </w:r>
    </w:p>
    <w:p w:rsidR="00672D56" w:rsidRDefault="00672D56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3778E" w:rsidRPr="00D00164" w:rsidRDefault="00F3778E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0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</w:t>
      </w:r>
      <w:r w:rsidR="00672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развитие,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64A0" w:rsidRPr="00D00164">
        <w:rPr>
          <w:rFonts w:ascii="Times New Roman" w:hAnsi="Times New Roman" w:cs="Times New Roman"/>
          <w:i/>
          <w:iCs/>
          <w:sz w:val="24"/>
          <w:szCs w:val="24"/>
        </w:rPr>
        <w:t>благосостояние,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бюджет,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экономика,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64A0" w:rsidRPr="00D00164">
        <w:rPr>
          <w:rFonts w:ascii="Times New Roman" w:hAnsi="Times New Roman" w:cs="Times New Roman"/>
          <w:i/>
          <w:iCs/>
          <w:sz w:val="24"/>
          <w:szCs w:val="24"/>
        </w:rPr>
        <w:t>планирование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3778E" w:rsidRPr="00672D56" w:rsidRDefault="009F64A0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016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development,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welfare,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budget,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economy,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planning</w:t>
      </w:r>
      <w:r w:rsidR="00672D56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F3778E" w:rsidRPr="00D00164" w:rsidRDefault="00F3778E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6129" w:rsidRPr="00D00164" w:rsidRDefault="00173195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условиях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глобальной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относительно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экономической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политики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Международный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валютный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фонд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5593D" w:rsidRPr="00D00164">
        <w:rPr>
          <w:rFonts w:ascii="Times New Roman" w:hAnsi="Times New Roman" w:cs="Times New Roman"/>
          <w:sz w:val="24"/>
          <w:szCs w:val="24"/>
        </w:rPr>
        <w:t>рекомендует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корректировки,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соблюдение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более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строгих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правил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отношении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реформирование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ключевых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программ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расходов,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которые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составляют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значительную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часть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национальных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бюджетов</w:t>
      </w:r>
      <w:r w:rsidR="0035593D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A940B6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A940B6" w:rsidRPr="00D00164">
        <w:rPr>
          <w:rFonts w:ascii="Times New Roman" w:hAnsi="Times New Roman" w:cs="Times New Roman"/>
          <w:sz w:val="24"/>
          <w:szCs w:val="24"/>
        </w:rPr>
        <w:t>частности,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развивающимся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странам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рекомендуется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мобилиз</w:t>
      </w:r>
      <w:r w:rsidR="00672D56">
        <w:rPr>
          <w:rFonts w:ascii="Times New Roman" w:hAnsi="Times New Roman" w:cs="Times New Roman"/>
          <w:sz w:val="24"/>
          <w:szCs w:val="24"/>
        </w:rPr>
        <w:t xml:space="preserve">ация </w:t>
      </w:r>
      <w:r w:rsidR="000A79D1" w:rsidRPr="00D00164">
        <w:rPr>
          <w:rFonts w:ascii="Times New Roman" w:hAnsi="Times New Roman" w:cs="Times New Roman"/>
          <w:sz w:val="24"/>
          <w:szCs w:val="24"/>
        </w:rPr>
        <w:t>доход</w:t>
      </w:r>
      <w:r w:rsidR="00672D56">
        <w:rPr>
          <w:rFonts w:ascii="Times New Roman" w:hAnsi="Times New Roman" w:cs="Times New Roman"/>
          <w:sz w:val="24"/>
          <w:szCs w:val="24"/>
        </w:rPr>
        <w:t xml:space="preserve">ов </w:t>
      </w:r>
      <w:r w:rsidR="000A79D1" w:rsidRPr="00D00164">
        <w:rPr>
          <w:rFonts w:ascii="Times New Roman" w:hAnsi="Times New Roman" w:cs="Times New Roman"/>
          <w:sz w:val="24"/>
          <w:szCs w:val="24"/>
        </w:rPr>
        <w:t>за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счет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реформирования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налоговых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систем,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постепенн</w:t>
      </w:r>
      <w:r w:rsidR="00672D56">
        <w:rPr>
          <w:rFonts w:ascii="Times New Roman" w:hAnsi="Times New Roman" w:cs="Times New Roman"/>
          <w:sz w:val="24"/>
          <w:szCs w:val="24"/>
        </w:rPr>
        <w:t xml:space="preserve">ая </w:t>
      </w:r>
      <w:r w:rsidR="000A79D1" w:rsidRPr="00D00164">
        <w:rPr>
          <w:rFonts w:ascii="Times New Roman" w:hAnsi="Times New Roman" w:cs="Times New Roman"/>
          <w:sz w:val="24"/>
          <w:szCs w:val="24"/>
        </w:rPr>
        <w:t>отмен</w:t>
      </w:r>
      <w:r w:rsidR="00672D56">
        <w:rPr>
          <w:rFonts w:ascii="Times New Roman" w:hAnsi="Times New Roman" w:cs="Times New Roman"/>
          <w:sz w:val="24"/>
          <w:szCs w:val="24"/>
        </w:rPr>
        <w:t xml:space="preserve">а </w:t>
      </w:r>
      <w:r w:rsidR="000A79D1" w:rsidRPr="00D00164">
        <w:rPr>
          <w:rFonts w:ascii="Times New Roman" w:hAnsi="Times New Roman" w:cs="Times New Roman"/>
          <w:sz w:val="24"/>
          <w:szCs w:val="24"/>
        </w:rPr>
        <w:t>энергетических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субсидий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рационализаци</w:t>
      </w:r>
      <w:r w:rsidR="00672D56">
        <w:rPr>
          <w:rFonts w:ascii="Times New Roman" w:hAnsi="Times New Roman" w:cs="Times New Roman"/>
          <w:sz w:val="24"/>
          <w:szCs w:val="24"/>
        </w:rPr>
        <w:t xml:space="preserve">я </w:t>
      </w:r>
      <w:r w:rsidR="000A79D1"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79D1" w:rsidRPr="00D00164">
        <w:rPr>
          <w:rFonts w:ascii="Times New Roman" w:hAnsi="Times New Roman" w:cs="Times New Roman"/>
          <w:sz w:val="24"/>
          <w:szCs w:val="24"/>
        </w:rPr>
        <w:t>расходов</w:t>
      </w:r>
      <w:r w:rsidR="00DA6129" w:rsidRPr="00D00164">
        <w:rPr>
          <w:rFonts w:ascii="Times New Roman" w:hAnsi="Times New Roman" w:cs="Times New Roman"/>
          <w:sz w:val="24"/>
          <w:szCs w:val="24"/>
        </w:rPr>
        <w:t>.</w:t>
      </w:r>
    </w:p>
    <w:p w:rsidR="00CA35A0" w:rsidRPr="00D00164" w:rsidRDefault="00242C25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lastRenderedPageBreak/>
        <w:t>Проект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27179" w:rsidRPr="00D00164">
        <w:rPr>
          <w:rFonts w:ascii="Times New Roman" w:hAnsi="Times New Roman" w:cs="Times New Roman"/>
          <w:sz w:val="24"/>
          <w:szCs w:val="24"/>
        </w:rPr>
        <w:t>Республики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27179" w:rsidRPr="00D00164">
        <w:rPr>
          <w:rFonts w:ascii="Times New Roman" w:hAnsi="Times New Roman" w:cs="Times New Roman"/>
          <w:sz w:val="24"/>
          <w:szCs w:val="24"/>
        </w:rPr>
        <w:t>Казахстан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27179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27179" w:rsidRPr="00D00164">
        <w:rPr>
          <w:rFonts w:ascii="Times New Roman" w:hAnsi="Times New Roman" w:cs="Times New Roman"/>
          <w:sz w:val="24"/>
          <w:szCs w:val="24"/>
        </w:rPr>
        <w:t>2026</w:t>
      </w:r>
      <w:r w:rsidR="00672D56">
        <w:rPr>
          <w:rFonts w:ascii="Times New Roman" w:hAnsi="Times New Roman" w:cs="Times New Roman"/>
          <w:sz w:val="24"/>
          <w:szCs w:val="24"/>
        </w:rPr>
        <w:t>-</w:t>
      </w:r>
      <w:r w:rsidR="00927179" w:rsidRPr="00D00164">
        <w:rPr>
          <w:rFonts w:ascii="Times New Roman" w:hAnsi="Times New Roman" w:cs="Times New Roman"/>
          <w:sz w:val="24"/>
          <w:szCs w:val="24"/>
        </w:rPr>
        <w:t>20</w:t>
      </w:r>
      <w:r w:rsidR="00927179" w:rsidRPr="00D0016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27179" w:rsidRPr="00D00164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разработан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учетом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(далее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3CA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3CA">
        <w:rPr>
          <w:rFonts w:ascii="Times New Roman" w:hAnsi="Times New Roman" w:cs="Times New Roman"/>
          <w:i/>
          <w:iCs/>
          <w:sz w:val="24"/>
          <w:szCs w:val="24"/>
        </w:rPr>
        <w:t>тексту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ПСЭР)</w:t>
      </w:r>
      <w:r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представляющего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сценария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национальной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экономики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(базовый,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оптимистический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пессимистический)</w:t>
      </w:r>
      <w:r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A5834">
        <w:rPr>
          <w:rFonts w:ascii="Times New Roman" w:hAnsi="Times New Roman" w:cs="Times New Roman"/>
          <w:sz w:val="24"/>
          <w:szCs w:val="24"/>
        </w:rPr>
        <w:t>Основные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A5834">
        <w:rPr>
          <w:rFonts w:ascii="Times New Roman" w:hAnsi="Times New Roman" w:cs="Times New Roman"/>
          <w:sz w:val="24"/>
          <w:szCs w:val="24"/>
        </w:rPr>
        <w:t>п</w:t>
      </w:r>
      <w:r w:rsidRPr="00D00164">
        <w:rPr>
          <w:rFonts w:ascii="Times New Roman" w:hAnsi="Times New Roman" w:cs="Times New Roman"/>
          <w:sz w:val="24"/>
          <w:szCs w:val="24"/>
        </w:rPr>
        <w:t>араметры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ПСЭР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основаны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A583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цен</w:t>
      </w:r>
      <w:r w:rsidR="003A583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нефть,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доллара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</w:rPr>
        <w:t>США</w:t>
      </w:r>
      <w:r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внешних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внутренних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экономических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факторах.</w:t>
      </w:r>
      <w:r w:rsidR="00672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прогнозах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Правительства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имеются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расхождения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оценками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международных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институтов,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свидетельствует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возможной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переоценке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потенциала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национальной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экономики.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D37B7">
        <w:rPr>
          <w:rFonts w:ascii="Times New Roman" w:hAnsi="Times New Roman" w:cs="Times New Roman"/>
          <w:sz w:val="24"/>
          <w:szCs w:val="24"/>
        </w:rPr>
        <w:t>Так,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ПСЭР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2026-2028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50AE" w:rsidRPr="00D00164">
        <w:rPr>
          <w:rFonts w:ascii="Times New Roman" w:hAnsi="Times New Roman" w:cs="Times New Roman"/>
          <w:sz w:val="24"/>
          <w:szCs w:val="24"/>
        </w:rPr>
        <w:t>основан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50AE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50AE" w:rsidRPr="00D00164">
        <w:rPr>
          <w:rFonts w:ascii="Times New Roman" w:hAnsi="Times New Roman" w:cs="Times New Roman"/>
          <w:sz w:val="24"/>
          <w:szCs w:val="24"/>
        </w:rPr>
        <w:t>базовом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50AE" w:rsidRPr="00D00164">
        <w:rPr>
          <w:rFonts w:ascii="Times New Roman" w:hAnsi="Times New Roman" w:cs="Times New Roman"/>
          <w:sz w:val="24"/>
          <w:szCs w:val="24"/>
        </w:rPr>
        <w:t>сценарии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50AE" w:rsidRPr="00D00164">
        <w:rPr>
          <w:rFonts w:ascii="Times New Roman" w:hAnsi="Times New Roman" w:cs="Times New Roman"/>
          <w:sz w:val="24"/>
          <w:szCs w:val="24"/>
        </w:rPr>
        <w:t>развития,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где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цена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нефть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145EBF" w:rsidRPr="00D00164">
        <w:rPr>
          <w:rFonts w:ascii="Times New Roman" w:hAnsi="Times New Roman" w:cs="Times New Roman"/>
          <w:sz w:val="24"/>
          <w:szCs w:val="24"/>
        </w:rPr>
        <w:t>60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долларов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США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за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баррель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обменном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курсе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540</w:t>
      </w:r>
      <w:r w:rsidR="00672D56">
        <w:rPr>
          <w:rFonts w:ascii="Times New Roman" w:hAnsi="Times New Roman" w:cs="Times New Roman"/>
          <w:sz w:val="24"/>
          <w:szCs w:val="24"/>
        </w:rPr>
        <w:t xml:space="preserve"> тенге за </w:t>
      </w:r>
      <w:r w:rsidR="00145EBF" w:rsidRPr="00D00164">
        <w:rPr>
          <w:rFonts w:ascii="Times New Roman" w:hAnsi="Times New Roman" w:cs="Times New Roman"/>
          <w:sz w:val="24"/>
          <w:szCs w:val="24"/>
        </w:rPr>
        <w:t>доллар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45EBF" w:rsidRPr="00D00164">
        <w:rPr>
          <w:rFonts w:ascii="Times New Roman" w:hAnsi="Times New Roman" w:cs="Times New Roman"/>
          <w:sz w:val="24"/>
          <w:szCs w:val="24"/>
        </w:rPr>
        <w:t>США.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Однако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курс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доллара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уже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сегодня</w:t>
      </w:r>
      <w:r w:rsidR="00672D56">
        <w:rPr>
          <w:rFonts w:ascii="Times New Roman" w:hAnsi="Times New Roman" w:cs="Times New Roman"/>
          <w:sz w:val="24"/>
          <w:szCs w:val="24"/>
        </w:rPr>
        <w:t xml:space="preserve"> находится </w:t>
      </w:r>
      <w:r w:rsidR="00CA35A0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уровне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540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тенге,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конца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текущего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года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ожидается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увеличение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550-560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тенге</w:t>
      </w:r>
      <w:r w:rsidR="00641772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CA35A0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53C" w:rsidRPr="00D00164" w:rsidRDefault="00182523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период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2026-2028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учетом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поправок,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внесенных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налоговое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законодательство,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предполагается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доходов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уровня,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способствующего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отказу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изъятий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целевых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трансфертов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Национального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фонда.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Национальный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фонд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Республики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Казахстан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был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создан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2000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2553C" w:rsidRPr="00D00164">
        <w:rPr>
          <w:rFonts w:ascii="Times New Roman" w:hAnsi="Times New Roman" w:cs="Times New Roman"/>
          <w:sz w:val="24"/>
          <w:szCs w:val="24"/>
        </w:rPr>
        <w:t>году</w:t>
      </w:r>
      <w:r w:rsidR="009B0540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период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2000-2025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средний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темп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прироста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валютных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активов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41772">
        <w:rPr>
          <w:rFonts w:ascii="Times New Roman" w:hAnsi="Times New Roman" w:cs="Times New Roman"/>
          <w:sz w:val="24"/>
          <w:szCs w:val="24"/>
        </w:rPr>
        <w:t>составлял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1,6%,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средний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темп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роста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валютных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активов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C2E39"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–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2%.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Максимальное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значение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активов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было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отмечено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августе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2014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года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–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77,2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млрд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долларов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США</w:t>
      </w:r>
      <w:r w:rsidR="001E43F8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E43F8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июль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2025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года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активы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составили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60,5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млрд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долларов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США</w:t>
      </w:r>
      <w:r w:rsidR="001E43F8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9D77C0"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меньше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отмеченного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максимального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значения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77C0" w:rsidRPr="00D00164">
        <w:rPr>
          <w:rFonts w:ascii="Times New Roman" w:hAnsi="Times New Roman" w:cs="Times New Roman"/>
          <w:sz w:val="24"/>
          <w:szCs w:val="24"/>
        </w:rPr>
        <w:t>21,7%.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Таким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образом,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постоянные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изъятия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Национального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способствуют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увеличению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74630" w:rsidRPr="00D00164">
        <w:rPr>
          <w:rFonts w:ascii="Times New Roman" w:hAnsi="Times New Roman" w:cs="Times New Roman"/>
          <w:sz w:val="24"/>
          <w:szCs w:val="24"/>
        </w:rPr>
        <w:t>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активов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F30E2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9205C" w:rsidRPr="00D00164">
        <w:rPr>
          <w:rFonts w:ascii="Times New Roman" w:hAnsi="Times New Roman" w:cs="Times New Roman"/>
          <w:sz w:val="24"/>
          <w:szCs w:val="24"/>
        </w:rPr>
        <w:t>снижают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9205C" w:rsidRPr="00D00164">
        <w:rPr>
          <w:rFonts w:ascii="Times New Roman" w:hAnsi="Times New Roman" w:cs="Times New Roman"/>
          <w:sz w:val="24"/>
          <w:szCs w:val="24"/>
        </w:rPr>
        <w:t>возм</w:t>
      </w:r>
      <w:r w:rsidR="00C31708" w:rsidRPr="00D00164">
        <w:rPr>
          <w:rFonts w:ascii="Times New Roman" w:hAnsi="Times New Roman" w:cs="Times New Roman"/>
          <w:sz w:val="24"/>
          <w:szCs w:val="24"/>
        </w:rPr>
        <w:t>ожность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поддержания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9205C" w:rsidRPr="00D00164">
        <w:rPr>
          <w:rFonts w:ascii="Times New Roman" w:hAnsi="Times New Roman" w:cs="Times New Roman"/>
          <w:sz w:val="24"/>
          <w:szCs w:val="24"/>
        </w:rPr>
        <w:t>национального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9205C" w:rsidRPr="00D00164">
        <w:rPr>
          <w:rFonts w:ascii="Times New Roman" w:hAnsi="Times New Roman" w:cs="Times New Roman"/>
          <w:sz w:val="24"/>
          <w:szCs w:val="24"/>
        </w:rPr>
        <w:t>развития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случае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наступления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неблагоприятных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экономических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условий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1708" w:rsidRPr="00D00164">
        <w:rPr>
          <w:rFonts w:ascii="Times New Roman" w:hAnsi="Times New Roman" w:cs="Times New Roman"/>
          <w:sz w:val="24"/>
          <w:szCs w:val="24"/>
        </w:rPr>
        <w:t>будущем</w:t>
      </w:r>
      <w:r w:rsidR="003F30E2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53C" w:rsidRPr="00D00164" w:rsidRDefault="0062553C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мировой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практике</w:t>
      </w:r>
      <w:r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благосостояния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Sovereign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Wealth</w:t>
      </w:r>
      <w:r w:rsidR="00672D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iCs/>
          <w:sz w:val="24"/>
          <w:szCs w:val="24"/>
          <w:lang w:val="en-US"/>
        </w:rPr>
        <w:t>Funds</w:t>
      </w:r>
      <w:r w:rsidRPr="00D001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являются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движущей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силой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инвестиций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инноваций,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учитывая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участие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крупных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проектах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объектов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современными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технологиями.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благосостояния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имеет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следующую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тенденцию: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количество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увеличивается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странах,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где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экономика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зависит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природных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ресурсов</w:t>
      </w:r>
      <w:r w:rsidRPr="00D00164">
        <w:rPr>
          <w:rFonts w:ascii="Times New Roman" w:hAnsi="Times New Roman" w:cs="Times New Roman"/>
          <w:sz w:val="24"/>
          <w:szCs w:val="24"/>
        </w:rPr>
        <w:t>;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все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больше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формируется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несырьевых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товаров;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Азия,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где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большие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запасы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золота,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продолжит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быть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основным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регионом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создания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новых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будущем;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инвестиционный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портфель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благосостояния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41772">
        <w:rPr>
          <w:rFonts w:ascii="Times New Roman" w:hAnsi="Times New Roman" w:cs="Times New Roman"/>
          <w:sz w:val="24"/>
          <w:szCs w:val="24"/>
        </w:rPr>
        <w:t>сдвигается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наиболее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рисковым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активам,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лучшим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  <w:lang w:val="kk-KZ"/>
        </w:rPr>
        <w:t>соотношением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риск</w:t>
      </w:r>
      <w:r w:rsidR="00B03BBB">
        <w:rPr>
          <w:rFonts w:ascii="Times New Roman" w:hAnsi="Times New Roman" w:cs="Times New Roman"/>
          <w:sz w:val="24"/>
          <w:szCs w:val="24"/>
        </w:rPr>
        <w:t>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03BBB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доходност</w:t>
      </w:r>
      <w:r w:rsidR="00B03BBB">
        <w:rPr>
          <w:rFonts w:ascii="Times New Roman" w:hAnsi="Times New Roman" w:cs="Times New Roman"/>
          <w:sz w:val="24"/>
          <w:szCs w:val="24"/>
        </w:rPr>
        <w:t>и</w:t>
      </w:r>
      <w:r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DCE" w:rsidRPr="00D00164" w:rsidRDefault="00A14287" w:rsidP="00672D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связи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увеличением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ставки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B4DCE" w:rsidRPr="00D00164">
        <w:rPr>
          <w:rFonts w:ascii="Times New Roman" w:hAnsi="Times New Roman" w:cs="Times New Roman"/>
          <w:sz w:val="24"/>
          <w:szCs w:val="24"/>
        </w:rPr>
        <w:t>налогу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B4DCE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B4DCE" w:rsidRPr="00D00164">
        <w:rPr>
          <w:rFonts w:ascii="Times New Roman" w:hAnsi="Times New Roman" w:cs="Times New Roman"/>
          <w:sz w:val="24"/>
          <w:szCs w:val="24"/>
        </w:rPr>
        <w:t>добавленную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B4DCE" w:rsidRPr="00D00164">
        <w:rPr>
          <w:rFonts w:ascii="Times New Roman" w:hAnsi="Times New Roman" w:cs="Times New Roman"/>
          <w:sz w:val="24"/>
          <w:szCs w:val="24"/>
        </w:rPr>
        <w:t>стоимость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B4DCE" w:rsidRPr="00D00164">
        <w:rPr>
          <w:rFonts w:ascii="Times New Roman" w:hAnsi="Times New Roman" w:cs="Times New Roman"/>
          <w:sz w:val="24"/>
          <w:szCs w:val="24"/>
        </w:rPr>
        <w:t>(</w:t>
      </w:r>
      <w:r w:rsidR="00182523" w:rsidRPr="00D00164">
        <w:rPr>
          <w:rFonts w:ascii="Times New Roman" w:hAnsi="Times New Roman" w:cs="Times New Roman"/>
          <w:sz w:val="24"/>
          <w:szCs w:val="24"/>
        </w:rPr>
        <w:t>НДС</w:t>
      </w:r>
      <w:r w:rsidR="002B4DCE" w:rsidRPr="00D00164">
        <w:rPr>
          <w:rFonts w:ascii="Times New Roman" w:hAnsi="Times New Roman" w:cs="Times New Roman"/>
          <w:sz w:val="24"/>
          <w:szCs w:val="24"/>
        </w:rPr>
        <w:t>)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16%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нельзя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исключать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экспертные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прогнозы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снижении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налоговых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поступлений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от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НДС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долгосрочной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перспективе.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7463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74630" w:rsidRPr="00D00164">
        <w:rPr>
          <w:rFonts w:ascii="Times New Roman" w:hAnsi="Times New Roman" w:cs="Times New Roman"/>
          <w:sz w:val="24"/>
          <w:szCs w:val="24"/>
        </w:rPr>
        <w:t>2023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74630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74630" w:rsidRPr="00D00164">
        <w:rPr>
          <w:rFonts w:ascii="Times New Roman" w:hAnsi="Times New Roman" w:cs="Times New Roman"/>
          <w:sz w:val="24"/>
          <w:szCs w:val="24"/>
        </w:rPr>
        <w:t>д</w:t>
      </w:r>
      <w:r w:rsidR="00D75C6E" w:rsidRPr="00D00164">
        <w:rPr>
          <w:rFonts w:ascii="Times New Roman" w:hAnsi="Times New Roman" w:cs="Times New Roman"/>
          <w:sz w:val="24"/>
          <w:szCs w:val="24"/>
        </w:rPr>
        <w:t>оля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налогов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Казахстана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состав</w:t>
      </w:r>
      <w:r w:rsidR="002B4DCE" w:rsidRPr="00D00164">
        <w:rPr>
          <w:rFonts w:ascii="Times New Roman" w:hAnsi="Times New Roman" w:cs="Times New Roman"/>
          <w:sz w:val="24"/>
          <w:szCs w:val="24"/>
        </w:rPr>
        <w:t>и</w:t>
      </w:r>
      <w:r w:rsidR="00D75C6E" w:rsidRPr="00D00164">
        <w:rPr>
          <w:rFonts w:ascii="Times New Roman" w:hAnsi="Times New Roman" w:cs="Times New Roman"/>
          <w:sz w:val="24"/>
          <w:szCs w:val="24"/>
        </w:rPr>
        <w:t>л</w:t>
      </w:r>
      <w:r w:rsidR="00182523" w:rsidRPr="00D00164">
        <w:rPr>
          <w:rFonts w:ascii="Times New Roman" w:hAnsi="Times New Roman" w:cs="Times New Roman"/>
          <w:sz w:val="24"/>
          <w:szCs w:val="24"/>
        </w:rPr>
        <w:t>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54868" w:rsidRPr="00D00164">
        <w:rPr>
          <w:rFonts w:ascii="Times New Roman" w:hAnsi="Times New Roman" w:cs="Times New Roman"/>
          <w:sz w:val="24"/>
          <w:szCs w:val="24"/>
        </w:rPr>
        <w:t>19</w:t>
      </w:r>
      <w:r w:rsidR="00182523" w:rsidRPr="00D00164">
        <w:rPr>
          <w:rFonts w:ascii="Times New Roman" w:hAnsi="Times New Roman" w:cs="Times New Roman"/>
          <w:sz w:val="24"/>
          <w:szCs w:val="24"/>
        </w:rPr>
        <w:t>,</w:t>
      </w:r>
      <w:r w:rsidR="00054868" w:rsidRPr="00D00164">
        <w:rPr>
          <w:rFonts w:ascii="Times New Roman" w:hAnsi="Times New Roman" w:cs="Times New Roman"/>
          <w:sz w:val="24"/>
          <w:szCs w:val="24"/>
        </w:rPr>
        <w:t>4%</w:t>
      </w:r>
      <w:r w:rsidR="00D75C6E"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ниже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сравнению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2022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годом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(19,7%)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среднего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значения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странам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ОЭСР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75C6E" w:rsidRPr="00D00164">
        <w:rPr>
          <w:rFonts w:ascii="Times New Roman" w:hAnsi="Times New Roman" w:cs="Times New Roman"/>
          <w:sz w:val="24"/>
          <w:szCs w:val="24"/>
        </w:rPr>
        <w:t>(</w:t>
      </w:r>
      <w:r w:rsidR="009A4941" w:rsidRPr="00D00164">
        <w:rPr>
          <w:rFonts w:ascii="Times New Roman" w:hAnsi="Times New Roman" w:cs="Times New Roman"/>
          <w:sz w:val="24"/>
          <w:szCs w:val="24"/>
        </w:rPr>
        <w:t>33.9%)</w:t>
      </w:r>
      <w:r w:rsidR="00D75C6E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D75C6E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Более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того,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за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2523" w:rsidRPr="00D00164">
        <w:rPr>
          <w:rFonts w:ascii="Times New Roman" w:hAnsi="Times New Roman" w:cs="Times New Roman"/>
          <w:sz w:val="24"/>
          <w:szCs w:val="24"/>
        </w:rPr>
        <w:t>период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2007-2023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доля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налогов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Казахстана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уменьшилась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6,6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0243D" w:rsidRPr="00D00164">
        <w:rPr>
          <w:rFonts w:ascii="Times New Roman" w:hAnsi="Times New Roman" w:cs="Times New Roman"/>
          <w:sz w:val="24"/>
          <w:szCs w:val="24"/>
        </w:rPr>
        <w:t>раз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41772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709E8" w:rsidRPr="00D00164">
        <w:rPr>
          <w:rFonts w:ascii="Times New Roman" w:hAnsi="Times New Roman" w:cs="Times New Roman"/>
          <w:sz w:val="24"/>
          <w:szCs w:val="24"/>
        </w:rPr>
        <w:t>26%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709E8"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709E8" w:rsidRPr="00D00164">
        <w:rPr>
          <w:rFonts w:ascii="Times New Roman" w:hAnsi="Times New Roman" w:cs="Times New Roman"/>
          <w:sz w:val="24"/>
          <w:szCs w:val="24"/>
        </w:rPr>
        <w:t>19,4%.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00" w:rsidRPr="00D00164" w:rsidRDefault="00145EBF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Прогнозируемый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реальный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рост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</w:t>
      </w:r>
      <w:r w:rsidR="006E580C" w:rsidRPr="00D00164">
        <w:rPr>
          <w:rFonts w:ascii="Times New Roman" w:hAnsi="Times New Roman" w:cs="Times New Roman"/>
          <w:sz w:val="24"/>
          <w:szCs w:val="24"/>
        </w:rPr>
        <w:t>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–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5</w:t>
      </w:r>
      <w:r w:rsidR="006E580C" w:rsidRPr="00D00164">
        <w:rPr>
          <w:rFonts w:ascii="Times New Roman" w:hAnsi="Times New Roman" w:cs="Times New Roman"/>
          <w:sz w:val="24"/>
          <w:szCs w:val="24"/>
        </w:rPr>
        <w:t>,4</w:t>
      </w:r>
      <w:r w:rsidRPr="00D00164">
        <w:rPr>
          <w:rFonts w:ascii="Times New Roman" w:hAnsi="Times New Roman" w:cs="Times New Roman"/>
          <w:sz w:val="24"/>
          <w:szCs w:val="24"/>
        </w:rPr>
        <w:t>%.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Однако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прогнозу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МВФ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реальный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рост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Казахстана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2026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составит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4,3%</w:t>
      </w:r>
      <w:r w:rsidR="006E580C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6E580C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П</w:t>
      </w:r>
      <w:r w:rsidR="00D1522D" w:rsidRPr="00D00164">
        <w:rPr>
          <w:rFonts w:ascii="Times New Roman" w:hAnsi="Times New Roman" w:cs="Times New Roman"/>
          <w:sz w:val="24"/>
          <w:szCs w:val="24"/>
        </w:rPr>
        <w:t>рогноз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6E580C" w:rsidRPr="00D00164">
        <w:rPr>
          <w:rFonts w:ascii="Times New Roman" w:hAnsi="Times New Roman" w:cs="Times New Roman"/>
          <w:sz w:val="24"/>
          <w:szCs w:val="24"/>
        </w:rPr>
        <w:t>страны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представлен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текущих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ценах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(номинальный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ВВП)</w:t>
      </w:r>
      <w:r w:rsidR="00641772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его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E79E8" w:rsidRPr="00D00164">
        <w:rPr>
          <w:rFonts w:ascii="Times New Roman" w:hAnsi="Times New Roman" w:cs="Times New Roman"/>
          <w:sz w:val="24"/>
          <w:szCs w:val="24"/>
        </w:rPr>
        <w:t>ежегодный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рост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802E9" w:rsidRPr="00D00164">
        <w:rPr>
          <w:rFonts w:ascii="Times New Roman" w:hAnsi="Times New Roman" w:cs="Times New Roman"/>
          <w:sz w:val="24"/>
          <w:szCs w:val="24"/>
        </w:rPr>
        <w:t>будет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обусловлен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1522D" w:rsidRPr="00D00164">
        <w:rPr>
          <w:rFonts w:ascii="Times New Roman" w:hAnsi="Times New Roman" w:cs="Times New Roman"/>
          <w:sz w:val="24"/>
          <w:szCs w:val="24"/>
        </w:rPr>
        <w:t>ростом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инфляции</w:t>
      </w:r>
      <w:r w:rsidR="00D1522D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частности,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рост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ключевых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отраслях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516E5" w:rsidRPr="00D00164">
        <w:rPr>
          <w:rFonts w:ascii="Times New Roman" w:hAnsi="Times New Roman" w:cs="Times New Roman"/>
          <w:sz w:val="24"/>
          <w:szCs w:val="24"/>
        </w:rPr>
        <w:t>экономики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значительной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степени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обусловлен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ростом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цен.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Так,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факторный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анализ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влияния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цены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объема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строительных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работ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показывает,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рост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A35A0" w:rsidRPr="00D00164">
        <w:rPr>
          <w:rFonts w:ascii="Times New Roman" w:hAnsi="Times New Roman" w:cs="Times New Roman"/>
          <w:sz w:val="24"/>
          <w:szCs w:val="24"/>
        </w:rPr>
        <w:t>стоимости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строительных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работ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62%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B77EDE" w:rsidRPr="00D00164">
        <w:rPr>
          <w:rFonts w:ascii="Times New Roman" w:hAnsi="Times New Roman" w:cs="Times New Roman"/>
          <w:sz w:val="24"/>
          <w:szCs w:val="24"/>
        </w:rPr>
        <w:t>был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обусловлен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ростом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81665" w:rsidRPr="00D00164">
        <w:rPr>
          <w:rFonts w:ascii="Times New Roman" w:hAnsi="Times New Roman" w:cs="Times New Roman"/>
          <w:sz w:val="24"/>
          <w:szCs w:val="24"/>
        </w:rPr>
        <w:t>цен.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этой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связи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прогнозная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оценка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роста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экономики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A0200D" w:rsidRPr="00D00164">
        <w:rPr>
          <w:rFonts w:ascii="Times New Roman" w:hAnsi="Times New Roman" w:cs="Times New Roman"/>
          <w:sz w:val="24"/>
          <w:szCs w:val="24"/>
        </w:rPr>
        <w:t>может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A0200D" w:rsidRPr="00D00164">
        <w:rPr>
          <w:rFonts w:ascii="Times New Roman" w:hAnsi="Times New Roman" w:cs="Times New Roman"/>
          <w:sz w:val="24"/>
          <w:szCs w:val="24"/>
        </w:rPr>
        <w:t>быть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завышенной,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свою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очередь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A0200D" w:rsidRPr="00D00164">
        <w:rPr>
          <w:rFonts w:ascii="Times New Roman" w:hAnsi="Times New Roman" w:cs="Times New Roman"/>
          <w:sz w:val="24"/>
          <w:szCs w:val="24"/>
        </w:rPr>
        <w:t>приводит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формированию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завышенных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бюджетных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D1000" w:rsidRPr="00D00164">
        <w:rPr>
          <w:rFonts w:ascii="Times New Roman" w:hAnsi="Times New Roman" w:cs="Times New Roman"/>
          <w:sz w:val="24"/>
          <w:szCs w:val="24"/>
        </w:rPr>
        <w:t>обязательств.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065" w:rsidRPr="00D00164" w:rsidRDefault="00305065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Ненефтяной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дефицит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имеет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положительную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динамику.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Так,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если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ненефтяной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дефицит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E75A3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E75A3" w:rsidRPr="00D00164">
        <w:rPr>
          <w:rFonts w:ascii="Times New Roman" w:hAnsi="Times New Roman" w:cs="Times New Roman"/>
          <w:sz w:val="24"/>
          <w:szCs w:val="24"/>
        </w:rPr>
        <w:t>2023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E75A3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составил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7,4%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</w:t>
      </w:r>
      <w:r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уже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7,9%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выше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целевого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значения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согласно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Концепции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управления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финансами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2030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года,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где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планировалось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снижение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ненефтяного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дефицита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6%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уже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5%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2030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Более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того,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МВФ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этот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показатель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может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составить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8%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Поэтому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вызывает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сомнение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снижение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данного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показателя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2,7%.</w:t>
      </w:r>
    </w:p>
    <w:p w:rsidR="00242C25" w:rsidRPr="00D00164" w:rsidRDefault="00715D25" w:rsidP="00672D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целом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</w:t>
      </w:r>
      <w:r w:rsidR="00242C25" w:rsidRPr="00D00164">
        <w:rPr>
          <w:rFonts w:ascii="Times New Roman" w:hAnsi="Times New Roman" w:cs="Times New Roman"/>
          <w:sz w:val="24"/>
          <w:szCs w:val="24"/>
        </w:rPr>
        <w:t>ценка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проекта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2026-2028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позволила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выявить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следующие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системные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недостатки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бюджетного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42C25" w:rsidRPr="00D00164">
        <w:rPr>
          <w:rFonts w:ascii="Times New Roman" w:hAnsi="Times New Roman" w:cs="Times New Roman"/>
          <w:sz w:val="24"/>
          <w:szCs w:val="24"/>
        </w:rPr>
        <w:t>планирования:</w:t>
      </w:r>
    </w:p>
    <w:p w:rsidR="00242C25" w:rsidRPr="00D00164" w:rsidRDefault="00242C25" w:rsidP="00672D56">
      <w:pPr>
        <w:pStyle w:val="ae"/>
        <w:widowControl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164">
        <w:rPr>
          <w:rFonts w:ascii="Times New Roman" w:eastAsia="Calibri" w:hAnsi="Times New Roman" w:cs="Times New Roman"/>
          <w:sz w:val="24"/>
          <w:szCs w:val="24"/>
        </w:rPr>
        <w:t>-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практика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пересмотра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бюджетных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параметров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при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переходе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к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новому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трехлетнему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периоду</w:t>
      </w:r>
      <w:r w:rsidR="007E75A3" w:rsidRPr="00D00164">
        <w:rPr>
          <w:rFonts w:ascii="Times New Roman" w:eastAsia="Calibri" w:hAnsi="Times New Roman" w:cs="Times New Roman"/>
          <w:sz w:val="24"/>
          <w:szCs w:val="24"/>
        </w:rPr>
        <w:t>,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5A3" w:rsidRPr="00D00164">
        <w:rPr>
          <w:rFonts w:ascii="Times New Roman" w:eastAsia="Calibri" w:hAnsi="Times New Roman" w:cs="Times New Roman"/>
          <w:sz w:val="24"/>
          <w:szCs w:val="24"/>
        </w:rPr>
        <w:t>что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указывает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на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недостаточную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точность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и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долгосрочного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бюджетного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89757B" w:rsidRPr="00D001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2C25" w:rsidRPr="00CB2BAC" w:rsidRDefault="00242C25" w:rsidP="00672D56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164">
        <w:rPr>
          <w:rFonts w:ascii="Times New Roman" w:eastAsia="Calibri" w:hAnsi="Times New Roman" w:cs="Times New Roman"/>
          <w:sz w:val="24"/>
          <w:szCs w:val="24"/>
        </w:rPr>
        <w:t>-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плановые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объемы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займов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превышают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размеры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дефицита,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что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свидетельствует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сохранении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покрытия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платежей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по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имеющимся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обязательствам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за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счет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привлечения</w:t>
      </w:r>
      <w:r w:rsidR="00672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eastAsia="Calibri" w:hAnsi="Times New Roman" w:cs="Times New Roman"/>
          <w:sz w:val="24"/>
          <w:szCs w:val="24"/>
        </w:rPr>
        <w:t>новых</w:t>
      </w:r>
      <w:r w:rsidR="007D7967" w:rsidRPr="00D00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17D74" w:rsidRPr="00D00164" w:rsidRDefault="005C7D38" w:rsidP="00672D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Cs/>
          <w:sz w:val="24"/>
          <w:szCs w:val="24"/>
        </w:rPr>
        <w:t>Уже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традиционно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основная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доля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республиканского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планируется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53D9C">
        <w:rPr>
          <w:rFonts w:ascii="Times New Roman" w:hAnsi="Times New Roman" w:cs="Times New Roman"/>
          <w:iCs/>
          <w:sz w:val="24"/>
          <w:szCs w:val="24"/>
        </w:rPr>
        <w:t>социальную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53D9C">
        <w:rPr>
          <w:rFonts w:ascii="Times New Roman" w:hAnsi="Times New Roman" w:cs="Times New Roman"/>
          <w:iCs/>
          <w:sz w:val="24"/>
          <w:szCs w:val="24"/>
        </w:rPr>
        <w:t>помощь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населения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–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25%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sz w:val="24"/>
          <w:szCs w:val="24"/>
        </w:rPr>
        <w:t>(2026</w:t>
      </w:r>
      <w:r w:rsidR="00672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/>
          <w:sz w:val="24"/>
          <w:szCs w:val="24"/>
        </w:rPr>
        <w:t>год)</w:t>
      </w:r>
      <w:r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что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связано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выполнением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социальных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обязательств.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период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2020-2024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расходы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социальную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помощь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увеличились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54,5%,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составив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3,9%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3321C2" w:rsidRPr="00D00164">
        <w:rPr>
          <w:rFonts w:ascii="Times New Roman" w:hAnsi="Times New Roman" w:cs="Times New Roman"/>
          <w:sz w:val="24"/>
          <w:szCs w:val="24"/>
        </w:rPr>
        <w:t>ВВП.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1C2" w:rsidRPr="00D00164" w:rsidRDefault="003321C2" w:rsidP="00672D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структуре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помощь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значительную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долю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занимают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отдельных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категорий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граждан,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пенсии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пособия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составили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98,9%.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пенсии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увеличиваются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связи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увеличением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установленного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минимального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размера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пенсий.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расчете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учитываются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размеры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минимального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расчетного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показателя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прожиточного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минимума,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значения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которых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сравнению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2023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увеличились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8,5%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6,5%,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соответственно.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FA6" w:rsidRPr="00D00164" w:rsidRDefault="0006462B" w:rsidP="00672D56">
      <w:pPr>
        <w:widowControl w:val="0"/>
        <w:pBdr>
          <w:bottom w:val="single" w:sz="4" w:space="0" w:color="FFFFFF"/>
        </w:pBdr>
        <w:tabs>
          <w:tab w:val="left" w:pos="0"/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950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950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950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950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выплачивается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пособий,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подвидов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выплат.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семейной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0B4657" w:rsidRPr="00D00164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EFD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67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57" w:rsidRPr="00D0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2020-2024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структуре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выплат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пособия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доля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многодетным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семьям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занима</w:t>
      </w:r>
      <w:r w:rsidR="00AB4EFD" w:rsidRPr="00D00164">
        <w:rPr>
          <w:rFonts w:ascii="Times New Roman" w:hAnsi="Times New Roman" w:cs="Times New Roman"/>
          <w:sz w:val="24"/>
          <w:szCs w:val="24"/>
        </w:rPr>
        <w:t>ла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только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262845" w:rsidRPr="00D00164">
        <w:rPr>
          <w:rFonts w:ascii="Times New Roman" w:hAnsi="Times New Roman" w:cs="Times New Roman"/>
          <w:sz w:val="24"/>
          <w:szCs w:val="24"/>
        </w:rPr>
        <w:t>32%</w:t>
      </w:r>
      <w:r w:rsidR="000B4657" w:rsidRPr="00D00164">
        <w:rPr>
          <w:rFonts w:ascii="Times New Roman" w:hAnsi="Times New Roman" w:cs="Times New Roman"/>
          <w:sz w:val="24"/>
          <w:szCs w:val="24"/>
        </w:rPr>
        <w:t>.</w:t>
      </w:r>
    </w:p>
    <w:p w:rsidR="005F7E9C" w:rsidRPr="00D00164" w:rsidRDefault="005F7E9C" w:rsidP="00672D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Концепция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системы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защиты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направлена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снижение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участия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развитие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страхования</w:t>
      </w:r>
      <w:r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Однако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фактически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снижаются,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а,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наоборот,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увеличиваются.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Так,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42B98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2026-2028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</w:t>
      </w:r>
      <w:r w:rsidR="00F42B98">
        <w:rPr>
          <w:rFonts w:ascii="Times New Roman" w:hAnsi="Times New Roman" w:cs="Times New Roman"/>
          <w:sz w:val="24"/>
          <w:szCs w:val="24"/>
        </w:rPr>
        <w:t>г.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расходы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государства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помощь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продолжат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увеличиваться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составят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3,5%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Наряду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этим,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прогнозируется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ежегодное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увеличение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выплат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фонда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социального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страхования,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2028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они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составят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0,5%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ВВП.</w:t>
      </w:r>
    </w:p>
    <w:p w:rsidR="00356516" w:rsidRPr="00D00164" w:rsidRDefault="002A4324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данным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Правительства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РК</w:t>
      </w:r>
      <w:r w:rsidR="00F42B98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уровень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безработицы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прогнозируется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сохранить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уровне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4,7%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ежегодно.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Вместе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тем,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д</w:t>
      </w:r>
      <w:r w:rsidR="000A5439" w:rsidRPr="00D00164">
        <w:rPr>
          <w:rFonts w:ascii="Times New Roman" w:hAnsi="Times New Roman" w:cs="Times New Roman"/>
          <w:sz w:val="24"/>
          <w:szCs w:val="24"/>
        </w:rPr>
        <w:t>инамика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числа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социальных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выплат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потере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работы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ежегодно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0A5439" w:rsidRPr="00D00164">
        <w:rPr>
          <w:rFonts w:ascii="Times New Roman" w:hAnsi="Times New Roman" w:cs="Times New Roman"/>
          <w:sz w:val="24"/>
          <w:szCs w:val="24"/>
        </w:rPr>
        <w:t>увеличивается</w:t>
      </w:r>
      <w:r w:rsidR="000A5439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="000A5439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Так</w:t>
      </w:r>
      <w:r w:rsidR="004F21C7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количество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новых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назначений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потере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работы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сравнению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2020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годом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увеличил</w:t>
      </w:r>
      <w:r w:rsidR="00F42B98">
        <w:rPr>
          <w:rFonts w:ascii="Times New Roman" w:hAnsi="Times New Roman" w:cs="Times New Roman"/>
          <w:sz w:val="24"/>
          <w:szCs w:val="24"/>
        </w:rPr>
        <w:t>о</w:t>
      </w:r>
      <w:r w:rsidR="004F21C7">
        <w:rPr>
          <w:rFonts w:ascii="Times New Roman" w:hAnsi="Times New Roman" w:cs="Times New Roman"/>
          <w:sz w:val="24"/>
          <w:szCs w:val="24"/>
        </w:rPr>
        <w:t>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2,8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250B1" w:rsidRPr="00D00164">
        <w:rPr>
          <w:rFonts w:ascii="Times New Roman" w:hAnsi="Times New Roman" w:cs="Times New Roman"/>
          <w:sz w:val="24"/>
          <w:szCs w:val="24"/>
        </w:rPr>
        <w:t>раза</w:t>
      </w:r>
      <w:r w:rsidR="009D3E10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этом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80%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возрасте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20-49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лет,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долю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которых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приходится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67%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пенсионных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накоплений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обязательным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пенсионным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9D3E10" w:rsidRPr="00D00164">
        <w:rPr>
          <w:rFonts w:ascii="Times New Roman" w:hAnsi="Times New Roman" w:cs="Times New Roman"/>
          <w:sz w:val="24"/>
          <w:szCs w:val="24"/>
        </w:rPr>
        <w:t>взносам</w:t>
      </w:r>
      <w:r w:rsidR="009D3E10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9D3E10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447B11" w:rsidRPr="00D00164">
        <w:rPr>
          <w:rFonts w:ascii="Times New Roman" w:hAnsi="Times New Roman" w:cs="Times New Roman"/>
          <w:sz w:val="24"/>
          <w:szCs w:val="24"/>
        </w:rPr>
        <w:t>Таким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447B11" w:rsidRPr="00D00164">
        <w:rPr>
          <w:rFonts w:ascii="Times New Roman" w:hAnsi="Times New Roman" w:cs="Times New Roman"/>
          <w:sz w:val="24"/>
          <w:szCs w:val="24"/>
        </w:rPr>
        <w:t>образом</w:t>
      </w:r>
      <w:r w:rsidR="00C96186"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прогнозный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уровень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безработицы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представляется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96186" w:rsidRPr="00D00164">
        <w:rPr>
          <w:rFonts w:ascii="Times New Roman" w:hAnsi="Times New Roman" w:cs="Times New Roman"/>
          <w:sz w:val="24"/>
          <w:szCs w:val="24"/>
        </w:rPr>
        <w:t>достижимым.</w:t>
      </w:r>
    </w:p>
    <w:p w:rsidR="00752541" w:rsidRPr="00D00164" w:rsidRDefault="0004560C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целом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о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ценка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республиканского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выявил</w:t>
      </w:r>
      <w:r w:rsidRPr="00D00164">
        <w:rPr>
          <w:rFonts w:ascii="Times New Roman" w:hAnsi="Times New Roman" w:cs="Times New Roman"/>
          <w:iCs/>
          <w:sz w:val="24"/>
          <w:szCs w:val="24"/>
        </w:rPr>
        <w:t>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2526" w:rsidRPr="00D00164">
        <w:rPr>
          <w:rFonts w:ascii="Times New Roman" w:hAnsi="Times New Roman" w:cs="Times New Roman"/>
          <w:iCs/>
          <w:sz w:val="24"/>
          <w:szCs w:val="24"/>
        </w:rPr>
        <w:t>следующи</w:t>
      </w:r>
      <w:r w:rsidRPr="00D00164">
        <w:rPr>
          <w:rFonts w:ascii="Times New Roman" w:hAnsi="Times New Roman" w:cs="Times New Roman"/>
          <w:iCs/>
          <w:sz w:val="24"/>
          <w:szCs w:val="24"/>
        </w:rPr>
        <w:t>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системны</w:t>
      </w:r>
      <w:r w:rsidRPr="00D00164">
        <w:rPr>
          <w:rFonts w:ascii="Times New Roman" w:hAnsi="Times New Roman" w:cs="Times New Roman"/>
          <w:iCs/>
          <w:sz w:val="24"/>
          <w:szCs w:val="24"/>
        </w:rPr>
        <w:t>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проблем</w:t>
      </w:r>
      <w:r w:rsidRPr="00D00164">
        <w:rPr>
          <w:rFonts w:ascii="Times New Roman" w:hAnsi="Times New Roman" w:cs="Times New Roman"/>
          <w:iCs/>
          <w:sz w:val="24"/>
          <w:szCs w:val="24"/>
        </w:rPr>
        <w:t>ы</w:t>
      </w:r>
      <w:r w:rsidR="005F7E9C" w:rsidRPr="00D00164">
        <w:rPr>
          <w:rFonts w:ascii="Times New Roman" w:hAnsi="Times New Roman" w:cs="Times New Roman"/>
          <w:iCs/>
          <w:sz w:val="24"/>
          <w:szCs w:val="24"/>
        </w:rPr>
        <w:t>.</w:t>
      </w:r>
    </w:p>
    <w:p w:rsidR="00FC035E" w:rsidRPr="00D00164" w:rsidRDefault="00752541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/>
          <w:sz w:val="24"/>
          <w:szCs w:val="24"/>
        </w:rPr>
        <w:t>Первое</w:t>
      </w:r>
      <w:r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28%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социальную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помощь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социальное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обеспечение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населения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формируется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без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утвержденной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методики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расчета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прогнозной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численности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E17D74"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7D74" w:rsidRPr="00D00164">
        <w:rPr>
          <w:rFonts w:ascii="Times New Roman" w:hAnsi="Times New Roman" w:cs="Times New Roman"/>
          <w:iCs/>
          <w:sz w:val="24"/>
          <w:szCs w:val="24"/>
        </w:rPr>
        <w:t>соответственно,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прогнозной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потребности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пособиях</w:t>
      </w:r>
      <w:r w:rsidR="0074366E" w:rsidRPr="00D00164">
        <w:rPr>
          <w:rFonts w:ascii="Times New Roman" w:hAnsi="Times New Roman" w:cs="Times New Roman"/>
          <w:iCs/>
          <w:sz w:val="24"/>
          <w:szCs w:val="24"/>
        </w:rPr>
        <w:t>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Существуют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различные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способы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прогнозирования,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отсутствии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утвержденной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методики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затрудняется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оценка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достоверности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расчетов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соответственно,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планирование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является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366E" w:rsidRPr="00D00164">
        <w:rPr>
          <w:rFonts w:ascii="Times New Roman" w:hAnsi="Times New Roman" w:cs="Times New Roman"/>
          <w:sz w:val="24"/>
          <w:szCs w:val="24"/>
        </w:rPr>
        <w:t>прозрачн</w:t>
      </w:r>
      <w:r w:rsidR="00F42B98">
        <w:rPr>
          <w:rFonts w:ascii="Times New Roman" w:hAnsi="Times New Roman" w:cs="Times New Roman"/>
          <w:sz w:val="24"/>
          <w:szCs w:val="24"/>
        </w:rPr>
        <w:t>ым</w:t>
      </w:r>
      <w:r w:rsidR="0074366E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96378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бюджетную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программу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уполномоченного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органа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96378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96378">
        <w:rPr>
          <w:rFonts w:ascii="Times New Roman" w:hAnsi="Times New Roman" w:cs="Times New Roman"/>
          <w:sz w:val="24"/>
          <w:szCs w:val="24"/>
        </w:rPr>
        <w:t>2024-2026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96378">
        <w:rPr>
          <w:rFonts w:ascii="Times New Roman" w:hAnsi="Times New Roman" w:cs="Times New Roman"/>
          <w:sz w:val="24"/>
          <w:szCs w:val="24"/>
        </w:rPr>
        <w:t>годы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семь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раз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вносились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изменения,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где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корректировались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количество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</w:t>
      </w:r>
      <w:r w:rsidR="00641E38">
        <w:rPr>
          <w:rFonts w:ascii="Times New Roman" w:hAnsi="Times New Roman" w:cs="Times New Roman"/>
          <w:sz w:val="24"/>
          <w:szCs w:val="24"/>
        </w:rPr>
        <w:t>од</w:t>
      </w:r>
      <w:r w:rsidR="00FC035E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Аналогичная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ситуация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планировании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2023-2025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181426">
        <w:rPr>
          <w:rFonts w:ascii="Times New Roman" w:hAnsi="Times New Roman" w:cs="Times New Roman"/>
          <w:sz w:val="24"/>
          <w:szCs w:val="24"/>
        </w:rPr>
        <w:t>годы</w:t>
      </w:r>
      <w:r w:rsidR="00F42B98">
        <w:rPr>
          <w:rFonts w:ascii="Times New Roman" w:hAnsi="Times New Roman" w:cs="Times New Roman"/>
          <w:sz w:val="24"/>
          <w:szCs w:val="24"/>
        </w:rPr>
        <w:t xml:space="preserve"> –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шесть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раз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вносились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изменения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количество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2023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035E" w:rsidRPr="00D00164">
        <w:rPr>
          <w:rFonts w:ascii="Times New Roman" w:hAnsi="Times New Roman" w:cs="Times New Roman"/>
          <w:sz w:val="24"/>
          <w:szCs w:val="24"/>
        </w:rPr>
        <w:t>г</w:t>
      </w:r>
      <w:r w:rsidR="00641E38">
        <w:rPr>
          <w:rFonts w:ascii="Times New Roman" w:hAnsi="Times New Roman" w:cs="Times New Roman"/>
          <w:sz w:val="24"/>
          <w:szCs w:val="24"/>
        </w:rPr>
        <w:t>од</w:t>
      </w:r>
      <w:r w:rsidR="00FC035E" w:rsidRPr="00D00164">
        <w:rPr>
          <w:rFonts w:ascii="Times New Roman" w:hAnsi="Times New Roman" w:cs="Times New Roman"/>
          <w:sz w:val="24"/>
          <w:szCs w:val="24"/>
        </w:rPr>
        <w:t>.</w:t>
      </w:r>
    </w:p>
    <w:p w:rsidR="00E83B4A" w:rsidRPr="00D00164" w:rsidRDefault="00014AE9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/>
          <w:iCs/>
          <w:sz w:val="24"/>
          <w:szCs w:val="24"/>
        </w:rPr>
        <w:t>Второе,</w:t>
      </w:r>
      <w:r w:rsidR="00672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отсутствие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официальной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статистики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отдельным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категориям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sz w:val="24"/>
          <w:szCs w:val="24"/>
        </w:rPr>
        <w:t>граждан.</w:t>
      </w:r>
      <w:r w:rsidR="00672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83B4A" w:rsidRPr="00D00164">
        <w:rPr>
          <w:rFonts w:ascii="Times New Roman" w:hAnsi="Times New Roman" w:cs="Times New Roman"/>
          <w:sz w:val="24"/>
          <w:szCs w:val="24"/>
        </w:rPr>
        <w:t>частности,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sz w:val="24"/>
          <w:szCs w:val="24"/>
        </w:rPr>
        <w:t>отсутствуют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sz w:val="24"/>
          <w:szCs w:val="24"/>
        </w:rPr>
        <w:t>сведения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E83B4A" w:rsidRPr="00D00164">
        <w:rPr>
          <w:rFonts w:ascii="Times New Roman" w:hAnsi="Times New Roman" w:cs="Times New Roman"/>
          <w:iCs/>
          <w:sz w:val="24"/>
          <w:szCs w:val="24"/>
        </w:rPr>
        <w:t>по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3B4A" w:rsidRPr="00D00164">
        <w:rPr>
          <w:rFonts w:ascii="Times New Roman" w:hAnsi="Times New Roman" w:cs="Times New Roman"/>
          <w:iCs/>
          <w:sz w:val="24"/>
          <w:szCs w:val="24"/>
        </w:rPr>
        <w:t>многодетным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3B4A" w:rsidRPr="00D00164">
        <w:rPr>
          <w:rFonts w:ascii="Times New Roman" w:hAnsi="Times New Roman" w:cs="Times New Roman"/>
          <w:iCs/>
          <w:sz w:val="24"/>
          <w:szCs w:val="24"/>
        </w:rPr>
        <w:t>семьям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с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указанием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количества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детей,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2B98" w:rsidRPr="00D00164">
        <w:rPr>
          <w:rFonts w:ascii="Times New Roman" w:hAnsi="Times New Roman" w:cs="Times New Roman"/>
          <w:iCs/>
          <w:sz w:val="24"/>
          <w:szCs w:val="24"/>
        </w:rPr>
        <w:t>сузах</w:t>
      </w:r>
      <w:r w:rsidR="00F42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2B98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F42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2B98" w:rsidRPr="00D00164">
        <w:rPr>
          <w:rFonts w:ascii="Times New Roman" w:hAnsi="Times New Roman" w:cs="Times New Roman"/>
          <w:iCs/>
          <w:sz w:val="24"/>
          <w:szCs w:val="24"/>
        </w:rPr>
        <w:t>вузах</w:t>
      </w:r>
      <w:r w:rsidR="00F42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0D90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по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семьям,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воспитывающим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детей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с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2C2C" w:rsidRPr="00D00164">
        <w:rPr>
          <w:rFonts w:ascii="Times New Roman" w:hAnsi="Times New Roman" w:cs="Times New Roman"/>
          <w:iCs/>
          <w:sz w:val="24"/>
          <w:szCs w:val="24"/>
        </w:rPr>
        <w:t>инвалидностью</w:t>
      </w:r>
      <w:r w:rsidR="00E83B4A" w:rsidRPr="00D00164">
        <w:rPr>
          <w:rFonts w:ascii="Times New Roman" w:hAnsi="Times New Roman" w:cs="Times New Roman"/>
          <w:sz w:val="24"/>
          <w:szCs w:val="24"/>
        </w:rPr>
        <w:t>.</w:t>
      </w:r>
    </w:p>
    <w:p w:rsidR="00752541" w:rsidRPr="00D00164" w:rsidRDefault="00484342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/>
          <w:sz w:val="24"/>
          <w:szCs w:val="24"/>
        </w:rPr>
        <w:t>Третье</w:t>
      </w:r>
      <w:r w:rsidR="00752541" w:rsidRPr="00D00164">
        <w:rPr>
          <w:rFonts w:ascii="Times New Roman" w:hAnsi="Times New Roman" w:cs="Times New Roman"/>
          <w:i/>
          <w:sz w:val="24"/>
          <w:szCs w:val="24"/>
        </w:rPr>
        <w:t>,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размеры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видам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способствуют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повышению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благосостояния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их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получателей.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К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примеру,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р</w:t>
      </w:r>
      <w:r w:rsidR="00752541" w:rsidRPr="00D00164">
        <w:rPr>
          <w:rFonts w:ascii="Times New Roman" w:hAnsi="Times New Roman" w:cs="Times New Roman"/>
          <w:sz w:val="24"/>
          <w:szCs w:val="24"/>
        </w:rPr>
        <w:t>азмер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многодетным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семьям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увеличивается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ежегодно.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Тем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не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sz w:val="24"/>
          <w:szCs w:val="24"/>
        </w:rPr>
        <w:t>менее,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42B98">
        <w:rPr>
          <w:rFonts w:ascii="Times New Roman" w:hAnsi="Times New Roman" w:cs="Times New Roman"/>
          <w:sz w:val="24"/>
          <w:szCs w:val="24"/>
        </w:rPr>
        <w:t>с</w:t>
      </w:r>
      <w:r w:rsidR="00DC7EA5" w:rsidRPr="00D00164">
        <w:rPr>
          <w:rFonts w:ascii="Times New Roman" w:hAnsi="Times New Roman" w:cs="Times New Roman"/>
          <w:sz w:val="24"/>
          <w:szCs w:val="24"/>
        </w:rPr>
        <w:t>редний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размер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пособия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многодетным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семьям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2026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год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планируется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размере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80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046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тенге,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что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3,6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раза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меньше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размера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медианной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заработной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платы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2024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году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(285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677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sz w:val="24"/>
          <w:szCs w:val="24"/>
        </w:rPr>
        <w:t>тенге).</w:t>
      </w:r>
    </w:p>
    <w:p w:rsidR="00744765" w:rsidRPr="00D00164" w:rsidRDefault="00484342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/>
          <w:iCs/>
          <w:sz w:val="24"/>
          <w:szCs w:val="24"/>
        </w:rPr>
        <w:t>Четвертое</w:t>
      </w:r>
      <w:r w:rsidR="00752541" w:rsidRPr="00D00164">
        <w:rPr>
          <w:rFonts w:ascii="Times New Roman" w:hAnsi="Times New Roman" w:cs="Times New Roman"/>
          <w:sz w:val="24"/>
          <w:szCs w:val="24"/>
        </w:rPr>
        <w:t>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52541" w:rsidRPr="00F42B98">
        <w:rPr>
          <w:rFonts w:ascii="Times New Roman" w:hAnsi="Times New Roman" w:cs="Times New Roman"/>
          <w:b/>
          <w:sz w:val="24"/>
          <w:szCs w:val="24"/>
        </w:rPr>
        <w:t>р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иск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двойного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учета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количества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пособий</w:t>
      </w:r>
      <w:r w:rsidRPr="00D00164">
        <w:rPr>
          <w:rFonts w:ascii="Times New Roman" w:hAnsi="Times New Roman" w:cs="Times New Roman"/>
          <w:iCs/>
          <w:sz w:val="24"/>
          <w:szCs w:val="24"/>
        </w:rPr>
        <w:t>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При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расчете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прогнозной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потребности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пособиях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фактическая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численность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соответствующей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категории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iCs/>
          <w:sz w:val="24"/>
          <w:szCs w:val="24"/>
        </w:rPr>
        <w:t>граждан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увеличивается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5-6%,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при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расчете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дополнительных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расходов,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предназначенных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для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непредвиденных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случаев,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484DD0">
        <w:rPr>
          <w:rFonts w:ascii="Times New Roman" w:hAnsi="Times New Roman" w:cs="Times New Roman"/>
          <w:sz w:val="24"/>
          <w:szCs w:val="24"/>
        </w:rPr>
        <w:t>фактическая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484DD0">
        <w:rPr>
          <w:rFonts w:ascii="Times New Roman" w:hAnsi="Times New Roman" w:cs="Times New Roman"/>
          <w:sz w:val="24"/>
          <w:szCs w:val="24"/>
        </w:rPr>
        <w:t>численность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еще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раз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увеличивается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на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фактическую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долю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таких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744765" w:rsidRPr="00D00164">
        <w:rPr>
          <w:rFonts w:ascii="Times New Roman" w:hAnsi="Times New Roman" w:cs="Times New Roman"/>
          <w:sz w:val="24"/>
          <w:szCs w:val="24"/>
        </w:rPr>
        <w:t>непредвиденных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C32426">
        <w:rPr>
          <w:rFonts w:ascii="Times New Roman" w:hAnsi="Times New Roman" w:cs="Times New Roman"/>
          <w:sz w:val="24"/>
          <w:szCs w:val="24"/>
        </w:rPr>
        <w:t>случаев</w:t>
      </w:r>
      <w:r w:rsidR="00744765" w:rsidRPr="00D00164">
        <w:rPr>
          <w:rFonts w:ascii="Times New Roman" w:hAnsi="Times New Roman" w:cs="Times New Roman"/>
          <w:sz w:val="24"/>
          <w:szCs w:val="24"/>
        </w:rPr>
        <w:t>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A8" w:rsidRPr="00D00164" w:rsidRDefault="00484342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i/>
          <w:sz w:val="24"/>
          <w:szCs w:val="24"/>
        </w:rPr>
        <w:t>Пятое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е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жегодная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корректировка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сумм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утвержденного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бюджета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государственные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541" w:rsidRPr="00D00164">
        <w:rPr>
          <w:rFonts w:ascii="Times New Roman" w:hAnsi="Times New Roman" w:cs="Times New Roman"/>
          <w:iCs/>
          <w:sz w:val="24"/>
          <w:szCs w:val="24"/>
        </w:rPr>
        <w:t>пособия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ежегодные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не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освоения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по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суммам,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выделенным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государственные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пособия,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еще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раз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подтверждает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iCs/>
          <w:sz w:val="24"/>
          <w:szCs w:val="24"/>
        </w:rPr>
        <w:t>некорректность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прогнозных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расчетов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по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численности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получателей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учетом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цикличного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характера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демографических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5F40A8" w:rsidRPr="00D00164">
        <w:rPr>
          <w:rFonts w:ascii="Times New Roman" w:hAnsi="Times New Roman" w:cs="Times New Roman"/>
          <w:sz w:val="24"/>
          <w:szCs w:val="24"/>
        </w:rPr>
        <w:t>процессов.</w:t>
      </w:r>
    </w:p>
    <w:p w:rsidR="000F7178" w:rsidRPr="00D00164" w:rsidRDefault="000F7178" w:rsidP="00672D5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0164">
        <w:rPr>
          <w:rFonts w:ascii="Times New Roman" w:hAnsi="Times New Roman" w:cs="Times New Roman"/>
          <w:i/>
          <w:sz w:val="24"/>
          <w:szCs w:val="24"/>
        </w:rPr>
        <w:t>Шестое,</w:t>
      </w:r>
      <w:r w:rsidR="00672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арифметические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(технические)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ошибки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при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расчете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среднего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размера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пособий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и,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соответственно,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полной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потребности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пособия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также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стали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причиной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завышения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прогнозной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потребности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бюджетных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средствах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на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выплату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iCs/>
          <w:sz w:val="24"/>
          <w:szCs w:val="24"/>
        </w:rPr>
        <w:t>пособий.</w:t>
      </w:r>
    </w:p>
    <w:p w:rsidR="005F7E9C" w:rsidRPr="00D00164" w:rsidRDefault="00136E72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Седьмое,</w:t>
      </w:r>
      <w:r w:rsidR="00672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некачественное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C7EA5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планирование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2C92">
        <w:rPr>
          <w:rFonts w:ascii="Times New Roman" w:hAnsi="Times New Roman" w:cs="Times New Roman"/>
          <w:iCs/>
          <w:sz w:val="24"/>
          <w:szCs w:val="24"/>
        </w:rPr>
        <w:t>приводит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2C92">
        <w:rPr>
          <w:rFonts w:ascii="Times New Roman" w:hAnsi="Times New Roman" w:cs="Times New Roman"/>
          <w:iCs/>
          <w:sz w:val="24"/>
          <w:szCs w:val="24"/>
        </w:rPr>
        <w:t>к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неосвоени</w:t>
      </w:r>
      <w:r w:rsidR="00662C92">
        <w:rPr>
          <w:rFonts w:ascii="Times New Roman" w:hAnsi="Times New Roman" w:cs="Times New Roman"/>
          <w:iCs/>
          <w:sz w:val="24"/>
          <w:szCs w:val="24"/>
        </w:rPr>
        <w:t>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ранее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выделенных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бюджетных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средств,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превышени</w:t>
      </w:r>
      <w:r w:rsidR="00662C92">
        <w:rPr>
          <w:rFonts w:ascii="Times New Roman" w:hAnsi="Times New Roman" w:cs="Times New Roman"/>
          <w:iCs/>
          <w:sz w:val="24"/>
          <w:szCs w:val="24"/>
        </w:rPr>
        <w:t>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объемов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финансирования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над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сметной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стоимостью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инвестиционных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проектов.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C7EA5" w:rsidRPr="00D00164" w:rsidRDefault="00662C92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Восьмое</w:t>
      </w:r>
      <w:r w:rsidR="00DC7EA5"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неэффективное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расходование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926">
        <w:rPr>
          <w:rFonts w:ascii="Times New Roman" w:hAnsi="Times New Roman" w:cs="Times New Roman"/>
          <w:iCs/>
          <w:sz w:val="24"/>
          <w:szCs w:val="24"/>
        </w:rPr>
        <w:t>прослеживается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926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наличи</w:t>
      </w:r>
      <w:r w:rsidR="00AD6926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информационных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систем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органов,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разработанных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за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счет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средств,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не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введенных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промышленную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D94" w:rsidRPr="00D00164">
        <w:rPr>
          <w:rFonts w:ascii="Times New Roman" w:hAnsi="Times New Roman" w:cs="Times New Roman"/>
          <w:iCs/>
          <w:sz w:val="24"/>
          <w:szCs w:val="24"/>
        </w:rPr>
        <w:t>эксплуатацию.</w:t>
      </w:r>
    </w:p>
    <w:p w:rsidR="00980C8A" w:rsidRPr="00D00164" w:rsidRDefault="006F797E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Девятое</w:t>
      </w:r>
      <w:r w:rsidR="00DC7EA5" w:rsidRPr="00D00164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2B98" w:rsidRPr="00F42B98">
        <w:rPr>
          <w:rFonts w:ascii="Times New Roman" w:hAnsi="Times New Roman" w:cs="Times New Roman"/>
          <w:b/>
          <w:iCs/>
          <w:sz w:val="24"/>
          <w:szCs w:val="24"/>
        </w:rPr>
        <w:t xml:space="preserve">об </w:t>
      </w:r>
      <w:r w:rsidR="00980C8A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отсутстви</w:t>
      </w:r>
      <w:r w:rsidR="00F42B98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бюджетной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дисциплины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свидетельствуют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случа</w:t>
      </w:r>
      <w:r w:rsidR="007254BA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планирования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расходов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без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соблюдения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бюджетных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0C8A" w:rsidRPr="00D00164">
        <w:rPr>
          <w:rFonts w:ascii="Times New Roman" w:hAnsi="Times New Roman" w:cs="Times New Roman"/>
          <w:iCs/>
          <w:sz w:val="24"/>
          <w:szCs w:val="24"/>
        </w:rPr>
        <w:t>процедур.</w:t>
      </w:r>
    </w:p>
    <w:p w:rsidR="00980C8A" w:rsidRPr="00D00164" w:rsidRDefault="006F797E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Десятое</w:t>
      </w:r>
      <w:r w:rsidR="00797D9C" w:rsidRPr="00D00164">
        <w:rPr>
          <w:rFonts w:ascii="Times New Roman" w:hAnsi="Times New Roman" w:cs="Times New Roman"/>
          <w:i/>
          <w:sz w:val="24"/>
          <w:szCs w:val="24"/>
        </w:rPr>
        <w:t>,</w:t>
      </w:r>
      <w:r w:rsidR="00672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перераспределение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b/>
          <w:bCs/>
          <w:iCs/>
          <w:sz w:val="24"/>
          <w:szCs w:val="24"/>
        </w:rPr>
        <w:t>средств</w:t>
      </w:r>
      <w:r w:rsidR="00672D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между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бюджетными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программами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для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реализации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отдельных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мероприятий</w:t>
      </w:r>
      <w:r w:rsidR="001F4E1F">
        <w:rPr>
          <w:rFonts w:ascii="Times New Roman" w:hAnsi="Times New Roman" w:cs="Times New Roman"/>
          <w:iCs/>
          <w:sz w:val="24"/>
          <w:szCs w:val="24"/>
        </w:rPr>
        <w:t>,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4E1F">
        <w:rPr>
          <w:rFonts w:ascii="Times New Roman" w:hAnsi="Times New Roman" w:cs="Times New Roman"/>
          <w:iCs/>
          <w:sz w:val="24"/>
          <w:szCs w:val="24"/>
        </w:rPr>
        <w:t>что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свою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очередь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приводит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к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срыву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плановых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сроков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ввода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в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эксплуатацию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риску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удорожания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стоимости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030" w:rsidRPr="00D00164">
        <w:rPr>
          <w:rFonts w:ascii="Times New Roman" w:hAnsi="Times New Roman" w:cs="Times New Roman"/>
          <w:iCs/>
          <w:sz w:val="24"/>
          <w:szCs w:val="24"/>
        </w:rPr>
        <w:t>работ.</w:t>
      </w:r>
      <w:r w:rsidR="00672D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большинстве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стран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ОЭСР</w:t>
      </w:r>
      <w:r w:rsidR="00C553BF" w:rsidRPr="00D00164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министерствам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некоторыми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ограничениями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позволено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перераспределять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средства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рамках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своей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ответственности.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Ограничения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перераспределениях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сумм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применяются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отдельным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видам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расходов.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К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примеру,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Словении,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министерства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рамках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компетенции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могут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перераспределить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между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разными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программами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до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10%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выделенного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752D8" w:rsidRPr="00D00164">
        <w:rPr>
          <w:rFonts w:ascii="Times New Roman" w:hAnsi="Times New Roman" w:cs="Times New Roman"/>
          <w:sz w:val="24"/>
          <w:szCs w:val="24"/>
        </w:rPr>
        <w:t>бюджета.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D8B" w:rsidRPr="00D00164" w:rsidRDefault="006E0950" w:rsidP="00672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64">
        <w:rPr>
          <w:rFonts w:ascii="Times New Roman" w:hAnsi="Times New Roman" w:cs="Times New Roman"/>
          <w:sz w:val="24"/>
          <w:szCs w:val="24"/>
        </w:rPr>
        <w:t>Исходя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из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вышеизложенного,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42B98">
        <w:rPr>
          <w:rFonts w:ascii="Times New Roman" w:hAnsi="Times New Roman" w:cs="Times New Roman"/>
          <w:sz w:val="24"/>
          <w:szCs w:val="24"/>
        </w:rPr>
        <w:t xml:space="preserve">можно сделать вывод о </w:t>
      </w:r>
      <w:r w:rsidR="00AA65DC" w:rsidRPr="00D00164">
        <w:rPr>
          <w:rFonts w:ascii="Times New Roman" w:hAnsi="Times New Roman" w:cs="Times New Roman"/>
          <w:sz w:val="24"/>
          <w:szCs w:val="24"/>
        </w:rPr>
        <w:t>необходимост</w:t>
      </w:r>
      <w:r w:rsidR="00F42B98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повысить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качество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бюджетного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планирования,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пересмотреть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виды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размер</w:t>
      </w:r>
      <w:r w:rsidR="00FC37B1" w:rsidRPr="00D00164">
        <w:rPr>
          <w:rFonts w:ascii="Times New Roman" w:hAnsi="Times New Roman" w:cs="Times New Roman"/>
          <w:sz w:val="24"/>
          <w:szCs w:val="24"/>
        </w:rPr>
        <w:t>ы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государственных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пособий,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в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целях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оптимизации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="00FC37B1" w:rsidRPr="00D00164">
        <w:rPr>
          <w:rFonts w:ascii="Times New Roman" w:hAnsi="Times New Roman" w:cs="Times New Roman"/>
          <w:sz w:val="24"/>
          <w:szCs w:val="24"/>
        </w:rPr>
        <w:t>количества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повышения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благосостояния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их</w:t>
      </w:r>
      <w:r w:rsidR="00672D56">
        <w:rPr>
          <w:rFonts w:ascii="Times New Roman" w:hAnsi="Times New Roman" w:cs="Times New Roman"/>
          <w:sz w:val="24"/>
          <w:szCs w:val="24"/>
        </w:rPr>
        <w:t xml:space="preserve"> </w:t>
      </w:r>
      <w:r w:rsidRPr="00D00164">
        <w:rPr>
          <w:rFonts w:ascii="Times New Roman" w:hAnsi="Times New Roman" w:cs="Times New Roman"/>
          <w:sz w:val="24"/>
          <w:szCs w:val="24"/>
        </w:rPr>
        <w:t>получателей.</w:t>
      </w:r>
    </w:p>
    <w:sectPr w:rsidR="00AD1D8B" w:rsidRPr="00D00164" w:rsidSect="00672D56"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56" w:rsidRDefault="00672D56" w:rsidP="00EA79E2">
      <w:pPr>
        <w:spacing w:after="0" w:line="240" w:lineRule="auto"/>
      </w:pPr>
      <w:r>
        <w:separator/>
      </w:r>
    </w:p>
  </w:endnote>
  <w:endnote w:type="continuationSeparator" w:id="0">
    <w:p w:rsidR="00672D56" w:rsidRDefault="00672D56" w:rsidP="00EA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7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2D56" w:rsidRPr="00672D56" w:rsidRDefault="00672D56" w:rsidP="00672D5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2D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2D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2D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64B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2D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56" w:rsidRDefault="00672D56" w:rsidP="00EA79E2">
      <w:pPr>
        <w:spacing w:after="0" w:line="240" w:lineRule="auto"/>
      </w:pPr>
      <w:r>
        <w:separator/>
      </w:r>
    </w:p>
  </w:footnote>
  <w:footnote w:type="continuationSeparator" w:id="0">
    <w:p w:rsidR="00672D56" w:rsidRDefault="00672D56" w:rsidP="00EA79E2">
      <w:pPr>
        <w:spacing w:after="0" w:line="240" w:lineRule="auto"/>
      </w:pPr>
      <w:r>
        <w:continuationSeparator/>
      </w:r>
    </w:p>
  </w:footnote>
  <w:footnote w:id="1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пути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росту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в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эпоху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неопределенности.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Годовой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отчет</w:t>
      </w:r>
      <w:r>
        <w:rPr>
          <w:rFonts w:ascii="Times New Roman" w:hAnsi="Times New Roman" w:cs="Times New Roman"/>
          <w:iCs/>
        </w:rPr>
        <w:t xml:space="preserve"> / </w:t>
      </w:r>
      <w:r w:rsidRPr="00672D56">
        <w:rPr>
          <w:rFonts w:ascii="Times New Roman" w:hAnsi="Times New Roman" w:cs="Times New Roman"/>
          <w:iCs/>
        </w:rPr>
        <w:t>МВФ</w:t>
      </w:r>
      <w:r>
        <w:rPr>
          <w:rFonts w:ascii="Times New Roman" w:hAnsi="Times New Roman" w:cs="Times New Roman"/>
          <w:iCs/>
        </w:rPr>
        <w:t xml:space="preserve">. – 2025. – </w:t>
      </w:r>
      <w:r w:rsidRPr="00672D56">
        <w:rPr>
          <w:rFonts w:ascii="Times New Roman" w:hAnsi="Times New Roman" w:cs="Times New Roman"/>
          <w:iCs/>
        </w:rPr>
        <w:t>https://www.imf.org/external/pubs/ft/ar/2025/download/russian/</w:t>
      </w:r>
    </w:p>
  </w:footnote>
  <w:footnote w:id="2">
    <w:p w:rsidR="00641772" w:rsidRPr="00641772" w:rsidRDefault="00641772" w:rsidP="00641772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iCs/>
        </w:rPr>
        <w:t xml:space="preserve">Источник: </w:t>
      </w:r>
      <w:r w:rsidRPr="00672D56">
        <w:rPr>
          <w:rFonts w:ascii="Times New Roman" w:hAnsi="Times New Roman" w:cs="Times New Roman"/>
          <w:iCs/>
          <w:lang w:val="en-US"/>
        </w:rPr>
        <w:t>Halyk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Finance</w:t>
      </w:r>
      <w:r w:rsidRPr="00672D56">
        <w:rPr>
          <w:rFonts w:ascii="Times New Roman" w:hAnsi="Times New Roman" w:cs="Times New Roman"/>
          <w:iCs/>
        </w:rPr>
        <w:t>.</w:t>
      </w:r>
    </w:p>
  </w:footnote>
  <w:footnote w:id="3">
    <w:p w:rsidR="00672D56" w:rsidRPr="00641772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="00641772">
        <w:rPr>
          <w:rFonts w:ascii="Times New Roman" w:hAnsi="Times New Roman" w:cs="Times New Roman"/>
          <w:iCs/>
        </w:rPr>
        <w:t xml:space="preserve">Источник: </w:t>
      </w:r>
      <w:r w:rsidRPr="00672D56">
        <w:rPr>
          <w:rFonts w:ascii="Times New Roman" w:hAnsi="Times New Roman" w:cs="Times New Roman"/>
          <w:iCs/>
        </w:rPr>
        <w:t>Национальный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Банк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РК.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Международные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резервы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валютные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активы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Национального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фонда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РК</w:t>
      </w:r>
      <w:r w:rsidR="00641772">
        <w:rPr>
          <w:rFonts w:ascii="Times New Roman" w:hAnsi="Times New Roman" w:cs="Times New Roman"/>
          <w:iCs/>
        </w:rPr>
        <w:t xml:space="preserve">. – </w:t>
      </w:r>
      <w:r w:rsidRPr="00672D56">
        <w:rPr>
          <w:rFonts w:ascii="Times New Roman" w:hAnsi="Times New Roman" w:cs="Times New Roman"/>
          <w:iCs/>
          <w:lang w:val="en-US"/>
        </w:rPr>
        <w:t>www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nationalbank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kz</w:t>
      </w:r>
    </w:p>
  </w:footnote>
  <w:footnote w:id="4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="00641772">
        <w:rPr>
          <w:rFonts w:ascii="Times New Roman" w:hAnsi="Times New Roman" w:cs="Times New Roman"/>
          <w:iCs/>
        </w:rPr>
        <w:t>Там же.</w:t>
      </w:r>
    </w:p>
  </w:footnote>
  <w:footnote w:id="5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  <w:lang w:val="en-US"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 w:rsidRPr="00641772"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41772">
        <w:rPr>
          <w:rFonts w:ascii="Times New Roman" w:hAnsi="Times New Roman" w:cs="Times New Roman"/>
          <w:i/>
          <w:iCs/>
          <w:lang w:val="en-US"/>
        </w:rPr>
        <w:t xml:space="preserve">Jumaniyazov </w:t>
      </w:r>
      <w:r w:rsidRPr="00641772">
        <w:rPr>
          <w:rFonts w:ascii="Times New Roman" w:hAnsi="Times New Roman" w:cs="Times New Roman"/>
          <w:i/>
          <w:iCs/>
          <w:lang w:val="en-US"/>
        </w:rPr>
        <w:t>I.T.</w:t>
      </w:r>
      <w:r w:rsidRPr="00641772"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The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progressive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foreign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experiments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in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the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activity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of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sovereign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wealth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funds</w:t>
      </w:r>
      <w:r w:rsidR="00641772" w:rsidRPr="00641772">
        <w:rPr>
          <w:rFonts w:ascii="Times New Roman" w:hAnsi="Times New Roman" w:cs="Times New Roman"/>
          <w:iCs/>
          <w:lang w:val="en-US"/>
        </w:rPr>
        <w:t xml:space="preserve"> //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>
        <w:rPr>
          <w:rFonts w:ascii="Times New Roman" w:hAnsi="Times New Roman" w:cs="Times New Roman"/>
          <w:iCs/>
          <w:lang w:val="en-US"/>
        </w:rPr>
        <w:t>P</w:t>
      </w:r>
      <w:r w:rsidR="00641772" w:rsidRPr="00672D56">
        <w:rPr>
          <w:rFonts w:ascii="Times New Roman" w:hAnsi="Times New Roman" w:cs="Times New Roman"/>
          <w:iCs/>
          <w:lang w:val="en-US"/>
        </w:rPr>
        <w:t>sychology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="00641772" w:rsidRPr="00672D56">
        <w:rPr>
          <w:rFonts w:ascii="Times New Roman" w:hAnsi="Times New Roman" w:cs="Times New Roman"/>
          <w:iCs/>
          <w:lang w:val="en-US"/>
        </w:rPr>
        <w:t>education</w:t>
      </w:r>
      <w:r w:rsidR="00641772">
        <w:rPr>
          <w:rFonts w:ascii="Times New Roman" w:hAnsi="Times New Roman" w:cs="Times New Roman"/>
          <w:iCs/>
          <w:lang w:val="en-US"/>
        </w:rPr>
        <w:t xml:space="preserve">. – </w:t>
      </w:r>
      <w:r w:rsidRPr="00672D56">
        <w:rPr>
          <w:rFonts w:ascii="Times New Roman" w:hAnsi="Times New Roman" w:cs="Times New Roman"/>
          <w:iCs/>
          <w:lang w:val="en-US"/>
        </w:rPr>
        <w:t>2021</w:t>
      </w:r>
      <w:r w:rsidR="00641772">
        <w:rPr>
          <w:rFonts w:ascii="Times New Roman" w:hAnsi="Times New Roman" w:cs="Times New Roman"/>
          <w:iCs/>
          <w:lang w:val="en-US"/>
        </w:rPr>
        <w:t>. – Vol.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58</w:t>
      </w:r>
      <w:r w:rsidR="00641772">
        <w:rPr>
          <w:rFonts w:ascii="Times New Roman" w:hAnsi="Times New Roman" w:cs="Times New Roman"/>
          <w:iCs/>
          <w:lang w:val="en-US"/>
        </w:rPr>
        <w:t xml:space="preserve">, N </w:t>
      </w:r>
      <w:r w:rsidRPr="00672D56">
        <w:rPr>
          <w:rFonts w:ascii="Times New Roman" w:hAnsi="Times New Roman" w:cs="Times New Roman"/>
          <w:iCs/>
          <w:lang w:val="en-US"/>
        </w:rPr>
        <w:t>1</w:t>
      </w:r>
      <w:r w:rsidR="00641772">
        <w:rPr>
          <w:rFonts w:ascii="Times New Roman" w:hAnsi="Times New Roman" w:cs="Times New Roman"/>
          <w:iCs/>
          <w:lang w:val="en-US"/>
        </w:rPr>
        <w:t>. – P.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4928-4935</w:t>
      </w:r>
      <w:r w:rsidR="00641772">
        <w:rPr>
          <w:rFonts w:ascii="Times New Roman" w:hAnsi="Times New Roman" w:cs="Times New Roman"/>
          <w:iCs/>
          <w:lang w:val="en-US"/>
        </w:rPr>
        <w:t>.</w:t>
      </w:r>
    </w:p>
  </w:footnote>
  <w:footnote w:id="6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  <w:lang w:val="en-US"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Revenue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Statistics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in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Asia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the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Pacific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2025: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Kazakhstan</w:t>
      </w:r>
      <w:r w:rsidR="00641772">
        <w:rPr>
          <w:rFonts w:ascii="Times New Roman" w:hAnsi="Times New Roman" w:cs="Times New Roman"/>
          <w:iCs/>
          <w:lang w:val="en-US"/>
        </w:rPr>
        <w:t xml:space="preserve"> / </w:t>
      </w:r>
      <w:r w:rsidR="00641772" w:rsidRPr="00672D56">
        <w:rPr>
          <w:rFonts w:ascii="Times New Roman" w:hAnsi="Times New Roman" w:cs="Times New Roman"/>
          <w:iCs/>
          <w:lang w:val="en-US"/>
        </w:rPr>
        <w:t>OECD</w:t>
      </w:r>
      <w:r w:rsidR="00641772">
        <w:rPr>
          <w:rFonts w:ascii="Times New Roman" w:hAnsi="Times New Roman" w:cs="Times New Roman"/>
          <w:iCs/>
          <w:lang w:val="en-US"/>
        </w:rPr>
        <w:t>. – 2025.</w:t>
      </w:r>
    </w:p>
  </w:footnote>
  <w:footnote w:id="7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="00641772" w:rsidRPr="00672D56">
        <w:rPr>
          <w:rFonts w:ascii="Times New Roman" w:hAnsi="Times New Roman" w:cs="Times New Roman"/>
          <w:iCs/>
        </w:rPr>
        <w:t>Перспективы</w:t>
      </w:r>
      <w:r>
        <w:rPr>
          <w:rFonts w:ascii="Times New Roman" w:hAnsi="Times New Roman" w:cs="Times New Roman"/>
          <w:iCs/>
        </w:rPr>
        <w:t xml:space="preserve"> </w:t>
      </w:r>
      <w:r w:rsidR="00641772" w:rsidRPr="00672D56">
        <w:rPr>
          <w:rFonts w:ascii="Times New Roman" w:hAnsi="Times New Roman" w:cs="Times New Roman"/>
          <w:iCs/>
        </w:rPr>
        <w:t>развития</w:t>
      </w:r>
      <w:r>
        <w:rPr>
          <w:rFonts w:ascii="Times New Roman" w:hAnsi="Times New Roman" w:cs="Times New Roman"/>
          <w:iCs/>
        </w:rPr>
        <w:t xml:space="preserve"> </w:t>
      </w:r>
      <w:r w:rsidR="00641772" w:rsidRPr="00672D56">
        <w:rPr>
          <w:rFonts w:ascii="Times New Roman" w:hAnsi="Times New Roman" w:cs="Times New Roman"/>
          <w:iCs/>
        </w:rPr>
        <w:t>мировой</w:t>
      </w:r>
      <w:r>
        <w:rPr>
          <w:rFonts w:ascii="Times New Roman" w:hAnsi="Times New Roman" w:cs="Times New Roman"/>
          <w:iCs/>
        </w:rPr>
        <w:t xml:space="preserve"> </w:t>
      </w:r>
      <w:r w:rsidR="00641772" w:rsidRPr="00672D56">
        <w:rPr>
          <w:rFonts w:ascii="Times New Roman" w:hAnsi="Times New Roman" w:cs="Times New Roman"/>
          <w:iCs/>
        </w:rPr>
        <w:t>экономики</w:t>
      </w:r>
      <w:r w:rsidRPr="00672D56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Критический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момент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фоне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изменений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политики</w:t>
      </w:r>
      <w:r w:rsidR="00641772" w:rsidRPr="00641772">
        <w:rPr>
          <w:rFonts w:ascii="Times New Roman" w:hAnsi="Times New Roman" w:cs="Times New Roman"/>
          <w:iCs/>
        </w:rPr>
        <w:t xml:space="preserve"> /</w:t>
      </w:r>
      <w:r>
        <w:rPr>
          <w:rFonts w:ascii="Times New Roman" w:hAnsi="Times New Roman" w:cs="Times New Roman"/>
          <w:iCs/>
        </w:rPr>
        <w:t xml:space="preserve"> </w:t>
      </w:r>
      <w:r w:rsidR="00641772" w:rsidRPr="00672D56">
        <w:rPr>
          <w:rFonts w:ascii="Times New Roman" w:hAnsi="Times New Roman" w:cs="Times New Roman"/>
          <w:iCs/>
        </w:rPr>
        <w:t>МВФ.</w:t>
      </w:r>
      <w:r w:rsidR="00641772">
        <w:rPr>
          <w:rFonts w:ascii="Times New Roman" w:hAnsi="Times New Roman" w:cs="Times New Roman"/>
          <w:iCs/>
        </w:rPr>
        <w:t xml:space="preserve"> </w:t>
      </w:r>
      <w:r w:rsidR="00641772" w:rsidRPr="00641772">
        <w:rPr>
          <w:rFonts w:ascii="Times New Roman" w:hAnsi="Times New Roman" w:cs="Times New Roman"/>
          <w:iCs/>
        </w:rPr>
        <w:t xml:space="preserve">– </w:t>
      </w:r>
      <w:r w:rsidR="00641772" w:rsidRPr="00672D56">
        <w:rPr>
          <w:rFonts w:ascii="Times New Roman" w:hAnsi="Times New Roman" w:cs="Times New Roman"/>
          <w:iCs/>
        </w:rPr>
        <w:t>2025</w:t>
      </w:r>
      <w:r w:rsidR="00641772">
        <w:rPr>
          <w:rFonts w:ascii="Times New Roman" w:hAnsi="Times New Roman" w:cs="Times New Roman"/>
          <w:iCs/>
        </w:rPr>
        <w:t xml:space="preserve">. – </w:t>
      </w:r>
      <w:r w:rsidRPr="00672D56">
        <w:rPr>
          <w:rFonts w:ascii="Times New Roman" w:hAnsi="Times New Roman" w:cs="Times New Roman"/>
          <w:iCs/>
        </w:rPr>
        <w:t>Апрель</w:t>
      </w:r>
      <w:r w:rsidR="00641772">
        <w:rPr>
          <w:rFonts w:ascii="Times New Roman" w:hAnsi="Times New Roman" w:cs="Times New Roman"/>
          <w:iCs/>
        </w:rPr>
        <w:t xml:space="preserve">. – </w:t>
      </w:r>
      <w:r w:rsidRPr="00672D56">
        <w:rPr>
          <w:rFonts w:ascii="Times New Roman" w:hAnsi="Times New Roman" w:cs="Times New Roman"/>
          <w:iCs/>
          <w:lang w:val="en-US"/>
        </w:rPr>
        <w:t>www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imf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org</w:t>
      </w:r>
    </w:p>
  </w:footnote>
  <w:footnote w:id="8">
    <w:p w:rsidR="00672D56" w:rsidRPr="00F42B98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  <w:lang w:val="en-US"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Отчет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финансовой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стабильности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Казахстана</w:t>
      </w:r>
      <w:r w:rsidR="00F42B98">
        <w:rPr>
          <w:rFonts w:ascii="Times New Roman" w:hAnsi="Times New Roman" w:cs="Times New Roman"/>
          <w:iCs/>
        </w:rPr>
        <w:t xml:space="preserve"> / </w:t>
      </w:r>
      <w:r w:rsidR="00F42B98" w:rsidRPr="00672D56">
        <w:rPr>
          <w:rFonts w:ascii="Times New Roman" w:hAnsi="Times New Roman" w:cs="Times New Roman"/>
          <w:iCs/>
        </w:rPr>
        <w:t>Национальный</w:t>
      </w:r>
      <w:r w:rsidR="00F42B98">
        <w:rPr>
          <w:rFonts w:ascii="Times New Roman" w:hAnsi="Times New Roman" w:cs="Times New Roman"/>
          <w:iCs/>
        </w:rPr>
        <w:t xml:space="preserve"> </w:t>
      </w:r>
      <w:r w:rsidR="00F42B98" w:rsidRPr="00672D56">
        <w:rPr>
          <w:rFonts w:ascii="Times New Roman" w:hAnsi="Times New Roman" w:cs="Times New Roman"/>
          <w:iCs/>
        </w:rPr>
        <w:t>банк</w:t>
      </w:r>
      <w:r w:rsidR="00F42B98">
        <w:rPr>
          <w:rFonts w:ascii="Times New Roman" w:hAnsi="Times New Roman" w:cs="Times New Roman"/>
          <w:iCs/>
        </w:rPr>
        <w:t xml:space="preserve"> </w:t>
      </w:r>
      <w:r w:rsidR="00F42B98" w:rsidRPr="00672D56">
        <w:rPr>
          <w:rFonts w:ascii="Times New Roman" w:hAnsi="Times New Roman" w:cs="Times New Roman"/>
          <w:iCs/>
        </w:rPr>
        <w:t>РК.</w:t>
      </w:r>
      <w:r w:rsidR="00F42B98">
        <w:rPr>
          <w:rFonts w:ascii="Times New Roman" w:hAnsi="Times New Roman" w:cs="Times New Roman"/>
          <w:iCs/>
        </w:rPr>
        <w:t xml:space="preserve"> – </w:t>
      </w:r>
      <w:r w:rsidRPr="00672D56">
        <w:rPr>
          <w:rFonts w:ascii="Times New Roman" w:hAnsi="Times New Roman" w:cs="Times New Roman"/>
          <w:iCs/>
        </w:rPr>
        <w:t>2023</w:t>
      </w:r>
      <w:r w:rsidR="00F42B98">
        <w:rPr>
          <w:rFonts w:ascii="Times New Roman" w:hAnsi="Times New Roman" w:cs="Times New Roman"/>
          <w:iCs/>
        </w:rPr>
        <w:t xml:space="preserve">. – </w:t>
      </w:r>
      <w:r w:rsidRPr="00672D56">
        <w:rPr>
          <w:rFonts w:ascii="Times New Roman" w:hAnsi="Times New Roman" w:cs="Times New Roman"/>
          <w:iCs/>
          <w:lang w:val="en-US"/>
        </w:rPr>
        <w:t>www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nationalbank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kz</w:t>
      </w:r>
    </w:p>
  </w:footnote>
  <w:footnote w:id="9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Об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утверждении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Концепции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управления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государственными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финансами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Республики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Казахстан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до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2030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года.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Указ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Президента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Республики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Казахстан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от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10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сентября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№</w:t>
      </w:r>
      <w:r>
        <w:rPr>
          <w:rFonts w:ascii="Times New Roman" w:hAnsi="Times New Roman" w:cs="Times New Roman"/>
          <w:iCs/>
        </w:rPr>
        <w:t xml:space="preserve"> </w:t>
      </w:r>
      <w:r w:rsidR="00F42B98">
        <w:rPr>
          <w:rFonts w:ascii="Times New Roman" w:hAnsi="Times New Roman" w:cs="Times New Roman"/>
          <w:iCs/>
        </w:rPr>
        <w:t>1005.</w:t>
      </w:r>
    </w:p>
  </w:footnote>
  <w:footnote w:id="10">
    <w:p w:rsidR="00672D56" w:rsidRPr="00672D56" w:rsidRDefault="00672D56" w:rsidP="00672D56">
      <w:pPr>
        <w:pStyle w:val="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72D56">
        <w:rPr>
          <w:rStyle w:val="a5"/>
          <w:b w:val="0"/>
          <w:bCs w:val="0"/>
          <w:iCs/>
          <w:sz w:val="20"/>
          <w:szCs w:val="20"/>
        </w:rPr>
        <w:footnoteRef/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О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проекте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Указа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Президента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Республики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Казахстан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«О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внесении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изменения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в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Указ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Президента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Республики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Казахстан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от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6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декабря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2016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года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№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384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"Об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утверждении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Концепции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семейной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гендерной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политики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в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Республике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Казахстан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до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2030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года».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Постановление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Правительства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Республики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Казахстан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от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24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марта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2022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года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72D56">
        <w:rPr>
          <w:b w:val="0"/>
          <w:bCs w:val="0"/>
          <w:iCs/>
          <w:sz w:val="20"/>
          <w:szCs w:val="20"/>
        </w:rPr>
        <w:t>№</w:t>
      </w:r>
      <w:r>
        <w:rPr>
          <w:b w:val="0"/>
          <w:bCs w:val="0"/>
          <w:iCs/>
          <w:sz w:val="20"/>
          <w:szCs w:val="20"/>
        </w:rPr>
        <w:t xml:space="preserve"> </w:t>
      </w:r>
      <w:r w:rsidR="00F42B98">
        <w:rPr>
          <w:b w:val="0"/>
          <w:bCs w:val="0"/>
          <w:iCs/>
          <w:sz w:val="20"/>
          <w:szCs w:val="20"/>
        </w:rPr>
        <w:t>151.</w:t>
      </w:r>
    </w:p>
  </w:footnote>
  <w:footnote w:id="11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Об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одобрении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Концепции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социальной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защиты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населения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Республики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Казахстан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Постановление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Правительства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Республики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Казахстан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от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27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июня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2001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№</w:t>
      </w:r>
      <w:r>
        <w:rPr>
          <w:rFonts w:ascii="Times New Roman" w:hAnsi="Times New Roman" w:cs="Times New Roman"/>
          <w:iCs/>
        </w:rPr>
        <w:t xml:space="preserve"> </w:t>
      </w:r>
      <w:r w:rsidR="00F42B98">
        <w:rPr>
          <w:rFonts w:ascii="Times New Roman" w:hAnsi="Times New Roman" w:cs="Times New Roman"/>
          <w:iCs/>
        </w:rPr>
        <w:t>886.</w:t>
      </w:r>
    </w:p>
  </w:footnote>
  <w:footnote w:id="12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Государственный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фонд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социального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страхования.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Годовой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отчет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2022</w:t>
      </w:r>
      <w:r>
        <w:rPr>
          <w:rFonts w:ascii="Times New Roman" w:hAnsi="Times New Roman" w:cs="Times New Roman"/>
          <w:iCs/>
        </w:rPr>
        <w:t xml:space="preserve"> </w:t>
      </w:r>
      <w:r w:rsidR="00F42B98">
        <w:rPr>
          <w:rFonts w:ascii="Times New Roman" w:hAnsi="Times New Roman" w:cs="Times New Roman"/>
          <w:iCs/>
        </w:rPr>
        <w:t xml:space="preserve">год. – </w:t>
      </w:r>
      <w:r w:rsidRPr="00672D56">
        <w:rPr>
          <w:rFonts w:ascii="Times New Roman" w:hAnsi="Times New Roman" w:cs="Times New Roman"/>
          <w:iCs/>
          <w:lang w:val="en-US"/>
        </w:rPr>
        <w:t>www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gfss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kz</w:t>
      </w:r>
    </w:p>
  </w:footnote>
  <w:footnote w:id="13">
    <w:p w:rsidR="00672D56" w:rsidRPr="00672D56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Национальный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Банк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РК.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Статистика.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Показатели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финансового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сектора,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на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августа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2025</w:t>
      </w:r>
      <w:r>
        <w:rPr>
          <w:rFonts w:ascii="Times New Roman" w:hAnsi="Times New Roman" w:cs="Times New Roman"/>
          <w:iCs/>
        </w:rPr>
        <w:t xml:space="preserve"> </w:t>
      </w:r>
      <w:r w:rsidRPr="00672D56">
        <w:rPr>
          <w:rFonts w:ascii="Times New Roman" w:hAnsi="Times New Roman" w:cs="Times New Roman"/>
          <w:iCs/>
        </w:rPr>
        <w:t>год</w:t>
      </w:r>
      <w:r w:rsidR="00F42B98">
        <w:rPr>
          <w:rFonts w:ascii="Times New Roman" w:hAnsi="Times New Roman" w:cs="Times New Roman"/>
          <w:iCs/>
        </w:rPr>
        <w:t xml:space="preserve">а. – </w:t>
      </w:r>
      <w:r w:rsidRPr="00672D56">
        <w:rPr>
          <w:rFonts w:ascii="Times New Roman" w:hAnsi="Times New Roman" w:cs="Times New Roman"/>
          <w:iCs/>
          <w:lang w:val="en-US"/>
        </w:rPr>
        <w:t>www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nationalbank</w:t>
      </w:r>
      <w:r w:rsidRPr="00672D56">
        <w:rPr>
          <w:rFonts w:ascii="Times New Roman" w:hAnsi="Times New Roman" w:cs="Times New Roman"/>
          <w:iCs/>
        </w:rPr>
        <w:t>.</w:t>
      </w:r>
      <w:r w:rsidRPr="00672D56">
        <w:rPr>
          <w:rFonts w:ascii="Times New Roman" w:hAnsi="Times New Roman" w:cs="Times New Roman"/>
          <w:iCs/>
          <w:lang w:val="en-US"/>
        </w:rPr>
        <w:t>kz</w:t>
      </w:r>
    </w:p>
  </w:footnote>
  <w:footnote w:id="14">
    <w:p w:rsidR="00672D56" w:rsidRPr="00F42B98" w:rsidRDefault="00672D56" w:rsidP="00672D56">
      <w:pPr>
        <w:pStyle w:val="a3"/>
        <w:ind w:firstLine="709"/>
        <w:jc w:val="both"/>
        <w:rPr>
          <w:rFonts w:ascii="Times New Roman" w:hAnsi="Times New Roman" w:cs="Times New Roman"/>
          <w:iCs/>
          <w:lang w:val="en-US"/>
        </w:rPr>
      </w:pPr>
      <w:r w:rsidRPr="00672D56">
        <w:rPr>
          <w:rStyle w:val="a5"/>
          <w:rFonts w:ascii="Times New Roman" w:hAnsi="Times New Roman" w:cs="Times New Roman"/>
          <w:iCs/>
        </w:rPr>
        <w:footnoteRef/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Budgeting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Practices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Procedures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in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OECD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672D56">
        <w:rPr>
          <w:rFonts w:ascii="Times New Roman" w:hAnsi="Times New Roman" w:cs="Times New Roman"/>
          <w:iCs/>
          <w:lang w:val="en-US"/>
        </w:rPr>
        <w:t>Countries</w:t>
      </w:r>
      <w:r w:rsidR="00F42B98" w:rsidRPr="00F42B98">
        <w:rPr>
          <w:rFonts w:ascii="Times New Roman" w:hAnsi="Times New Roman" w:cs="Times New Roman"/>
          <w:iCs/>
          <w:lang w:val="en-US"/>
        </w:rPr>
        <w:t xml:space="preserve"> / </w:t>
      </w:r>
      <w:r w:rsidR="00F42B98" w:rsidRPr="00672D56">
        <w:rPr>
          <w:rFonts w:ascii="Times New Roman" w:hAnsi="Times New Roman" w:cs="Times New Roman"/>
          <w:iCs/>
          <w:lang w:val="en-US"/>
        </w:rPr>
        <w:t>OECD</w:t>
      </w:r>
      <w:r w:rsidR="00F42B98">
        <w:rPr>
          <w:rFonts w:ascii="Times New Roman" w:hAnsi="Times New Roman" w:cs="Times New Roman"/>
          <w:iCs/>
          <w:lang w:val="en-US"/>
        </w:rPr>
        <w:t xml:space="preserve">. – </w:t>
      </w:r>
      <w:r w:rsidR="00F42B98" w:rsidRPr="00672D56">
        <w:rPr>
          <w:rFonts w:ascii="Times New Roman" w:hAnsi="Times New Roman" w:cs="Times New Roman"/>
          <w:iCs/>
          <w:lang w:val="en-US"/>
        </w:rPr>
        <w:t>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1E2"/>
    <w:multiLevelType w:val="hybridMultilevel"/>
    <w:tmpl w:val="76CE2B5A"/>
    <w:lvl w:ilvl="0" w:tplc="B1629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2C1007"/>
    <w:multiLevelType w:val="hybridMultilevel"/>
    <w:tmpl w:val="BC14F826"/>
    <w:lvl w:ilvl="0" w:tplc="BFAA5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2E1D38"/>
    <w:multiLevelType w:val="hybridMultilevel"/>
    <w:tmpl w:val="32925F56"/>
    <w:lvl w:ilvl="0" w:tplc="C12660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EE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2D8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4A7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01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23B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61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241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C4E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78C"/>
    <w:rsid w:val="00002525"/>
    <w:rsid w:val="0000298D"/>
    <w:rsid w:val="00014AE9"/>
    <w:rsid w:val="000156D2"/>
    <w:rsid w:val="00020D04"/>
    <w:rsid w:val="0002462E"/>
    <w:rsid w:val="00025659"/>
    <w:rsid w:val="00033FE3"/>
    <w:rsid w:val="0004560C"/>
    <w:rsid w:val="000528CB"/>
    <w:rsid w:val="00052927"/>
    <w:rsid w:val="00054868"/>
    <w:rsid w:val="00060E5C"/>
    <w:rsid w:val="0006462B"/>
    <w:rsid w:val="00074FB9"/>
    <w:rsid w:val="000757C4"/>
    <w:rsid w:val="000859E1"/>
    <w:rsid w:val="000A19EF"/>
    <w:rsid w:val="000A2C12"/>
    <w:rsid w:val="000A5439"/>
    <w:rsid w:val="000A79D1"/>
    <w:rsid w:val="000B4657"/>
    <w:rsid w:val="000B7984"/>
    <w:rsid w:val="000D5501"/>
    <w:rsid w:val="000E1ADE"/>
    <w:rsid w:val="000E3970"/>
    <w:rsid w:val="000F7178"/>
    <w:rsid w:val="001015ED"/>
    <w:rsid w:val="00115F50"/>
    <w:rsid w:val="001300EB"/>
    <w:rsid w:val="00134724"/>
    <w:rsid w:val="00136E72"/>
    <w:rsid w:val="00145BC8"/>
    <w:rsid w:val="00145EBF"/>
    <w:rsid w:val="001709E8"/>
    <w:rsid w:val="00173195"/>
    <w:rsid w:val="00174F15"/>
    <w:rsid w:val="00181426"/>
    <w:rsid w:val="00182523"/>
    <w:rsid w:val="00196378"/>
    <w:rsid w:val="001B11B5"/>
    <w:rsid w:val="001B4E0B"/>
    <w:rsid w:val="001B4E19"/>
    <w:rsid w:val="001B6D30"/>
    <w:rsid w:val="001C1E93"/>
    <w:rsid w:val="001E43F8"/>
    <w:rsid w:val="001F4E1F"/>
    <w:rsid w:val="00205220"/>
    <w:rsid w:val="00221C6C"/>
    <w:rsid w:val="00237A2C"/>
    <w:rsid w:val="00242C25"/>
    <w:rsid w:val="002516E5"/>
    <w:rsid w:val="00262845"/>
    <w:rsid w:val="00271E0A"/>
    <w:rsid w:val="002737A9"/>
    <w:rsid w:val="002949EB"/>
    <w:rsid w:val="002A4324"/>
    <w:rsid w:val="002A5C1E"/>
    <w:rsid w:val="002B4CC7"/>
    <w:rsid w:val="002B4DCE"/>
    <w:rsid w:val="002C3E90"/>
    <w:rsid w:val="002C61AE"/>
    <w:rsid w:val="002D22E7"/>
    <w:rsid w:val="002D2526"/>
    <w:rsid w:val="002D37B7"/>
    <w:rsid w:val="002D71DF"/>
    <w:rsid w:val="002F1A38"/>
    <w:rsid w:val="003000B9"/>
    <w:rsid w:val="00304588"/>
    <w:rsid w:val="00305065"/>
    <w:rsid w:val="00305B54"/>
    <w:rsid w:val="003321C2"/>
    <w:rsid w:val="0033290B"/>
    <w:rsid w:val="00333903"/>
    <w:rsid w:val="0035593D"/>
    <w:rsid w:val="00356516"/>
    <w:rsid w:val="003734FE"/>
    <w:rsid w:val="003800CC"/>
    <w:rsid w:val="003874F0"/>
    <w:rsid w:val="003A2794"/>
    <w:rsid w:val="003A420B"/>
    <w:rsid w:val="003A5834"/>
    <w:rsid w:val="003B6D5A"/>
    <w:rsid w:val="003B760E"/>
    <w:rsid w:val="003C6219"/>
    <w:rsid w:val="003D33E5"/>
    <w:rsid w:val="003E469E"/>
    <w:rsid w:val="003F30E2"/>
    <w:rsid w:val="003F63BB"/>
    <w:rsid w:val="00400FDA"/>
    <w:rsid w:val="00404E8F"/>
    <w:rsid w:val="00405B00"/>
    <w:rsid w:val="00406C3D"/>
    <w:rsid w:val="00413E17"/>
    <w:rsid w:val="00423CA0"/>
    <w:rsid w:val="00442DCF"/>
    <w:rsid w:val="004451DC"/>
    <w:rsid w:val="00447B11"/>
    <w:rsid w:val="00461B2F"/>
    <w:rsid w:val="00464568"/>
    <w:rsid w:val="0048026A"/>
    <w:rsid w:val="004826FA"/>
    <w:rsid w:val="00484342"/>
    <w:rsid w:val="0048457E"/>
    <w:rsid w:val="00484DD0"/>
    <w:rsid w:val="00496A70"/>
    <w:rsid w:val="004B36BF"/>
    <w:rsid w:val="004B6F40"/>
    <w:rsid w:val="004E299F"/>
    <w:rsid w:val="004F21C7"/>
    <w:rsid w:val="00510C91"/>
    <w:rsid w:val="00532F08"/>
    <w:rsid w:val="00543D06"/>
    <w:rsid w:val="00544A11"/>
    <w:rsid w:val="005807CA"/>
    <w:rsid w:val="00580F21"/>
    <w:rsid w:val="0058706D"/>
    <w:rsid w:val="005B16DE"/>
    <w:rsid w:val="005B2365"/>
    <w:rsid w:val="005C2E39"/>
    <w:rsid w:val="005C7D38"/>
    <w:rsid w:val="005E42FD"/>
    <w:rsid w:val="005F40A8"/>
    <w:rsid w:val="005F7E9C"/>
    <w:rsid w:val="00607911"/>
    <w:rsid w:val="00613AD0"/>
    <w:rsid w:val="006252A5"/>
    <w:rsid w:val="0062553C"/>
    <w:rsid w:val="00625FA3"/>
    <w:rsid w:val="006338F0"/>
    <w:rsid w:val="00641772"/>
    <w:rsid w:val="00641E38"/>
    <w:rsid w:val="00662C92"/>
    <w:rsid w:val="00672D56"/>
    <w:rsid w:val="0067474F"/>
    <w:rsid w:val="006C32FA"/>
    <w:rsid w:val="006D4A80"/>
    <w:rsid w:val="006E0950"/>
    <w:rsid w:val="006E2F87"/>
    <w:rsid w:val="006E580C"/>
    <w:rsid w:val="006F2659"/>
    <w:rsid w:val="006F797E"/>
    <w:rsid w:val="00701F3E"/>
    <w:rsid w:val="007068EE"/>
    <w:rsid w:val="007078DD"/>
    <w:rsid w:val="00715D25"/>
    <w:rsid w:val="00721976"/>
    <w:rsid w:val="007254BA"/>
    <w:rsid w:val="00725C99"/>
    <w:rsid w:val="00742E8E"/>
    <w:rsid w:val="0074366E"/>
    <w:rsid w:val="00744765"/>
    <w:rsid w:val="00745ADC"/>
    <w:rsid w:val="00752541"/>
    <w:rsid w:val="00753D9C"/>
    <w:rsid w:val="00767160"/>
    <w:rsid w:val="00771557"/>
    <w:rsid w:val="00776055"/>
    <w:rsid w:val="00781665"/>
    <w:rsid w:val="007866AA"/>
    <w:rsid w:val="00797D9C"/>
    <w:rsid w:val="007B280B"/>
    <w:rsid w:val="007B3244"/>
    <w:rsid w:val="007C05F8"/>
    <w:rsid w:val="007C3530"/>
    <w:rsid w:val="007C76A7"/>
    <w:rsid w:val="007D7967"/>
    <w:rsid w:val="007E75A3"/>
    <w:rsid w:val="007F3B19"/>
    <w:rsid w:val="007F7572"/>
    <w:rsid w:val="007F75AE"/>
    <w:rsid w:val="008201D3"/>
    <w:rsid w:val="008264B3"/>
    <w:rsid w:val="00831B42"/>
    <w:rsid w:val="008329E5"/>
    <w:rsid w:val="00847C73"/>
    <w:rsid w:val="008503CA"/>
    <w:rsid w:val="0088653C"/>
    <w:rsid w:val="00893721"/>
    <w:rsid w:val="0089757B"/>
    <w:rsid w:val="008C4CD6"/>
    <w:rsid w:val="008D3E56"/>
    <w:rsid w:val="008E084A"/>
    <w:rsid w:val="008E319F"/>
    <w:rsid w:val="008F2666"/>
    <w:rsid w:val="00907DE3"/>
    <w:rsid w:val="00907F31"/>
    <w:rsid w:val="009247D1"/>
    <w:rsid w:val="00925748"/>
    <w:rsid w:val="00927179"/>
    <w:rsid w:val="00934A23"/>
    <w:rsid w:val="00955799"/>
    <w:rsid w:val="009560E8"/>
    <w:rsid w:val="00964572"/>
    <w:rsid w:val="00973390"/>
    <w:rsid w:val="00980C8A"/>
    <w:rsid w:val="0098392B"/>
    <w:rsid w:val="00983B71"/>
    <w:rsid w:val="009A4941"/>
    <w:rsid w:val="009B0540"/>
    <w:rsid w:val="009C0185"/>
    <w:rsid w:val="009D3E10"/>
    <w:rsid w:val="009D6CAD"/>
    <w:rsid w:val="009D77C0"/>
    <w:rsid w:val="009F64A0"/>
    <w:rsid w:val="00A0200D"/>
    <w:rsid w:val="00A0380B"/>
    <w:rsid w:val="00A14287"/>
    <w:rsid w:val="00A41532"/>
    <w:rsid w:val="00A4312C"/>
    <w:rsid w:val="00A60744"/>
    <w:rsid w:val="00A67583"/>
    <w:rsid w:val="00A80BD6"/>
    <w:rsid w:val="00A81B39"/>
    <w:rsid w:val="00A93858"/>
    <w:rsid w:val="00A940B6"/>
    <w:rsid w:val="00A96184"/>
    <w:rsid w:val="00AA65DC"/>
    <w:rsid w:val="00AB1246"/>
    <w:rsid w:val="00AB4EFD"/>
    <w:rsid w:val="00AB674D"/>
    <w:rsid w:val="00AC6A8A"/>
    <w:rsid w:val="00AD1D8B"/>
    <w:rsid w:val="00AD6926"/>
    <w:rsid w:val="00AF6697"/>
    <w:rsid w:val="00B03BBB"/>
    <w:rsid w:val="00B221ED"/>
    <w:rsid w:val="00B23539"/>
    <w:rsid w:val="00B24F2B"/>
    <w:rsid w:val="00B27DD8"/>
    <w:rsid w:val="00B311D7"/>
    <w:rsid w:val="00B32C41"/>
    <w:rsid w:val="00B33174"/>
    <w:rsid w:val="00B75FAD"/>
    <w:rsid w:val="00B77EDE"/>
    <w:rsid w:val="00B83D90"/>
    <w:rsid w:val="00B84CBD"/>
    <w:rsid w:val="00B9205C"/>
    <w:rsid w:val="00BB7AD9"/>
    <w:rsid w:val="00BD5B5C"/>
    <w:rsid w:val="00BE31E4"/>
    <w:rsid w:val="00BE55A3"/>
    <w:rsid w:val="00C0384D"/>
    <w:rsid w:val="00C23736"/>
    <w:rsid w:val="00C24621"/>
    <w:rsid w:val="00C250B1"/>
    <w:rsid w:val="00C31708"/>
    <w:rsid w:val="00C32426"/>
    <w:rsid w:val="00C33909"/>
    <w:rsid w:val="00C4691F"/>
    <w:rsid w:val="00C542F1"/>
    <w:rsid w:val="00C553BF"/>
    <w:rsid w:val="00C6269C"/>
    <w:rsid w:val="00C70D90"/>
    <w:rsid w:val="00C74630"/>
    <w:rsid w:val="00C85FAD"/>
    <w:rsid w:val="00C96186"/>
    <w:rsid w:val="00CA35A0"/>
    <w:rsid w:val="00CB2BAC"/>
    <w:rsid w:val="00CB648C"/>
    <w:rsid w:val="00CC578C"/>
    <w:rsid w:val="00CD1572"/>
    <w:rsid w:val="00CD5267"/>
    <w:rsid w:val="00D00164"/>
    <w:rsid w:val="00D0243D"/>
    <w:rsid w:val="00D11007"/>
    <w:rsid w:val="00D13B53"/>
    <w:rsid w:val="00D148B2"/>
    <w:rsid w:val="00D1522D"/>
    <w:rsid w:val="00D158C1"/>
    <w:rsid w:val="00D16C60"/>
    <w:rsid w:val="00D25CFA"/>
    <w:rsid w:val="00D3117C"/>
    <w:rsid w:val="00D33BF2"/>
    <w:rsid w:val="00D3531A"/>
    <w:rsid w:val="00D43464"/>
    <w:rsid w:val="00D53B65"/>
    <w:rsid w:val="00D71030"/>
    <w:rsid w:val="00D75C6E"/>
    <w:rsid w:val="00D802E9"/>
    <w:rsid w:val="00D84351"/>
    <w:rsid w:val="00DA6129"/>
    <w:rsid w:val="00DB4E51"/>
    <w:rsid w:val="00DC2C2C"/>
    <w:rsid w:val="00DC7EA5"/>
    <w:rsid w:val="00DD5E51"/>
    <w:rsid w:val="00DE79E8"/>
    <w:rsid w:val="00DE7D33"/>
    <w:rsid w:val="00DF1488"/>
    <w:rsid w:val="00DF3FA6"/>
    <w:rsid w:val="00E01D94"/>
    <w:rsid w:val="00E10B6D"/>
    <w:rsid w:val="00E17D74"/>
    <w:rsid w:val="00E37F34"/>
    <w:rsid w:val="00E534D9"/>
    <w:rsid w:val="00E61F07"/>
    <w:rsid w:val="00E77527"/>
    <w:rsid w:val="00E83B4A"/>
    <w:rsid w:val="00E95A78"/>
    <w:rsid w:val="00EA4DCD"/>
    <w:rsid w:val="00EA770F"/>
    <w:rsid w:val="00EA79E2"/>
    <w:rsid w:val="00EB0C5F"/>
    <w:rsid w:val="00EB7E2E"/>
    <w:rsid w:val="00EC7390"/>
    <w:rsid w:val="00ED1000"/>
    <w:rsid w:val="00ED50AE"/>
    <w:rsid w:val="00EE0E21"/>
    <w:rsid w:val="00EE2481"/>
    <w:rsid w:val="00EE3A3B"/>
    <w:rsid w:val="00EE5F6E"/>
    <w:rsid w:val="00EF6E82"/>
    <w:rsid w:val="00F14FFB"/>
    <w:rsid w:val="00F24484"/>
    <w:rsid w:val="00F31209"/>
    <w:rsid w:val="00F3778E"/>
    <w:rsid w:val="00F37E2C"/>
    <w:rsid w:val="00F42B98"/>
    <w:rsid w:val="00F52990"/>
    <w:rsid w:val="00F65881"/>
    <w:rsid w:val="00F752D8"/>
    <w:rsid w:val="00F77A11"/>
    <w:rsid w:val="00F973E2"/>
    <w:rsid w:val="00FA1A8A"/>
    <w:rsid w:val="00FA2D02"/>
    <w:rsid w:val="00FA32EB"/>
    <w:rsid w:val="00FA3CB3"/>
    <w:rsid w:val="00FB00EC"/>
    <w:rsid w:val="00FB4BB6"/>
    <w:rsid w:val="00FC035E"/>
    <w:rsid w:val="00FC37B1"/>
    <w:rsid w:val="00FE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D"/>
  </w:style>
  <w:style w:type="paragraph" w:styleId="1">
    <w:name w:val="heading 1"/>
    <w:basedOn w:val="a"/>
    <w:link w:val="10"/>
    <w:uiPriority w:val="9"/>
    <w:qFormat/>
    <w:rsid w:val="000B4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9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9E2"/>
    <w:rPr>
      <w:sz w:val="20"/>
      <w:szCs w:val="20"/>
    </w:rPr>
  </w:style>
  <w:style w:type="character" w:styleId="a5">
    <w:name w:val="footnote reference"/>
    <w:aliases w:val="ftref,Error-Fußnotenzeichen5,Error-Fußnotenzeichen6,Error-Fußnotenzeichen3,Footnote Reference1,BVI fnr,Footnote Reference Number,Footnote Reference_LVL6,Footnote Reference_LVL61,Footnote Reference_LVL62,Footnote Reference_LVL63,fr,o, BVI fnr"/>
    <w:basedOn w:val="a0"/>
    <w:link w:val="CharChar1CharCharCharChar1CharCharCharCharCharCharCharChar"/>
    <w:uiPriority w:val="99"/>
    <w:unhideWhenUsed/>
    <w:qFormat/>
    <w:rsid w:val="00EA79E2"/>
    <w:rPr>
      <w:vertAlign w:val="superscript"/>
    </w:rPr>
  </w:style>
  <w:style w:type="character" w:styleId="a6">
    <w:name w:val="Hyperlink"/>
    <w:basedOn w:val="a0"/>
    <w:uiPriority w:val="99"/>
    <w:unhideWhenUsed/>
    <w:rsid w:val="007C35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3530"/>
    <w:rPr>
      <w:color w:val="605E5C"/>
      <w:shd w:val="clear" w:color="auto" w:fill="E1DFDD"/>
    </w:rPr>
  </w:style>
  <w:style w:type="table" w:customStyle="1" w:styleId="ListTable3Accent1">
    <w:name w:val="List Table 3 Accent 1"/>
    <w:basedOn w:val="a1"/>
    <w:uiPriority w:val="48"/>
    <w:rsid w:val="009D6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a7">
    <w:name w:val="Table Grid"/>
    <w:basedOn w:val="a1"/>
    <w:uiPriority w:val="39"/>
    <w:rsid w:val="009D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D6CAD"/>
    <w:rPr>
      <w:b/>
      <w:bCs/>
    </w:rPr>
  </w:style>
  <w:style w:type="paragraph" w:styleId="a9">
    <w:name w:val="Normal (Web)"/>
    <w:basedOn w:val="a"/>
    <w:uiPriority w:val="99"/>
    <w:unhideWhenUsed/>
    <w:rsid w:val="009D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D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6CAD"/>
  </w:style>
  <w:style w:type="paragraph" w:styleId="ac">
    <w:name w:val="footer"/>
    <w:basedOn w:val="a"/>
    <w:link w:val="ad"/>
    <w:uiPriority w:val="99"/>
    <w:unhideWhenUsed/>
    <w:rsid w:val="009D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6CAD"/>
  </w:style>
  <w:style w:type="paragraph" w:styleId="ae">
    <w:name w:val="List Paragraph"/>
    <w:aliases w:val="strich,2nd Tier Header,List Paragraph,маркированный,References,NUMBERED PARAGRAPH,List Paragraph 1,Bullets,List_Paragraph,Multilevel para_II,List Paragraph1,Akapit z listą BS,List Paragraph (numbered (a)),IBL List Paragraph,Bullet1,Heading1"/>
    <w:basedOn w:val="a"/>
    <w:link w:val="af"/>
    <w:uiPriority w:val="34"/>
    <w:qFormat/>
    <w:rsid w:val="009D6CAD"/>
    <w:pPr>
      <w:ind w:left="720"/>
      <w:contextualSpacing/>
    </w:pPr>
  </w:style>
  <w:style w:type="character" w:customStyle="1" w:styleId="af">
    <w:name w:val="Абзац списка Знак"/>
    <w:aliases w:val="strich Знак,2nd Tier Header Знак,List Paragraph Знак,маркированный Знак,References Знак,NUMBERED PARAGRAPH Знак,List Paragraph 1 Знак,Bullets Знак,List_Paragraph Знак,Multilevel para_II Знак,List Paragraph1 Знак,Akapit z listą BS Знак"/>
    <w:link w:val="ae"/>
    <w:uiPriority w:val="34"/>
    <w:qFormat/>
    <w:locked/>
    <w:rsid w:val="007068EE"/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5"/>
    <w:uiPriority w:val="99"/>
    <w:qFormat/>
    <w:rsid w:val="000B7984"/>
    <w:pPr>
      <w:spacing w:line="240" w:lineRule="exact"/>
    </w:pPr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B4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ra.udt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AA5B-FBED-44B0-90EC-FD1CCA01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Умарова</dc:creator>
  <cp:lastModifiedBy>Владимир</cp:lastModifiedBy>
  <cp:revision>4</cp:revision>
  <cp:lastPrinted>2025-10-11T04:46:00Z</cp:lastPrinted>
  <dcterms:created xsi:type="dcterms:W3CDTF">2025-10-11T06:28:00Z</dcterms:created>
  <dcterms:modified xsi:type="dcterms:W3CDTF">2025-10-25T15:53:00Z</dcterms:modified>
</cp:coreProperties>
</file>