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1" w:rsidRPr="008D7951" w:rsidRDefault="008D7951" w:rsidP="008D7951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D7951">
        <w:rPr>
          <w:rFonts w:ascii="Times New Roman" w:hAnsi="Times New Roman" w:cs="Times New Roman"/>
          <w:b/>
          <w:i/>
          <w:sz w:val="24"/>
          <w:szCs w:val="24"/>
        </w:rPr>
        <w:t xml:space="preserve">Ткаченко </w:t>
      </w:r>
      <w:r w:rsidR="00552DE6" w:rsidRPr="008D7951">
        <w:rPr>
          <w:rFonts w:ascii="Times New Roman" w:hAnsi="Times New Roman" w:cs="Times New Roman"/>
          <w:b/>
          <w:i/>
          <w:sz w:val="24"/>
          <w:szCs w:val="24"/>
        </w:rPr>
        <w:t>А.А.</w:t>
      </w:r>
      <w:r w:rsidRPr="008D79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52DE6" w:rsidRDefault="008D7951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д.э.н.,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профессор,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исследований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международных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отношений,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Финансовый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университет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Правительстве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РФ</w:t>
      </w:r>
    </w:p>
    <w:p w:rsidR="008D7951" w:rsidRPr="008D7951" w:rsidRDefault="008D7951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7179A" w:rsidRDefault="008D7951" w:rsidP="008D79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951">
        <w:rPr>
          <w:rFonts w:ascii="Times New Roman" w:hAnsi="Times New Roman" w:cs="Times New Roman"/>
          <w:b/>
          <w:bCs/>
          <w:sz w:val="24"/>
          <w:szCs w:val="24"/>
        </w:rPr>
        <w:t>СООТВЕТСТВИЕ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ЭКОЛОГИЧЕСКОЙ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ПОЛИТИКИ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СТРАН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БРИКС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ЦЕЛЯМ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УСТОЙЧИВОГО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РАЗВИТИЯ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sz w:val="24"/>
          <w:szCs w:val="24"/>
        </w:rPr>
        <w:t>ООН</w:t>
      </w:r>
    </w:p>
    <w:p w:rsidR="008D7951" w:rsidRPr="008D7951" w:rsidRDefault="008D7951" w:rsidP="008D79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2DE6" w:rsidRPr="008D7951" w:rsidRDefault="00552DE6" w:rsidP="008D795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D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Ключевые</w:t>
      </w:r>
      <w:r w:rsidR="008D7951" w:rsidRPr="008D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</w:t>
      </w:r>
      <w:r w:rsidRPr="008D7951">
        <w:rPr>
          <w:rFonts w:ascii="Times New Roman" w:hAnsi="Times New Roman" w:cs="Times New Roman"/>
          <w:i/>
          <w:sz w:val="24"/>
          <w:szCs w:val="24"/>
        </w:rPr>
        <w:t>: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расширенный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БРИКС,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перенаселенность,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парниковые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газы,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внешняя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торговля,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природное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равновесие,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чистая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</w:rPr>
        <w:t>энергия,</w:t>
      </w:r>
      <w:r w:rsidR="008D7951" w:rsidRPr="008D795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Hlk214990740"/>
      <w:r w:rsidRPr="008D7951">
        <w:rPr>
          <w:rFonts w:ascii="Times New Roman" w:hAnsi="Times New Roman" w:cs="Times New Roman"/>
          <w:i/>
          <w:sz w:val="24"/>
          <w:szCs w:val="24"/>
        </w:rPr>
        <w:t>COP30</w:t>
      </w:r>
      <w:bookmarkEnd w:id="0"/>
      <w:r w:rsidR="008D7951" w:rsidRPr="008D7951">
        <w:rPr>
          <w:rFonts w:ascii="Times New Roman" w:hAnsi="Times New Roman" w:cs="Times New Roman"/>
          <w:i/>
          <w:sz w:val="24"/>
          <w:szCs w:val="24"/>
        </w:rPr>
        <w:t>.</w:t>
      </w:r>
    </w:p>
    <w:p w:rsidR="00552DE6" w:rsidRPr="008D7951" w:rsidRDefault="00552DE6" w:rsidP="008D7951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795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expanded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BRICS,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overpopulation,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greenhouse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gases,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foreign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trade,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natural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balance,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pure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energy,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sz w:val="24"/>
          <w:szCs w:val="24"/>
          <w:lang w:val="en-US"/>
        </w:rPr>
        <w:t>COP30</w:t>
      </w:r>
      <w:r w:rsidR="008D7951" w:rsidRPr="008D795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897BCB" w:rsidRPr="008D7951" w:rsidRDefault="00897BCB" w:rsidP="008D7951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063C4" w:rsidRPr="008D7951" w:rsidRDefault="008C23F8" w:rsidP="008D7951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7951">
        <w:rPr>
          <w:rFonts w:ascii="Times New Roman" w:hAnsi="Times New Roman" w:cs="Times New Roman"/>
          <w:bCs/>
          <w:sz w:val="24"/>
          <w:szCs w:val="24"/>
        </w:rPr>
        <w:t>«Земля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была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прекрасна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ещё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до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того,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23F8" w:rsidRPr="008D7951" w:rsidRDefault="008C23F8" w:rsidP="008D7951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7951">
        <w:rPr>
          <w:rFonts w:ascii="Times New Roman" w:hAnsi="Times New Roman" w:cs="Times New Roman"/>
          <w:bCs/>
          <w:sz w:val="24"/>
          <w:szCs w:val="24"/>
        </w:rPr>
        <w:t>как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на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ней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появился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человек».</w:t>
      </w:r>
      <w:r w:rsidR="006063C4" w:rsidRPr="008D7951">
        <w:rPr>
          <w:rStyle w:val="a6"/>
          <w:rFonts w:ascii="Times New Roman" w:hAnsi="Times New Roman" w:cs="Times New Roman"/>
          <w:bCs/>
          <w:sz w:val="24"/>
          <w:szCs w:val="24"/>
        </w:rPr>
        <w:footnoteReference w:id="1"/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63C4" w:rsidRPr="008D7951" w:rsidRDefault="006063C4" w:rsidP="008D7951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7951">
        <w:rPr>
          <w:rFonts w:ascii="Times New Roman" w:hAnsi="Times New Roman" w:cs="Times New Roman"/>
          <w:bCs/>
          <w:sz w:val="24"/>
          <w:szCs w:val="24"/>
        </w:rPr>
        <w:t>У.</w:t>
      </w:r>
      <w:r w:rsidR="008D7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bCs/>
          <w:sz w:val="24"/>
          <w:szCs w:val="24"/>
        </w:rPr>
        <w:t>Моррис</w:t>
      </w:r>
    </w:p>
    <w:p w:rsidR="005412EF" w:rsidRPr="008D7951" w:rsidRDefault="005412EF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2024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год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стал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группы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развивающихся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рынков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годом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знаменательного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расширения,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когда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состав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участников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увеличился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вдвое.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объединению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присоединились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меньшими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различиями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уровне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развития,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отличали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состав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БРИКС-5</w:t>
      </w:r>
      <w:r w:rsidR="006B24E6" w:rsidRPr="008D7951">
        <w:rPr>
          <w:rFonts w:ascii="Times New Roman" w:hAnsi="Times New Roman" w:cs="Times New Roman"/>
          <w:sz w:val="24"/>
          <w:szCs w:val="24"/>
        </w:rPr>
        <w:t>.</w:t>
      </w:r>
      <w:r w:rsidR="006B24E6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Так,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новых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единственный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представитель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группы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высоким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уровне</w:t>
      </w:r>
      <w:r w:rsidR="00525D35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дохода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(ВНД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душу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градации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Всемирного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банка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caps/>
          <w:sz w:val="24"/>
          <w:szCs w:val="24"/>
        </w:rPr>
        <w:t>(вБ</w:t>
      </w:r>
      <w:r w:rsidR="00220383" w:rsidRPr="008D7951">
        <w:rPr>
          <w:rFonts w:ascii="Times New Roman" w:hAnsi="Times New Roman" w:cs="Times New Roman"/>
          <w:sz w:val="24"/>
          <w:szCs w:val="24"/>
        </w:rPr>
        <w:t>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Объединенные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Арабские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эмираты</w:t>
      </w:r>
      <w:r w:rsidR="00220383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население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которых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составляет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около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10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млн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чел.,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подавляющее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большинство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которых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мигранты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граждане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страны,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Эфиопи</w:t>
      </w:r>
      <w:r w:rsidR="00D351D1" w:rsidRPr="008D7951">
        <w:rPr>
          <w:rFonts w:ascii="Times New Roman" w:hAnsi="Times New Roman" w:cs="Times New Roman"/>
          <w:sz w:val="24"/>
          <w:szCs w:val="24"/>
        </w:rPr>
        <w:t>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51D1" w:rsidRPr="008D7951">
        <w:rPr>
          <w:rFonts w:ascii="Times New Roman" w:hAnsi="Times New Roman" w:cs="Times New Roman"/>
          <w:sz w:val="24"/>
          <w:szCs w:val="24"/>
        </w:rPr>
        <w:t>страна,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51D1" w:rsidRPr="008D7951">
        <w:rPr>
          <w:rFonts w:ascii="Times New Roman" w:hAnsi="Times New Roman" w:cs="Times New Roman"/>
          <w:sz w:val="24"/>
          <w:szCs w:val="24"/>
        </w:rPr>
        <w:t>занимающая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доходам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24E6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24E6" w:rsidRPr="008D7951">
        <w:rPr>
          <w:rFonts w:ascii="Times New Roman" w:hAnsi="Times New Roman" w:cs="Times New Roman"/>
          <w:sz w:val="24"/>
          <w:szCs w:val="24"/>
        </w:rPr>
        <w:t>душу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24E6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6B24E6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24E6" w:rsidRPr="008D7951">
        <w:rPr>
          <w:rFonts w:ascii="Times New Roman" w:hAnsi="Times New Roman" w:cs="Times New Roman"/>
          <w:sz w:val="24"/>
          <w:szCs w:val="24"/>
        </w:rPr>
        <w:t>183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место</w:t>
      </w:r>
      <w:r w:rsidR="00D351D1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</w:t>
      </w:r>
      <w:r w:rsidR="005E5FBF" w:rsidRPr="008D7951">
        <w:rPr>
          <w:rFonts w:ascii="Times New Roman" w:hAnsi="Times New Roman" w:cs="Times New Roman"/>
          <w:sz w:val="24"/>
          <w:szCs w:val="24"/>
        </w:rPr>
        <w:t>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также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отметить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Индонезию,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е</w:t>
      </w:r>
      <w:r w:rsidR="005E5FBF" w:rsidRPr="008D7951">
        <w:rPr>
          <w:rFonts w:ascii="Times New Roman" w:hAnsi="Times New Roman" w:cs="Times New Roman"/>
          <w:sz w:val="24"/>
          <w:szCs w:val="24"/>
        </w:rPr>
        <w:t>ще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одну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крупнейшую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населению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страну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мира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составе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БРИКС</w:t>
      </w:r>
      <w:r w:rsidR="00BD55FA" w:rsidRPr="008D7951">
        <w:rPr>
          <w:rFonts w:ascii="Times New Roman" w:hAnsi="Times New Roman" w:cs="Times New Roman"/>
          <w:sz w:val="24"/>
          <w:szCs w:val="24"/>
        </w:rPr>
        <w:t>+</w:t>
      </w:r>
      <w:r w:rsidR="005E5FBF" w:rsidRPr="008D7951">
        <w:rPr>
          <w:rFonts w:ascii="Times New Roman" w:hAnsi="Times New Roman" w:cs="Times New Roman"/>
          <w:sz w:val="24"/>
          <w:szCs w:val="24"/>
        </w:rPr>
        <w:t>,</w:t>
      </w:r>
      <w:r w:rsidR="003E1CE7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4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которая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вступила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период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демографического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бонуса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самого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благоприятного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периода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экономического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роста,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когда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две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трети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находятся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трудоспособном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возрасте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(15-64).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произошло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благодаря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снижению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уровня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рождаемости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</w:t>
      </w:r>
      <w:r w:rsidR="00C157F2" w:rsidRPr="008D7951">
        <w:rPr>
          <w:rFonts w:ascii="Times New Roman" w:hAnsi="Times New Roman" w:cs="Times New Roman"/>
          <w:sz w:val="24"/>
          <w:szCs w:val="24"/>
        </w:rPr>
        <w:t>е</w:t>
      </w:r>
      <w:r w:rsidR="005E5FBF" w:rsidRPr="008D7951">
        <w:rPr>
          <w:rFonts w:ascii="Times New Roman" w:hAnsi="Times New Roman" w:cs="Times New Roman"/>
          <w:sz w:val="24"/>
          <w:szCs w:val="24"/>
        </w:rPr>
        <w:t>редины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2010-х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гг.: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суммарный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коэффициент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рождаемости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снизился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2,5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2014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все</w:t>
      </w:r>
      <w:r w:rsidR="00BD55FA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предшествующе</w:t>
      </w:r>
      <w:r w:rsidR="00BD55FA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десятилети</w:t>
      </w:r>
      <w:r w:rsidR="00BD55FA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1,6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2024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5FBF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Такого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снижения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хотел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0383" w:rsidRPr="008D7951">
        <w:rPr>
          <w:rFonts w:ascii="Times New Roman" w:hAnsi="Times New Roman" w:cs="Times New Roman"/>
          <w:sz w:val="24"/>
          <w:szCs w:val="24"/>
        </w:rPr>
        <w:t>Егип</w:t>
      </w:r>
      <w:r w:rsidR="00C9509C" w:rsidRPr="008D7951">
        <w:rPr>
          <w:rFonts w:ascii="Times New Roman" w:hAnsi="Times New Roman" w:cs="Times New Roman"/>
          <w:sz w:val="24"/>
          <w:szCs w:val="24"/>
        </w:rPr>
        <w:t>е</w:t>
      </w:r>
      <w:r w:rsidR="00220383" w:rsidRPr="008D7951">
        <w:rPr>
          <w:rFonts w:ascii="Times New Roman" w:hAnsi="Times New Roman" w:cs="Times New Roman"/>
          <w:sz w:val="24"/>
          <w:szCs w:val="24"/>
        </w:rPr>
        <w:t>т,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ещё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одно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присоединившееся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государство,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руководитель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которого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2021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впервые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истории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55FA" w:rsidRPr="008D7951">
        <w:rPr>
          <w:rFonts w:ascii="Times New Roman" w:hAnsi="Times New Roman" w:cs="Times New Roman"/>
          <w:sz w:val="24"/>
          <w:szCs w:val="24"/>
        </w:rPr>
        <w:t>открыто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заявил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проблеме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14986867"/>
      <w:r w:rsidR="00C9509C" w:rsidRPr="008D7951">
        <w:rPr>
          <w:rFonts w:ascii="Times New Roman" w:hAnsi="Times New Roman" w:cs="Times New Roman"/>
          <w:sz w:val="24"/>
          <w:szCs w:val="24"/>
        </w:rPr>
        <w:t>перенаселенност</w:t>
      </w:r>
      <w:bookmarkEnd w:id="2"/>
      <w:r w:rsidR="00C9509C" w:rsidRPr="008D7951">
        <w:rPr>
          <w:rFonts w:ascii="Times New Roman" w:hAnsi="Times New Roman" w:cs="Times New Roman"/>
          <w:sz w:val="24"/>
          <w:szCs w:val="24"/>
        </w:rPr>
        <w:t>и: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«необходимо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донести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[до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каждого],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быстрый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рост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опасен».</w:t>
      </w:r>
      <w:r w:rsidR="00D34CDB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5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Перенаселённость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14352050"/>
      <w:r w:rsidR="00C9509C" w:rsidRPr="008D7951">
        <w:rPr>
          <w:rFonts w:ascii="Times New Roman" w:hAnsi="Times New Roman" w:cs="Times New Roman"/>
          <w:sz w:val="24"/>
          <w:szCs w:val="24"/>
        </w:rPr>
        <w:t>демографическая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ёмкость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территории</w:t>
      </w:r>
      <w:bookmarkEnd w:id="3"/>
      <w:r w:rsidR="00C9509C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6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влияют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обеспеченность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повседневными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потребностями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157F2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C9509C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состояние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окружающей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природной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9509C" w:rsidRPr="008D7951">
        <w:rPr>
          <w:rFonts w:ascii="Times New Roman" w:hAnsi="Times New Roman" w:cs="Times New Roman"/>
          <w:sz w:val="24"/>
          <w:szCs w:val="24"/>
        </w:rPr>
        <w:t>среды.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Поскольку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большинство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БРИКС</w:t>
      </w:r>
      <w:r w:rsidR="004C6844" w:rsidRPr="008D7951">
        <w:rPr>
          <w:rFonts w:ascii="Times New Roman" w:hAnsi="Times New Roman" w:cs="Times New Roman"/>
          <w:sz w:val="24"/>
          <w:szCs w:val="24"/>
        </w:rPr>
        <w:t>+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густонаселённые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государства</w:t>
      </w:r>
      <w:r w:rsidR="00D34CD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совокупная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численность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составляет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оценке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625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млн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чел.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2023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г.</w:t>
      </w:r>
      <w:r w:rsidR="004C6844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7"/>
      </w:r>
      <w:r w:rsidR="00795B53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учетом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Индонезии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– </w:t>
      </w:r>
      <w:r w:rsidR="00795B53" w:rsidRPr="008D7951">
        <w:rPr>
          <w:rFonts w:ascii="Times New Roman" w:hAnsi="Times New Roman" w:cs="Times New Roman"/>
          <w:sz w:val="24"/>
          <w:szCs w:val="24"/>
        </w:rPr>
        <w:t>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914,8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95B53" w:rsidRPr="008D7951">
        <w:rPr>
          <w:rFonts w:ascii="Times New Roman" w:hAnsi="Times New Roman" w:cs="Times New Roman"/>
          <w:sz w:val="24"/>
          <w:szCs w:val="24"/>
        </w:rPr>
        <w:t>млн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E1CE7" w:rsidRPr="008D7951">
        <w:rPr>
          <w:rFonts w:ascii="Times New Roman" w:hAnsi="Times New Roman" w:cs="Times New Roman"/>
          <w:sz w:val="24"/>
          <w:szCs w:val="24"/>
        </w:rPr>
        <w:t>4</w:t>
      </w:r>
      <w:r w:rsidR="00795B53" w:rsidRPr="008D7951">
        <w:rPr>
          <w:rFonts w:ascii="Times New Roman" w:hAnsi="Times New Roman" w:cs="Times New Roman"/>
          <w:sz w:val="24"/>
          <w:szCs w:val="24"/>
        </w:rPr>
        <w:t>8</w:t>
      </w:r>
      <w:r w:rsidR="00D34CDB" w:rsidRPr="008D7951">
        <w:rPr>
          <w:rFonts w:ascii="Times New Roman" w:hAnsi="Times New Roman" w:cs="Times New Roman"/>
          <w:sz w:val="24"/>
          <w:szCs w:val="24"/>
        </w:rPr>
        <w:t>%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мира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C6844" w:rsidRPr="008D7951">
        <w:rPr>
          <w:rFonts w:ascii="Times New Roman" w:hAnsi="Times New Roman" w:cs="Times New Roman"/>
          <w:sz w:val="24"/>
          <w:szCs w:val="24"/>
        </w:rPr>
        <w:t>(202</w:t>
      </w:r>
      <w:r w:rsidR="00795B53" w:rsidRPr="008D7951">
        <w:rPr>
          <w:rFonts w:ascii="Times New Roman" w:hAnsi="Times New Roman" w:cs="Times New Roman"/>
          <w:sz w:val="24"/>
          <w:szCs w:val="24"/>
        </w:rPr>
        <w:t>4</w:t>
      </w:r>
      <w:r w:rsidR="004C6844" w:rsidRPr="008D7951">
        <w:rPr>
          <w:rFonts w:ascii="Times New Roman" w:hAnsi="Times New Roman" w:cs="Times New Roman"/>
          <w:sz w:val="24"/>
          <w:szCs w:val="24"/>
        </w:rPr>
        <w:t>)</w:t>
      </w:r>
      <w:r w:rsidR="00D34CD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чем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актуально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рассмотреть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отношение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экологическим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цел</w:t>
      </w:r>
      <w:r w:rsidR="00D3367A" w:rsidRPr="008D7951">
        <w:rPr>
          <w:rFonts w:ascii="Times New Roman" w:hAnsi="Times New Roman" w:cs="Times New Roman"/>
          <w:sz w:val="24"/>
          <w:szCs w:val="24"/>
        </w:rPr>
        <w:t>я</w:t>
      </w:r>
      <w:r w:rsidR="00D34CDB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мирового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сообщества,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обязательства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отношению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ЦУР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4CD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367A" w:rsidRPr="008D7951">
        <w:rPr>
          <w:rFonts w:ascii="Times New Roman" w:hAnsi="Times New Roman" w:cs="Times New Roman"/>
          <w:sz w:val="24"/>
          <w:szCs w:val="24"/>
        </w:rPr>
        <w:t>области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расширения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доступа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чистой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питьевой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воде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санитарии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(цель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6)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борьбе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изменением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последствиями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(цель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13).</w:t>
      </w:r>
    </w:p>
    <w:p w:rsidR="00B044D5" w:rsidRPr="008D7951" w:rsidRDefault="00D3367A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Основная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проблема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современного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мира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состоит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D6417" w:rsidRPr="008D7951">
        <w:rPr>
          <w:rFonts w:ascii="Times New Roman" w:hAnsi="Times New Roman" w:cs="Times New Roman"/>
          <w:sz w:val="24"/>
          <w:szCs w:val="24"/>
        </w:rPr>
        <w:t>росте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нагрузки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планету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из-за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214987686"/>
      <w:r w:rsidR="00452BB2" w:rsidRPr="008D7951">
        <w:rPr>
          <w:rFonts w:ascii="Times New Roman" w:hAnsi="Times New Roman" w:cs="Times New Roman"/>
          <w:sz w:val="24"/>
          <w:szCs w:val="24"/>
        </w:rPr>
        <w:t>парниковых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газ</w:t>
      </w:r>
      <w:bookmarkEnd w:id="6"/>
      <w:r w:rsidR="00452BB2" w:rsidRPr="008D7951">
        <w:rPr>
          <w:rFonts w:ascii="Times New Roman" w:hAnsi="Times New Roman" w:cs="Times New Roman"/>
          <w:sz w:val="24"/>
          <w:szCs w:val="24"/>
        </w:rPr>
        <w:t>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основные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эмитенты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452BB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негативно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влияет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территории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весь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52BB2" w:rsidRPr="008D7951">
        <w:rPr>
          <w:rFonts w:ascii="Times New Roman" w:hAnsi="Times New Roman" w:cs="Times New Roman"/>
          <w:sz w:val="24"/>
          <w:szCs w:val="24"/>
        </w:rPr>
        <w:t>мир.</w:t>
      </w:r>
      <w:r w:rsidR="00423188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8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необходимо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рассматривать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отдельно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внутреннему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потреблению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13492480"/>
      <w:r w:rsidR="002C536C" w:rsidRPr="008D7951">
        <w:rPr>
          <w:rFonts w:ascii="Times New Roman" w:hAnsi="Times New Roman" w:cs="Times New Roman"/>
          <w:sz w:val="24"/>
          <w:szCs w:val="24"/>
        </w:rPr>
        <w:t>углеводородного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сырья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r w:rsidR="002C536C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внешнему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(</w:t>
      </w:r>
      <w:r w:rsidR="002C536C" w:rsidRPr="008D7951">
        <w:rPr>
          <w:rFonts w:ascii="Times New Roman" w:hAnsi="Times New Roman" w:cs="Times New Roman"/>
          <w:sz w:val="24"/>
          <w:szCs w:val="24"/>
        </w:rPr>
        <w:t>внешней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торговл</w:t>
      </w:r>
      <w:r w:rsidR="006866AB" w:rsidRPr="008D7951">
        <w:rPr>
          <w:rFonts w:ascii="Times New Roman" w:hAnsi="Times New Roman" w:cs="Times New Roman"/>
          <w:sz w:val="24"/>
          <w:szCs w:val="24"/>
        </w:rPr>
        <w:t>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таким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сырьём</w:t>
      </w:r>
      <w:r w:rsidR="008D7951">
        <w:rPr>
          <w:rFonts w:ascii="Times New Roman" w:hAnsi="Times New Roman" w:cs="Times New Roman"/>
          <w:sz w:val="24"/>
          <w:szCs w:val="24"/>
        </w:rPr>
        <w:t>)</w:t>
      </w:r>
      <w:r w:rsidR="006866A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чтобы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видеть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существующие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различия,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подчас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носят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противоположный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характер,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формируя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разные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тенденции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будущих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траекторий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6866AB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странах</w:t>
      </w:r>
      <w:r w:rsidR="002C536C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первой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позиции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относительно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лучшем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положении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находится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Бразилия,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поскольку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сжигаемых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ресурсах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(энергогенерации)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доминирующее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положение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занимают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нефтепродукты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(65%),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использу</w:t>
      </w:r>
      <w:r w:rsidR="002C536C" w:rsidRPr="008D7951">
        <w:rPr>
          <w:rFonts w:ascii="Times New Roman" w:hAnsi="Times New Roman" w:cs="Times New Roman"/>
          <w:sz w:val="24"/>
          <w:szCs w:val="24"/>
        </w:rPr>
        <w:t>емые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основном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транспортом.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Последняя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позиция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занята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сразу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тремя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странами</w:t>
      </w:r>
      <w:r w:rsidR="002C536C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которых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основное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место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внутреннем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потреблении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занимает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уголь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, занимающий </w:t>
      </w:r>
      <w:r w:rsidR="00B044D5" w:rsidRPr="008D7951">
        <w:rPr>
          <w:rFonts w:ascii="Times New Roman" w:hAnsi="Times New Roman" w:cs="Times New Roman"/>
          <w:sz w:val="24"/>
          <w:szCs w:val="24"/>
        </w:rPr>
        <w:t>абсолютно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доминирующее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536C" w:rsidRPr="008D7951">
        <w:rPr>
          <w:rFonts w:ascii="Times New Roman" w:hAnsi="Times New Roman" w:cs="Times New Roman"/>
          <w:sz w:val="24"/>
          <w:szCs w:val="24"/>
        </w:rPr>
        <w:t>место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(энергетике</w:t>
      </w:r>
      <w:r w:rsidR="00B044D5" w:rsidRPr="008D7951">
        <w:rPr>
          <w:rFonts w:ascii="Times New Roman" w:hAnsi="Times New Roman" w:cs="Times New Roman"/>
          <w:sz w:val="24"/>
          <w:szCs w:val="24"/>
        </w:rPr>
        <w:t>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они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движутся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отношении,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надо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подчеркнуть</w:t>
      </w:r>
      <w:r w:rsidR="00F35946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разных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направлениях</w:t>
      </w:r>
      <w:r w:rsidR="00F35946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Так,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«первенствующая»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страна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Индия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имеет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максимальный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показатель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доле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угля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84%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даже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продолжает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наращивать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эту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д</w:t>
      </w:r>
      <w:r w:rsidR="00F35946" w:rsidRPr="008D7951">
        <w:rPr>
          <w:rFonts w:ascii="Times New Roman" w:hAnsi="Times New Roman" w:cs="Times New Roman"/>
          <w:sz w:val="24"/>
          <w:szCs w:val="24"/>
        </w:rPr>
        <w:t>олю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вопреки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рекомендациям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обязательствам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ЦУР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ООН.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ЮАР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до</w:t>
      </w:r>
      <w:r w:rsidR="00B044D5" w:rsidRPr="008D7951">
        <w:rPr>
          <w:rFonts w:ascii="Times New Roman" w:hAnsi="Times New Roman" w:cs="Times New Roman"/>
          <w:sz w:val="24"/>
          <w:szCs w:val="24"/>
        </w:rPr>
        <w:t>л</w:t>
      </w:r>
      <w:r w:rsidR="00F35946" w:rsidRPr="008D7951">
        <w:rPr>
          <w:rFonts w:ascii="Times New Roman" w:hAnsi="Times New Roman" w:cs="Times New Roman"/>
          <w:sz w:val="24"/>
          <w:szCs w:val="24"/>
        </w:rPr>
        <w:t>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угля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также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чем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чрезмерна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82%,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Индии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она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растет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и</w:t>
      </w:r>
      <w:r w:rsidR="007277D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условно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866AB" w:rsidRPr="008D7951">
        <w:rPr>
          <w:rFonts w:ascii="Times New Roman" w:hAnsi="Times New Roman" w:cs="Times New Roman"/>
          <w:sz w:val="24"/>
          <w:szCs w:val="24"/>
        </w:rPr>
        <w:t>говоря</w:t>
      </w:r>
      <w:r w:rsidR="007277D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35946" w:rsidRPr="008D7951">
        <w:rPr>
          <w:rFonts w:ascii="Times New Roman" w:hAnsi="Times New Roman" w:cs="Times New Roman"/>
          <w:sz w:val="24"/>
          <w:szCs w:val="24"/>
        </w:rPr>
        <w:t>стабильна.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Третью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позицию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занимает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котором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доля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угля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составляет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78%,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двух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группы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она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сокращается.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время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Индия</w:t>
      </w:r>
      <w:r w:rsidR="00AA600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продолжает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строительство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угольных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электростанций,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логически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плохо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вяжется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первенством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создании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станций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B64BB" w:rsidRPr="008D7951">
        <w:rPr>
          <w:rFonts w:ascii="Times New Roman" w:hAnsi="Times New Roman" w:cs="Times New Roman"/>
          <w:sz w:val="24"/>
          <w:szCs w:val="24"/>
        </w:rPr>
        <w:t>источниках.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Ряд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экспертов,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особенно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российских</w:t>
      </w:r>
      <w:r w:rsidR="00B044D5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указывают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основную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тенденцию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замещение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угля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природным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газом.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Китай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меньшей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мере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стремится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замещению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ископаемых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видов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топлива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возобновляемыми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чистыми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источниками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B044D5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чем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подробнее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буде</w:t>
      </w:r>
      <w:r w:rsidR="00170AF6" w:rsidRPr="008D7951">
        <w:rPr>
          <w:rFonts w:ascii="Times New Roman" w:hAnsi="Times New Roman" w:cs="Times New Roman"/>
          <w:sz w:val="24"/>
          <w:szCs w:val="24"/>
        </w:rPr>
        <w:t>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сказано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ниже.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занимает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срединное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положение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между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первой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последней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группой,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так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ней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основная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доля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76A43" w:rsidRPr="008D7951">
        <w:rPr>
          <w:rFonts w:ascii="Times New Roman" w:hAnsi="Times New Roman" w:cs="Times New Roman"/>
          <w:sz w:val="24"/>
          <w:szCs w:val="24"/>
        </w:rPr>
        <w:t>энергогенерации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принадлежит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природн</w:t>
      </w:r>
      <w:r w:rsidR="003936A9" w:rsidRPr="008D7951">
        <w:rPr>
          <w:rFonts w:ascii="Times New Roman" w:hAnsi="Times New Roman" w:cs="Times New Roman"/>
          <w:sz w:val="24"/>
          <w:szCs w:val="24"/>
        </w:rPr>
        <w:t>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газ</w:t>
      </w:r>
      <w:r w:rsidR="003936A9" w:rsidRPr="008D7951">
        <w:rPr>
          <w:rFonts w:ascii="Times New Roman" w:hAnsi="Times New Roman" w:cs="Times New Roman"/>
          <w:sz w:val="24"/>
          <w:szCs w:val="24"/>
        </w:rPr>
        <w:t>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936A9" w:rsidRPr="008D7951">
        <w:rPr>
          <w:rFonts w:ascii="Times New Roman" w:hAnsi="Times New Roman" w:cs="Times New Roman"/>
          <w:sz w:val="24"/>
          <w:szCs w:val="24"/>
        </w:rPr>
        <w:t>около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44D5" w:rsidRPr="008D7951">
        <w:rPr>
          <w:rFonts w:ascii="Times New Roman" w:hAnsi="Times New Roman" w:cs="Times New Roman"/>
          <w:sz w:val="24"/>
          <w:szCs w:val="24"/>
        </w:rPr>
        <w:t>55%</w:t>
      </w:r>
      <w:r w:rsidR="003936A9" w:rsidRPr="008D7951">
        <w:rPr>
          <w:rFonts w:ascii="Times New Roman" w:hAnsi="Times New Roman" w:cs="Times New Roman"/>
          <w:sz w:val="24"/>
          <w:szCs w:val="24"/>
        </w:rPr>
        <w:t>.</w:t>
      </w:r>
      <w:r w:rsidR="003936A9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10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A9" w:rsidRPr="008D7951" w:rsidRDefault="003936A9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Китай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наращивает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использование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газа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замен</w:t>
      </w:r>
      <w:r w:rsidR="00F661C0">
        <w:rPr>
          <w:rFonts w:ascii="Times New Roman" w:hAnsi="Times New Roman" w:cs="Times New Roman"/>
          <w:sz w:val="24"/>
          <w:szCs w:val="24"/>
        </w:rPr>
        <w:t>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максимально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прогнозируемая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доля</w:t>
      </w:r>
      <w:r w:rsidR="006063C4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которая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быть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достигнута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2035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063C4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(9%)</w:t>
      </w:r>
      <w:r w:rsidR="006063C4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значительно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ниже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аналогичной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России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странах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БРИКС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несмотря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возрастающие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объемы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закупок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вида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сырья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похожие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стремления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7393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текуще</w:t>
      </w:r>
      <w:r w:rsidR="00C73930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70AF6" w:rsidRPr="008D7951">
        <w:rPr>
          <w:rFonts w:ascii="Times New Roman" w:hAnsi="Times New Roman" w:cs="Times New Roman"/>
          <w:sz w:val="24"/>
          <w:szCs w:val="24"/>
        </w:rPr>
        <w:t>десятилети</w:t>
      </w:r>
      <w:r w:rsidR="00F661C0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73930" w:rsidRPr="008D7951">
        <w:rPr>
          <w:rFonts w:ascii="Times New Roman" w:hAnsi="Times New Roman" w:cs="Times New Roman"/>
          <w:sz w:val="24"/>
          <w:szCs w:val="24"/>
        </w:rPr>
        <w:t>проявля</w:t>
      </w:r>
      <w:r w:rsidR="00170AF6" w:rsidRPr="008D7951">
        <w:rPr>
          <w:rFonts w:ascii="Times New Roman" w:hAnsi="Times New Roman" w:cs="Times New Roman"/>
          <w:sz w:val="24"/>
          <w:szCs w:val="24"/>
        </w:rPr>
        <w:t>ются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73930" w:rsidRPr="008D7951">
        <w:rPr>
          <w:rFonts w:ascii="Times New Roman" w:hAnsi="Times New Roman" w:cs="Times New Roman"/>
          <w:sz w:val="24"/>
          <w:szCs w:val="24"/>
        </w:rPr>
        <w:t>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caps/>
          <w:sz w:val="24"/>
          <w:szCs w:val="24"/>
        </w:rPr>
        <w:t>и</w:t>
      </w:r>
      <w:r w:rsidR="00743123" w:rsidRPr="008D7951">
        <w:rPr>
          <w:rFonts w:ascii="Times New Roman" w:hAnsi="Times New Roman" w:cs="Times New Roman"/>
          <w:sz w:val="24"/>
          <w:szCs w:val="24"/>
        </w:rPr>
        <w:t>ндии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ЮАР,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растущая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доля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газа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будет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значительно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ниже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российской,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выше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китайской</w:t>
      </w:r>
      <w:r w:rsidR="00743123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важным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представляется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то,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три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«</w:t>
      </w:r>
      <w:r w:rsidR="003150E5" w:rsidRPr="008D7951">
        <w:rPr>
          <w:rFonts w:ascii="Times New Roman" w:hAnsi="Times New Roman" w:cs="Times New Roman"/>
          <w:sz w:val="24"/>
          <w:szCs w:val="24"/>
        </w:rPr>
        <w:t>грязной</w:t>
      </w:r>
      <w:r w:rsidR="00743123" w:rsidRPr="008D7951">
        <w:rPr>
          <w:rFonts w:ascii="Times New Roman" w:hAnsi="Times New Roman" w:cs="Times New Roman"/>
          <w:sz w:val="24"/>
          <w:szCs w:val="24"/>
        </w:rPr>
        <w:t>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экономикой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стремятся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>
        <w:rPr>
          <w:rFonts w:ascii="Times New Roman" w:hAnsi="Times New Roman" w:cs="Times New Roman"/>
          <w:sz w:val="24"/>
          <w:szCs w:val="24"/>
        </w:rPr>
        <w:t>(</w:t>
      </w:r>
      <w:r w:rsidR="0074312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объявили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75C3E" w:rsidRPr="008D7951">
        <w:rPr>
          <w:rFonts w:ascii="Times New Roman" w:hAnsi="Times New Roman" w:cs="Times New Roman"/>
          <w:sz w:val="24"/>
          <w:szCs w:val="24"/>
        </w:rPr>
        <w:t>об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это</w:t>
      </w:r>
      <w:r w:rsidR="00375C3E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России</w:t>
      </w:r>
      <w:r w:rsidR="00F661C0">
        <w:rPr>
          <w:rFonts w:ascii="Times New Roman" w:hAnsi="Times New Roman" w:cs="Times New Roman"/>
          <w:sz w:val="24"/>
          <w:szCs w:val="24"/>
        </w:rPr>
        <w:t>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своих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планах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значительному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повышению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уровня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возобновляемой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общей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национальной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генерации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энергии.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Например,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75C3E" w:rsidRPr="008D7951">
        <w:rPr>
          <w:rFonts w:ascii="Times New Roman" w:hAnsi="Times New Roman" w:cs="Times New Roman"/>
          <w:sz w:val="24"/>
          <w:szCs w:val="24"/>
        </w:rPr>
        <w:t>сделать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75C3E" w:rsidRPr="008D7951">
        <w:rPr>
          <w:rFonts w:ascii="Times New Roman" w:hAnsi="Times New Roman" w:cs="Times New Roman"/>
          <w:sz w:val="24"/>
          <w:szCs w:val="24"/>
        </w:rPr>
        <w:t>её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исто</w:t>
      </w:r>
      <w:r w:rsidR="00375C3E" w:rsidRPr="008D7951">
        <w:rPr>
          <w:rFonts w:ascii="Times New Roman" w:hAnsi="Times New Roman" w:cs="Times New Roman"/>
          <w:sz w:val="24"/>
          <w:szCs w:val="24"/>
        </w:rPr>
        <w:t>ч</w:t>
      </w:r>
      <w:r w:rsidR="003150E5" w:rsidRPr="008D7951">
        <w:rPr>
          <w:rFonts w:ascii="Times New Roman" w:hAnsi="Times New Roman" w:cs="Times New Roman"/>
          <w:sz w:val="24"/>
          <w:szCs w:val="24"/>
        </w:rPr>
        <w:t>ник</w:t>
      </w:r>
      <w:r w:rsidR="00375C3E" w:rsidRPr="008D7951">
        <w:rPr>
          <w:rFonts w:ascii="Times New Roman" w:hAnsi="Times New Roman" w:cs="Times New Roman"/>
          <w:sz w:val="24"/>
          <w:szCs w:val="24"/>
        </w:rPr>
        <w:t>о</w:t>
      </w:r>
      <w:r w:rsidR="003150E5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75C3E" w:rsidRPr="008D7951">
        <w:rPr>
          <w:rFonts w:ascii="Times New Roman" w:hAnsi="Times New Roman" w:cs="Times New Roman"/>
          <w:sz w:val="24"/>
          <w:szCs w:val="24"/>
        </w:rPr>
        <w:t>всей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75C3E" w:rsidRPr="008D7951">
        <w:rPr>
          <w:rFonts w:ascii="Times New Roman" w:hAnsi="Times New Roman" w:cs="Times New Roman"/>
          <w:sz w:val="24"/>
          <w:szCs w:val="24"/>
        </w:rPr>
        <w:t>производимой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2030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г.,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43123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представляется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150E5" w:rsidRPr="008D7951">
        <w:rPr>
          <w:rFonts w:ascii="Times New Roman" w:hAnsi="Times New Roman" w:cs="Times New Roman"/>
          <w:sz w:val="24"/>
          <w:szCs w:val="24"/>
        </w:rPr>
        <w:t>маловероятным</w:t>
      </w:r>
      <w:r w:rsidR="00743123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DA5" w:rsidRPr="008D7951" w:rsidRDefault="00C52806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Если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основной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упор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четырёх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caps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сфере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экологического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равновесия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делается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замену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коричневой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экономики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свете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Цели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устойчивого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соответствии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Повестк</w:t>
      </w:r>
      <w:r w:rsidR="00776DA5" w:rsidRPr="008D7951">
        <w:rPr>
          <w:rFonts w:ascii="Times New Roman" w:hAnsi="Times New Roman" w:cs="Times New Roman"/>
          <w:sz w:val="24"/>
          <w:szCs w:val="24"/>
        </w:rPr>
        <w:t>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33877" w:rsidRPr="008D7951">
        <w:rPr>
          <w:rFonts w:ascii="Times New Roman" w:hAnsi="Times New Roman" w:cs="Times New Roman"/>
          <w:sz w:val="24"/>
          <w:szCs w:val="24"/>
        </w:rPr>
        <w:t>устойчивого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ООН,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Бразилия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имеет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еще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одну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особую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нишу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зелёной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политике.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Первая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связана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массовой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критикой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предшествующих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правительств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Бразилии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свя</w:t>
      </w:r>
      <w:r w:rsidR="00D0377D" w:rsidRPr="008D7951">
        <w:rPr>
          <w:rFonts w:ascii="Times New Roman" w:hAnsi="Times New Roman" w:cs="Times New Roman"/>
          <w:sz w:val="24"/>
          <w:szCs w:val="24"/>
        </w:rPr>
        <w:t>з</w:t>
      </w:r>
      <w:r w:rsidR="006D4ED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массовой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в</w:t>
      </w:r>
      <w:r w:rsidR="00D0377D" w:rsidRPr="008D7951">
        <w:rPr>
          <w:rFonts w:ascii="Times New Roman" w:hAnsi="Times New Roman" w:cs="Times New Roman"/>
          <w:sz w:val="24"/>
          <w:szCs w:val="24"/>
        </w:rPr>
        <w:t>ы</w:t>
      </w:r>
      <w:r w:rsidR="006D4EDB" w:rsidRPr="008D7951">
        <w:rPr>
          <w:rFonts w:ascii="Times New Roman" w:hAnsi="Times New Roman" w:cs="Times New Roman"/>
          <w:sz w:val="24"/>
          <w:szCs w:val="24"/>
        </w:rPr>
        <w:t>рубкой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тропических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лесов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Амазонки</w:t>
      </w:r>
      <w:r w:rsidR="006D4ED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наносит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вред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всей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планете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индигенным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народам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Бразилии,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подлежащим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особой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за</w:t>
      </w:r>
      <w:r w:rsidR="00D0377D" w:rsidRPr="008D7951">
        <w:rPr>
          <w:rFonts w:ascii="Times New Roman" w:hAnsi="Times New Roman" w:cs="Times New Roman"/>
          <w:sz w:val="24"/>
          <w:szCs w:val="24"/>
        </w:rPr>
        <w:t>щ</w:t>
      </w:r>
      <w:r w:rsidR="006D4EDB" w:rsidRPr="008D7951">
        <w:rPr>
          <w:rFonts w:ascii="Times New Roman" w:hAnsi="Times New Roman" w:cs="Times New Roman"/>
          <w:sz w:val="24"/>
          <w:szCs w:val="24"/>
        </w:rPr>
        <w:t>ите</w:t>
      </w:r>
      <w:r w:rsidR="00F661C0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 w:rsidRPr="008D7951">
        <w:rPr>
          <w:rFonts w:ascii="Times New Roman" w:hAnsi="Times New Roman" w:cs="Times New Roman"/>
          <w:sz w:val="24"/>
          <w:szCs w:val="24"/>
        </w:rPr>
        <w:t>в</w:t>
      </w:r>
      <w:r w:rsidR="00F661C0">
        <w:rPr>
          <w:rFonts w:ascii="Times New Roman" w:hAnsi="Times New Roman" w:cs="Times New Roman"/>
          <w:sz w:val="24"/>
          <w:szCs w:val="24"/>
        </w:rPr>
        <w:t xml:space="preserve"> </w:t>
      </w:r>
      <w:r w:rsidR="00F661C0" w:rsidRPr="008D7951">
        <w:rPr>
          <w:rFonts w:ascii="Times New Roman" w:hAnsi="Times New Roman" w:cs="Times New Roman"/>
          <w:sz w:val="24"/>
          <w:szCs w:val="24"/>
        </w:rPr>
        <w:t>том</w:t>
      </w:r>
      <w:r w:rsidR="00F661C0">
        <w:rPr>
          <w:rFonts w:ascii="Times New Roman" w:hAnsi="Times New Roman" w:cs="Times New Roman"/>
          <w:sz w:val="24"/>
          <w:szCs w:val="24"/>
        </w:rPr>
        <w:t xml:space="preserve"> </w:t>
      </w:r>
      <w:r w:rsidR="00F661C0" w:rsidRPr="008D7951">
        <w:rPr>
          <w:rFonts w:ascii="Times New Roman" w:hAnsi="Times New Roman" w:cs="Times New Roman"/>
          <w:sz w:val="24"/>
          <w:szCs w:val="24"/>
        </w:rPr>
        <w:t xml:space="preserve">числе </w:t>
      </w:r>
      <w:r w:rsidR="006D4ED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соответствии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резолюцией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D4EDB" w:rsidRPr="008D7951">
        <w:rPr>
          <w:rFonts w:ascii="Times New Roman" w:hAnsi="Times New Roman" w:cs="Times New Roman"/>
          <w:sz w:val="24"/>
          <w:szCs w:val="24"/>
        </w:rPr>
        <w:t>ООН</w:t>
      </w:r>
      <w:r w:rsidR="005370DD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370DD" w:rsidRPr="008D7951">
        <w:rPr>
          <w:rFonts w:ascii="Times New Roman" w:hAnsi="Times New Roman" w:cs="Times New Roman"/>
          <w:sz w:val="24"/>
          <w:szCs w:val="24"/>
        </w:rPr>
        <w:t>Вторая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61C0">
        <w:rPr>
          <w:rFonts w:ascii="Times New Roman" w:hAnsi="Times New Roman" w:cs="Times New Roman"/>
          <w:sz w:val="24"/>
          <w:szCs w:val="24"/>
        </w:rPr>
        <w:t xml:space="preserve">– </w:t>
      </w:r>
      <w:r w:rsidR="005370DD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практикой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370DD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довольно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длительным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370DD" w:rsidRPr="008D7951">
        <w:rPr>
          <w:rFonts w:ascii="Times New Roman" w:hAnsi="Times New Roman" w:cs="Times New Roman"/>
          <w:sz w:val="24"/>
          <w:szCs w:val="24"/>
        </w:rPr>
        <w:t>опытом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370DD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370DD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созданию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экономичного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биотоплива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переходом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промышленному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C1244" w:rsidRPr="008D7951">
        <w:rPr>
          <w:rFonts w:ascii="Times New Roman" w:hAnsi="Times New Roman" w:cs="Times New Roman"/>
          <w:sz w:val="24"/>
          <w:szCs w:val="24"/>
        </w:rPr>
        <w:t>производству.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отстает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0377D" w:rsidRPr="008D7951">
        <w:rPr>
          <w:rFonts w:ascii="Times New Roman" w:hAnsi="Times New Roman" w:cs="Times New Roman"/>
          <w:sz w:val="24"/>
          <w:szCs w:val="24"/>
        </w:rPr>
        <w:t>всех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caps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доле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генерации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(менее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1%)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своих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планах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предусматривает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значительной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доли,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говорящей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возмещении</w:t>
      </w:r>
      <w:r w:rsidR="00CB402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какой-то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мере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быть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следствием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предшествующего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экономики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ведущей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ролью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гигантских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гидроэлектростанций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высоким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уровнем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атомных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электростанций</w:t>
      </w:r>
      <w:r w:rsidR="00CB402B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оценки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своего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будущего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энергетике,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так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целом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необходимо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иметь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долгосрочный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план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структурной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перестройки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экономики,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содержащий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переоценку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гидро</w:t>
      </w:r>
      <w:r w:rsidR="00F661C0">
        <w:rPr>
          <w:rFonts w:ascii="Times New Roman" w:hAnsi="Times New Roman" w:cs="Times New Roman"/>
          <w:sz w:val="24"/>
          <w:szCs w:val="24"/>
        </w:rPr>
        <w:t>-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атомной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энергетики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B40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и</w:t>
      </w:r>
      <w:r w:rsidR="00CB402B" w:rsidRPr="008D7951">
        <w:rPr>
          <w:rFonts w:ascii="Times New Roman" w:hAnsi="Times New Roman" w:cs="Times New Roman"/>
          <w:sz w:val="24"/>
          <w:szCs w:val="24"/>
        </w:rPr>
        <w:t>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роли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энергетике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1526" w:rsidRPr="008D7951">
        <w:rPr>
          <w:rFonts w:ascii="Times New Roman" w:hAnsi="Times New Roman" w:cs="Times New Roman"/>
          <w:sz w:val="24"/>
          <w:szCs w:val="24"/>
        </w:rPr>
        <w:t>будуще</w:t>
      </w:r>
      <w:r w:rsidR="00776DA5" w:rsidRPr="008D7951">
        <w:rPr>
          <w:rFonts w:ascii="Times New Roman" w:hAnsi="Times New Roman" w:cs="Times New Roman"/>
          <w:sz w:val="24"/>
          <w:szCs w:val="24"/>
        </w:rPr>
        <w:t>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пяти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государств</w:t>
      </w:r>
      <w:r w:rsidR="00FF2583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ЮАР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имеют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принципиальные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отличия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объединения: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ЮАР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является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единственной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страной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пяти,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имеющей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плана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лесного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фонда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(сокращени</w:t>
      </w:r>
      <w:r w:rsidR="00F661C0">
        <w:rPr>
          <w:rFonts w:ascii="Times New Roman" w:hAnsi="Times New Roman" w:cs="Times New Roman"/>
          <w:sz w:val="24"/>
          <w:szCs w:val="24"/>
        </w:rPr>
        <w:t>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вырубки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лесов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увеличения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поглощающей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способности</w:t>
      </w:r>
      <w:r w:rsidR="00D70B05" w:rsidRPr="008D7951">
        <w:rPr>
          <w:rFonts w:ascii="Times New Roman" w:hAnsi="Times New Roman" w:cs="Times New Roman"/>
          <w:sz w:val="24"/>
          <w:szCs w:val="24"/>
        </w:rPr>
        <w:t>)</w:t>
      </w:r>
      <w:r w:rsidR="00776DA5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также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четырех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имеет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планов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ускоренному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росту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1395A"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увеличения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доли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электрогенерации.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свидетельствует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об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отсутствии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взаимной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координации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целом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может</w:t>
      </w:r>
      <w:r w:rsidR="00F661C0">
        <w:rPr>
          <w:rFonts w:ascii="Times New Roman" w:hAnsi="Times New Roman" w:cs="Times New Roman"/>
          <w:sz w:val="24"/>
          <w:szCs w:val="24"/>
        </w:rPr>
        <w:t xml:space="preserve"> быть,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даже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непонимании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важности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двух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базовых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76DA5" w:rsidRPr="008D7951">
        <w:rPr>
          <w:rFonts w:ascii="Times New Roman" w:hAnsi="Times New Roman" w:cs="Times New Roman"/>
          <w:sz w:val="24"/>
          <w:szCs w:val="24"/>
        </w:rPr>
        <w:t>составляющих.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14F" w:rsidRPr="008D7951" w:rsidRDefault="00DD014F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Показанные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различия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подходах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пяти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объясняются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историческими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географическими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собственно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климатическими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различиями</w:t>
      </w:r>
      <w:r w:rsidR="00F661C0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свидетельствуют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непоколебимой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ориентации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национальное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регулирование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серьезных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препятствиях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созданию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единой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геоэкологической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платформы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объединения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мировой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арене.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Еще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проблематичной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представляется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расширенного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состава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70B05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70B05" w:rsidRPr="008D7951">
        <w:rPr>
          <w:rFonts w:ascii="Times New Roman" w:hAnsi="Times New Roman" w:cs="Times New Roman"/>
          <w:sz w:val="24"/>
          <w:szCs w:val="24"/>
        </w:rPr>
        <w:t>БРИКС+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вошли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крайней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мере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меньшими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особенностями,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подходами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D7FE8" w:rsidRPr="008D7951">
        <w:rPr>
          <w:rFonts w:ascii="Times New Roman" w:hAnsi="Times New Roman" w:cs="Times New Roman"/>
          <w:sz w:val="24"/>
          <w:szCs w:val="24"/>
        </w:rPr>
        <w:t>политикой</w:t>
      </w:r>
      <w:r w:rsidR="00D6299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6299B" w:rsidRPr="008D7951">
        <w:rPr>
          <w:rFonts w:ascii="Times New Roman" w:hAnsi="Times New Roman" w:cs="Times New Roman"/>
          <w:sz w:val="24"/>
          <w:szCs w:val="24"/>
        </w:rPr>
        <w:t>пока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6299B" w:rsidRPr="008D7951">
        <w:rPr>
          <w:rFonts w:ascii="Times New Roman" w:hAnsi="Times New Roman" w:cs="Times New Roman"/>
          <w:sz w:val="24"/>
          <w:szCs w:val="24"/>
        </w:rPr>
        <w:t>явно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готовы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6299B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6299B" w:rsidRPr="008D7951">
        <w:rPr>
          <w:rFonts w:ascii="Times New Roman" w:hAnsi="Times New Roman" w:cs="Times New Roman"/>
          <w:sz w:val="24"/>
          <w:szCs w:val="24"/>
        </w:rPr>
        <w:t>координации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D6299B" w:rsidRPr="008D7951">
        <w:rPr>
          <w:rFonts w:ascii="Times New Roman" w:hAnsi="Times New Roman" w:cs="Times New Roman"/>
          <w:sz w:val="24"/>
          <w:szCs w:val="24"/>
        </w:rPr>
        <w:t>/</w:t>
      </w:r>
      <w:r w:rsidR="00D14635"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14635"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D6299B" w:rsidRPr="008D7951">
        <w:rPr>
          <w:rFonts w:ascii="Times New Roman" w:hAnsi="Times New Roman" w:cs="Times New Roman"/>
          <w:sz w:val="24"/>
          <w:szCs w:val="24"/>
        </w:rPr>
        <w:t>.</w:t>
      </w:r>
    </w:p>
    <w:p w:rsidR="00966F9C" w:rsidRPr="008D7951" w:rsidRDefault="00966F9C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Посмотрим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первую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десятку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вносящих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052DE" w:rsidRPr="008D7951">
        <w:rPr>
          <w:rFonts w:ascii="Times New Roman" w:hAnsi="Times New Roman" w:cs="Times New Roman"/>
          <w:sz w:val="24"/>
          <w:szCs w:val="24"/>
        </w:rPr>
        <w:t>наибольший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</w:t>
      </w:r>
      <w:r w:rsidR="009052DE" w:rsidRPr="008D7951">
        <w:rPr>
          <w:rFonts w:ascii="Times New Roman" w:hAnsi="Times New Roman" w:cs="Times New Roman"/>
          <w:sz w:val="24"/>
          <w:szCs w:val="24"/>
        </w:rPr>
        <w:t>вклад</w:t>
      </w:r>
      <w:r w:rsidRPr="008D7951">
        <w:rPr>
          <w:rFonts w:ascii="Times New Roman" w:hAnsi="Times New Roman" w:cs="Times New Roman"/>
          <w:sz w:val="24"/>
          <w:szCs w:val="24"/>
        </w:rPr>
        <w:t>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загрязнение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планеты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(табл</w:t>
      </w:r>
      <w:r w:rsidR="00F661C0">
        <w:rPr>
          <w:rFonts w:ascii="Times New Roman" w:hAnsi="Times New Roman" w:cs="Times New Roman"/>
          <w:sz w:val="24"/>
          <w:szCs w:val="24"/>
        </w:rPr>
        <w:t>. 1</w:t>
      </w:r>
      <w:r w:rsidRPr="008D7951">
        <w:rPr>
          <w:rFonts w:ascii="Times New Roman" w:hAnsi="Times New Roman" w:cs="Times New Roman"/>
          <w:sz w:val="24"/>
          <w:szCs w:val="24"/>
        </w:rPr>
        <w:t>).</w:t>
      </w:r>
    </w:p>
    <w:p w:rsidR="00F661C0" w:rsidRDefault="00966F9C" w:rsidP="00F661C0">
      <w:pPr>
        <w:suppressAutoHyphens/>
        <w:spacing w:line="360" w:lineRule="auto"/>
        <w:jc w:val="right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Таблица</w:t>
      </w:r>
      <w:r w:rsidR="00F661C0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1</w:t>
      </w:r>
    </w:p>
    <w:p w:rsidR="00966F9C" w:rsidRPr="008D7951" w:rsidRDefault="00966F9C" w:rsidP="008D7951">
      <w:pPr>
        <w:suppressAutoHyphens/>
        <w:spacing w:line="36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самой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высокой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долей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эмиссии/выбросов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парниковых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газов,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%</w:t>
      </w:r>
    </w:p>
    <w:tbl>
      <w:tblPr>
        <w:tblW w:w="7534" w:type="dxa"/>
        <w:tblInd w:w="113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574"/>
        <w:gridCol w:w="2480"/>
        <w:gridCol w:w="2480"/>
      </w:tblGrid>
      <w:tr w:rsidR="00F661C0" w:rsidRPr="00F661C0" w:rsidTr="00F661C0">
        <w:tc>
          <w:tcPr>
            <w:tcW w:w="2574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Страны</w:t>
            </w:r>
          </w:p>
        </w:tc>
        <w:tc>
          <w:tcPr>
            <w:tcW w:w="4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Распределение выбросов в атмосферу</w:t>
            </w:r>
          </w:p>
        </w:tc>
      </w:tr>
      <w:tr w:rsidR="00F661C0" w:rsidRPr="00F661C0" w:rsidTr="00F661C0">
        <w:tc>
          <w:tcPr>
            <w:tcW w:w="257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8" w:name="_Hlk214267026"/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9" w:name="_Hlk214274440"/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Парниковые газы</w:t>
            </w:r>
            <w:bookmarkEnd w:id="9"/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10" w:name="_Hlk214267121"/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CO</w:t>
            </w: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zh-CN" w:bidi="hi-IN"/>
              </w:rPr>
              <w:t>2</w:t>
            </w:r>
            <w:bookmarkEnd w:id="10"/>
          </w:p>
        </w:tc>
      </w:tr>
      <w:bookmarkEnd w:id="8"/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Мир в целом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100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Китай 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29,20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33,12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США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11,11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11,69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Индия 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8,22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7,96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ЕС 27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5,95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6,21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Россия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4,84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5,07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Индонезия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2,49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2,05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Бразилия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2,44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1,24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Япония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2,00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2,45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Иран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1,98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2,09</w:t>
            </w:r>
          </w:p>
        </w:tc>
      </w:tr>
      <w:tr w:rsidR="00F661C0" w:rsidRPr="00F661C0" w:rsidTr="00F661C0">
        <w:tc>
          <w:tcPr>
            <w:tcW w:w="2574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Саудовская Аравия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1,58</w:t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1C0" w:rsidRPr="00F661C0" w:rsidRDefault="00F661C0" w:rsidP="00F661C0">
            <w:pPr>
              <w:pStyle w:val="ad"/>
              <w:ind w:firstLine="0"/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661C0">
              <w:rPr>
                <w:rFonts w:ascii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1,65</w:t>
            </w:r>
          </w:p>
        </w:tc>
      </w:tr>
    </w:tbl>
    <w:p w:rsidR="00966F9C" w:rsidRPr="00F661C0" w:rsidRDefault="00966F9C" w:rsidP="00F661C0">
      <w:pPr>
        <w:suppressAutoHyphens/>
        <w:rPr>
          <w:rFonts w:ascii="Times New Roman" w:eastAsia="Noto Serif CJK SC" w:hAnsi="Times New Roman" w:cs="Times New Roman"/>
          <w:kern w:val="2"/>
          <w:lang w:eastAsia="zh-CN" w:bidi="hi-IN"/>
        </w:rPr>
      </w:pP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Примечание: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страны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ранжированы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по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выбросам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парниковых</w:t>
      </w:r>
      <w:r w:rsidR="008D7951"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газов.</w:t>
      </w:r>
    </w:p>
    <w:p w:rsidR="00966F9C" w:rsidRPr="00F661C0" w:rsidRDefault="00966F9C" w:rsidP="0029174B">
      <w:pPr>
        <w:suppressAutoHyphens/>
        <w:spacing w:after="120"/>
        <w:rPr>
          <w:rFonts w:ascii="Times New Roman" w:eastAsia="Noto Serif CJK SC" w:hAnsi="Times New Roman" w:cs="Times New Roman"/>
          <w:kern w:val="2"/>
          <w:lang w:val="en-US" w:eastAsia="zh-CN" w:bidi="hi-IN"/>
        </w:rPr>
      </w:pPr>
      <w:r w:rsidRPr="00F661C0">
        <w:rPr>
          <w:rFonts w:ascii="Times New Roman" w:eastAsia="Noto Serif CJK SC" w:hAnsi="Times New Roman" w:cs="Times New Roman"/>
          <w:kern w:val="2"/>
          <w:lang w:eastAsia="zh-CN" w:bidi="hi-IN"/>
        </w:rPr>
        <w:t>Источник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: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GHG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emissions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of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all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world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countries</w:t>
      </w:r>
      <w:r w:rsid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: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2025</w:t>
      </w:r>
      <w:r w:rsidR="008D7951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 </w:t>
      </w:r>
      <w:r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>report</w:t>
      </w:r>
      <w:r w:rsidR="00F661C0" w:rsidRPr="00F661C0">
        <w:rPr>
          <w:rFonts w:ascii="Times New Roman" w:eastAsia="Noto Serif CJK SC" w:hAnsi="Times New Roman" w:cs="Times New Roman"/>
          <w:kern w:val="2"/>
          <w:lang w:val="en-US" w:eastAsia="zh-CN" w:bidi="hi-IN"/>
        </w:rPr>
        <w:t xml:space="preserve">. – </w:t>
      </w:r>
      <w:hyperlink r:id="rId8" w:anchor="emissions_table" w:history="1">
        <w:r w:rsidRPr="00F661C0">
          <w:rPr>
            <w:rFonts w:ascii="Times New Roman" w:eastAsia="Noto Serif CJK SC" w:hAnsi="Times New Roman" w:cs="Times New Roman"/>
            <w:kern w:val="2"/>
            <w:lang w:val="en-US" w:eastAsia="zh-CN" w:bidi="hi-IN"/>
          </w:rPr>
          <w:t>https://edgar.jrc.ec.europa.eu/report_2025?vis=co2tot#emissions_table</w:t>
        </w:r>
      </w:hyperlink>
    </w:p>
    <w:p w:rsidR="0059270E" w:rsidRPr="008D7951" w:rsidRDefault="00966F9C" w:rsidP="008D7951">
      <w:pPr>
        <w:spacing w:line="36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таблице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привод</w:t>
      </w:r>
      <w:r w:rsidR="00D70B05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я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тся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кроме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общих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выбросов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парниковых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газов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данные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углекислого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газа,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которо</w:t>
      </w:r>
      <w:r w:rsidR="00D70B05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выбросах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превышает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две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трети.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Долю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более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одного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процента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D70B05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парниковых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выбросах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занимают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18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мира,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число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входят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БРИКС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из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вновь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присоединившихся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(Индонезия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Иран).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Кроме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представленных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таблице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18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место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занимает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ЮАР,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которая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объему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ВВП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находится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только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33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мест</w:t>
      </w:r>
      <w:r w:rsidR="00D70B05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свидетельствует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довольно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«коричневой»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экономике.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Данные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таблицы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свидетельствуют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слишком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большой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доли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трех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крупнейших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странах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БРИКС: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Индия,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Кита</w:t>
      </w:r>
      <w:r w:rsidR="00D70B05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Россия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дают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более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42%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мировой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парниковых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газов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более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46%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выбросов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CO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vertAlign w:val="subscript"/>
          <w:lang w:eastAsia="zh-CN" w:bidi="hi-IN"/>
        </w:rPr>
        <w:t>2.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vertAlign w:val="subscript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Таким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образом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БРИКС+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стал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доминирующим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центром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мирового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загрязнения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более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половины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нашей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планеты,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требует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составляющих,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особо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активной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политики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как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выполнению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ЦУР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ООН,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снижению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добычи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углеродного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сырья,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конечно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входит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противоречие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устремлениями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индустриализации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своих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Можно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какой-то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мере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надеяться,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проведение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очередного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СОР-30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Бразилии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подтолкнет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страны,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первую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очередь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67193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беря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67193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пример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67193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Бразили</w:t>
      </w:r>
      <w:r w:rsidR="00E67193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,</w:t>
      </w:r>
      <w:r w:rsidR="00E67193" w:rsidRPr="008D7951">
        <w:rPr>
          <w:rStyle w:val="a6"/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footnoteReference w:id="11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которая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входит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число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67193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крупных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угледобывающих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ускорению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продвижения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зеленой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экономике.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footnoteReference w:id="12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Россия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являлась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БРИКС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основным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экспортёром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нефти,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определяет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отношение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других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как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сырьевой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базе.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присоединение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2025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Индонезии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меняет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этот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ландшафт,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как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страна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экспортирует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уголь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стоимостному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объёму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больше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российского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40,0%.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российского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2024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был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3,5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больше,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чем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ЮАР,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стоимость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была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1,85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меньше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5,6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нефти.</w:t>
      </w:r>
      <w:r w:rsidR="008D2F25" w:rsidRPr="008D7951">
        <w:rPr>
          <w:rStyle w:val="a6"/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footnoteReference w:id="13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Основными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импортёрами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БРИКС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были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Китай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Индия,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если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импорту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отставала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Китая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21%,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импорту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70%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импорту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нефти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56%.</w:t>
      </w:r>
      <w:r w:rsidR="008D2F25" w:rsidRPr="008D7951">
        <w:rPr>
          <w:rStyle w:val="a6"/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footnoteReference w:id="14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тоже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свидетельствует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«коричневой»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ориентации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импорта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Индии.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Выделяется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также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Бразилия,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которая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экспортируют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немало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сырой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нефти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36,7%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экспорта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9270E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России.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966F9C" w:rsidRPr="008D7951" w:rsidRDefault="00966F9C" w:rsidP="008D7951">
      <w:pPr>
        <w:suppressAutoHyphens/>
        <w:spacing w:line="360" w:lineRule="auto"/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</w:pP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Особо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стоит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обратить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внимание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позицию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таблице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Китая,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который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несмотря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bookmarkStart w:id="12" w:name="_Hlk214291694"/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решения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переориентации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экономического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роста</w:t>
      </w:r>
      <w:bookmarkEnd w:id="12"/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выделяется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своими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долями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мировом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загрязнении.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Достаточно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сказать,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что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выбросы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превышают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крупнейшей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экономики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2,6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всем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выбросам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2,8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углекислому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газу,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эмиссию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крупнейшего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интеграционного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объединения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мира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31F74"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ЕС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–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4,9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5,3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раза,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хотя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объем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ВВП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Евросоюза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данным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ВБ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выше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3,6%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2024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году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footnoteReference w:id="15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также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выше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4%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итогам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2025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г.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(оценка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МВФ).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vertAlign w:val="superscript"/>
          <w:lang w:eastAsia="zh-CN" w:bidi="hi-IN"/>
        </w:rPr>
        <w:footnoteReference w:id="16"/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Это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свидетельствует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только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нерациональном,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загрязняющем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промышленном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производстве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Китае,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о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низкой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эффективности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использования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электроэнергии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в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расчете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на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единицу</w:t>
      </w:r>
      <w:r w:rsid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8D7951">
        <w:rPr>
          <w:rFonts w:ascii="Times New Roman" w:eastAsia="Noto Serif CJK SC" w:hAnsi="Times New Roman" w:cs="Times New Roman"/>
          <w:kern w:val="2"/>
          <w:sz w:val="24"/>
          <w:szCs w:val="24"/>
          <w:lang w:eastAsia="zh-CN" w:bidi="hi-IN"/>
        </w:rPr>
        <w:t>продукции.</w:t>
      </w:r>
    </w:p>
    <w:p w:rsidR="00133877" w:rsidRPr="008D7951" w:rsidRDefault="00531F74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продвинуться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благодаря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Стратегии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безопасности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сколько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9174B">
        <w:rPr>
          <w:rFonts w:ascii="Times New Roman" w:hAnsi="Times New Roman" w:cs="Times New Roman"/>
          <w:sz w:val="24"/>
          <w:szCs w:val="24"/>
        </w:rPr>
        <w:t>реализуя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вновь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принятую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Стратегию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2030/2036,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которой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основных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проблем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названы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изменение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мировые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тренды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низкоуглеродного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новой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214360838"/>
      <w:r w:rsidR="00E4318F" w:rsidRPr="008D7951">
        <w:rPr>
          <w:rFonts w:ascii="Times New Roman" w:hAnsi="Times New Roman" w:cs="Times New Roman"/>
          <w:sz w:val="24"/>
          <w:szCs w:val="24"/>
        </w:rPr>
        <w:t>С</w:t>
      </w:r>
      <w:r w:rsidR="00C52806" w:rsidRPr="008D7951">
        <w:rPr>
          <w:rFonts w:ascii="Times New Roman" w:hAnsi="Times New Roman" w:cs="Times New Roman"/>
          <w:sz w:val="24"/>
          <w:szCs w:val="24"/>
        </w:rPr>
        <w:t>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52806" w:rsidRPr="008D7951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развития</w:t>
      </w:r>
      <w:bookmarkEnd w:id="13"/>
      <w:r w:rsidR="00FF2583" w:rsidRPr="008D7951">
        <w:rPr>
          <w:rFonts w:ascii="Times New Roman" w:hAnsi="Times New Roman" w:cs="Times New Roman"/>
          <w:sz w:val="24"/>
          <w:szCs w:val="24"/>
        </w:rPr>
        <w:t>,</w:t>
      </w:r>
      <w:r w:rsidR="00E4318F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17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пришедшей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смену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так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52806" w:rsidRPr="008D7951">
        <w:rPr>
          <w:rFonts w:ascii="Times New Roman" w:hAnsi="Times New Roman" w:cs="Times New Roman"/>
          <w:sz w:val="24"/>
          <w:szCs w:val="24"/>
        </w:rPr>
        <w:t>осуществлённой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заметной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11B82" w:rsidRPr="008D7951">
        <w:rPr>
          <w:rFonts w:ascii="Times New Roman" w:hAnsi="Times New Roman" w:cs="Times New Roman"/>
          <w:sz w:val="24"/>
          <w:szCs w:val="24"/>
        </w:rPr>
        <w:t>мере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Стратегии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F2583" w:rsidRPr="008D7951">
        <w:rPr>
          <w:rFonts w:ascii="Times New Roman" w:hAnsi="Times New Roman" w:cs="Times New Roman"/>
          <w:sz w:val="24"/>
          <w:szCs w:val="24"/>
        </w:rPr>
        <w:t>2025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принятой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раньше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истечения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срока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действия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первой</w:t>
      </w:r>
      <w:r w:rsidR="00A310D3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говорится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возможностях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пространственного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Российской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Федерации,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сразу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указывается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бюджетные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ограничения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рост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издержек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310D3" w:rsidRPr="008D7951">
        <w:rPr>
          <w:rFonts w:ascii="Times New Roman" w:hAnsi="Times New Roman" w:cs="Times New Roman"/>
          <w:sz w:val="24"/>
          <w:szCs w:val="24"/>
        </w:rPr>
        <w:t>экономике.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Стратегии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2030/2036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появился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раздел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«Изменение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климата»</w:t>
      </w:r>
      <w:r w:rsidR="00925137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почти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раза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меньше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раздела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пространственном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развитии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государств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9174B">
        <w:rPr>
          <w:rFonts w:ascii="Times New Roman" w:hAnsi="Times New Roman" w:cs="Times New Roman"/>
          <w:sz w:val="24"/>
          <w:szCs w:val="24"/>
        </w:rPr>
        <w:t>(</w:t>
      </w:r>
      <w:r w:rsidR="00925137"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стратегически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важных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стран-партнеров</w:t>
      </w:r>
      <w:r w:rsidR="0029174B">
        <w:rPr>
          <w:rFonts w:ascii="Times New Roman" w:hAnsi="Times New Roman" w:cs="Times New Roman"/>
          <w:sz w:val="24"/>
          <w:szCs w:val="24"/>
        </w:rPr>
        <w:t>),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513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котором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освещаются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некоторые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негативные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итоги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влияния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изменений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климате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рассматриваются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предпосылки,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усилят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воздействие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природных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процессов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социально-экономическое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развитие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регионов.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настала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пора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говорить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о</w:t>
      </w:r>
      <w:r w:rsidR="0029174B">
        <w:rPr>
          <w:rFonts w:ascii="Times New Roman" w:hAnsi="Times New Roman" w:cs="Times New Roman"/>
          <w:sz w:val="24"/>
          <w:szCs w:val="24"/>
        </w:rPr>
        <w:t>б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i/>
          <w:iCs/>
          <w:sz w:val="24"/>
          <w:szCs w:val="24"/>
        </w:rPr>
        <w:t>экологическом</w:t>
      </w:r>
      <w:r w:rsidR="008D7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i/>
          <w:iCs/>
          <w:sz w:val="24"/>
          <w:szCs w:val="24"/>
        </w:rPr>
        <w:t>развитии</w:t>
      </w:r>
      <w:r w:rsidR="008D79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i/>
          <w:iCs/>
          <w:sz w:val="24"/>
          <w:szCs w:val="24"/>
        </w:rPr>
        <w:t>регионов</w:t>
      </w:r>
      <w:r w:rsidR="009F00F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многие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которых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должны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увеличивать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затраты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ликвидацию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последствий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неблагоприятных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00F2" w:rsidRPr="008D7951">
        <w:rPr>
          <w:rFonts w:ascii="Times New Roman" w:hAnsi="Times New Roman" w:cs="Times New Roman"/>
          <w:sz w:val="24"/>
          <w:szCs w:val="24"/>
        </w:rPr>
        <w:t>воздействий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факторов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деградации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окружающей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среды</w:t>
      </w:r>
      <w:r w:rsidR="009F00F2" w:rsidRPr="008D7951">
        <w:rPr>
          <w:rFonts w:ascii="Times New Roman" w:hAnsi="Times New Roman" w:cs="Times New Roman"/>
          <w:sz w:val="24"/>
          <w:szCs w:val="24"/>
        </w:rPr>
        <w:t>?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заключение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раздела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упоминается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система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адаптации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изменению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России,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говорится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её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трех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составляющих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федеральный/национальный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уровень,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отраслевой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региональный,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каждом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которых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существуют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планы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адаптации.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никаких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конкретных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ссылок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даётся.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возникать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вопрос,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почему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после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7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лет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существования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говорится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лишь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i/>
          <w:iCs/>
          <w:sz w:val="24"/>
          <w:szCs w:val="24"/>
        </w:rPr>
        <w:t>формировании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1B7" w:rsidRPr="008D7951">
        <w:rPr>
          <w:rFonts w:ascii="Times New Roman" w:hAnsi="Times New Roman" w:cs="Times New Roman"/>
          <w:sz w:val="24"/>
          <w:szCs w:val="24"/>
        </w:rPr>
        <w:t>системы</w:t>
      </w:r>
      <w:r w:rsidR="00302272" w:rsidRPr="008D7951">
        <w:rPr>
          <w:rFonts w:ascii="Times New Roman" w:hAnsi="Times New Roman" w:cs="Times New Roman"/>
          <w:sz w:val="24"/>
          <w:szCs w:val="24"/>
        </w:rPr>
        <w:t>.</w:t>
      </w:r>
    </w:p>
    <w:p w:rsidR="00A479AF" w:rsidRPr="008D7951" w:rsidRDefault="00302272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удивительно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существовании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доктрины</w:t>
      </w:r>
      <w:r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18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явно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устаревшей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доктрины.</w:t>
      </w:r>
      <w:r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19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Планы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адаптации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могут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должны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строит</w:t>
      </w:r>
      <w:r w:rsidR="00E0652E" w:rsidRPr="008D7951">
        <w:rPr>
          <w:rFonts w:ascii="Times New Roman" w:hAnsi="Times New Roman" w:cs="Times New Roman"/>
          <w:sz w:val="24"/>
          <w:szCs w:val="24"/>
        </w:rPr>
        <w:t>ь</w:t>
      </w:r>
      <w:r w:rsidR="00926F79" w:rsidRPr="008D7951">
        <w:rPr>
          <w:rFonts w:ascii="Times New Roman" w:hAnsi="Times New Roman" w:cs="Times New Roman"/>
          <w:sz w:val="24"/>
          <w:szCs w:val="24"/>
        </w:rPr>
        <w:t>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подходе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экологическому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развитию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единству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федеральных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региональных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интересов.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быть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сомнения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том,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регионы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состоянии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«проводить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долгосрочную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региональную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экологическую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политику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рамках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общенациональной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стратегии,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исходя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собственных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интересов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территориальной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26F79" w:rsidRPr="008D7951">
        <w:rPr>
          <w:rFonts w:ascii="Times New Roman" w:hAnsi="Times New Roman" w:cs="Times New Roman"/>
          <w:sz w:val="24"/>
          <w:szCs w:val="24"/>
        </w:rPr>
        <w:t>специфики».</w:t>
      </w:r>
      <w:r w:rsidR="000C6C33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0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речь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должна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идти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применительно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России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федеративному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государству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регионах-субъектах,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местном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самоуправлении</w:t>
      </w:r>
      <w:r w:rsidR="00471F90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Так,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президент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COP30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подчеркнул,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мэры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играют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ключевую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решении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проблемы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изменения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климата.</w:t>
      </w:r>
      <w:r w:rsidR="00CA02DC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1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связано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тем</w:t>
      </w:r>
      <w:r w:rsidR="00471F90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города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играют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ключевую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реализации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решений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достижении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целей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области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«</w:t>
      </w:r>
      <w:r w:rsidR="00471F90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DE5B7D" w:rsidRPr="008D7951">
        <w:rPr>
          <w:rFonts w:ascii="Times New Roman" w:hAnsi="Times New Roman" w:cs="Times New Roman"/>
          <w:sz w:val="24"/>
          <w:szCs w:val="24"/>
        </w:rPr>
        <w:t>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политики,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являясь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основным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E5B7D" w:rsidRPr="008D7951">
        <w:rPr>
          <w:rFonts w:ascii="Times New Roman" w:hAnsi="Times New Roman" w:cs="Times New Roman"/>
          <w:sz w:val="24"/>
          <w:szCs w:val="24"/>
        </w:rPr>
        <w:t>источником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выбросов.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Такую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России,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которая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воспользоваться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опытом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других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городов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странах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мэры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городских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поселений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могли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играть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надлежащем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соблюдении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принципа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бюджетного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71F90" w:rsidRPr="008D7951">
        <w:rPr>
          <w:rFonts w:ascii="Times New Roman" w:hAnsi="Times New Roman" w:cs="Times New Roman"/>
          <w:sz w:val="24"/>
          <w:szCs w:val="24"/>
        </w:rPr>
        <w:t>федерализма.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2CD" w:rsidRPr="008D7951" w:rsidRDefault="005572CD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сожалению,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Казанская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декларация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A02DC" w:rsidRPr="008D7951">
        <w:rPr>
          <w:rFonts w:ascii="Times New Roman" w:hAnsi="Times New Roman" w:cs="Times New Roman"/>
          <w:sz w:val="24"/>
          <w:szCs w:val="24"/>
        </w:rPr>
        <w:t>XVI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A02DC" w:rsidRPr="008D7951">
        <w:rPr>
          <w:rFonts w:ascii="Times New Roman" w:hAnsi="Times New Roman" w:cs="Times New Roman"/>
          <w:sz w:val="24"/>
          <w:szCs w:val="24"/>
        </w:rPr>
        <w:t>Саммита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A02DC" w:rsidRPr="008D7951">
        <w:rPr>
          <w:rFonts w:ascii="Times New Roman" w:hAnsi="Times New Roman" w:cs="Times New Roman"/>
          <w:sz w:val="24"/>
          <w:szCs w:val="24"/>
        </w:rPr>
        <w:t>БРИКС</w:t>
      </w:r>
      <w:r w:rsidR="00CA02DC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2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трех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магистральных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направлений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углублени</w:t>
      </w:r>
      <w:r w:rsidR="007C4C16" w:rsidRPr="008D7951">
        <w:rPr>
          <w:rFonts w:ascii="Times New Roman" w:hAnsi="Times New Roman" w:cs="Times New Roman"/>
          <w:sz w:val="24"/>
          <w:szCs w:val="24"/>
        </w:rPr>
        <w:t>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213605021"/>
      <w:r w:rsidRPr="008D7951">
        <w:rPr>
          <w:rFonts w:ascii="Times New Roman" w:hAnsi="Times New Roman" w:cs="Times New Roman"/>
          <w:sz w:val="24"/>
          <w:szCs w:val="24"/>
        </w:rPr>
        <w:t>сотрудничества</w:t>
      </w:r>
      <w:bookmarkEnd w:id="14"/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стратегического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партнерства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(пункт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3)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государств</w:t>
      </w:r>
      <w:r w:rsidR="007C4C16" w:rsidRPr="008D7951">
        <w:rPr>
          <w:rFonts w:ascii="Times New Roman" w:hAnsi="Times New Roman" w:cs="Times New Roman"/>
          <w:sz w:val="24"/>
          <w:szCs w:val="24"/>
        </w:rPr>
        <w:t>-участников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расширившегося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назвала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сотрудничество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проведении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C4C1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0FC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0FC2" w:rsidRPr="008D7951">
        <w:rPr>
          <w:rFonts w:ascii="Times New Roman" w:hAnsi="Times New Roman" w:cs="Times New Roman"/>
          <w:sz w:val="24"/>
          <w:szCs w:val="24"/>
        </w:rPr>
        <w:t>сохранении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0FC2" w:rsidRPr="008D7951">
        <w:rPr>
          <w:rFonts w:ascii="Times New Roman" w:hAnsi="Times New Roman" w:cs="Times New Roman"/>
          <w:sz w:val="24"/>
          <w:szCs w:val="24"/>
        </w:rPr>
        <w:t>природного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0FC2" w:rsidRPr="008D7951">
        <w:rPr>
          <w:rFonts w:ascii="Times New Roman" w:hAnsi="Times New Roman" w:cs="Times New Roman"/>
          <w:sz w:val="24"/>
          <w:szCs w:val="24"/>
        </w:rPr>
        <w:t>равновесия.</w:t>
      </w:r>
      <w:r w:rsidR="00830BF1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3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представляется</w:t>
      </w:r>
      <w:r w:rsidR="00B00FC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00FC2" w:rsidRPr="008D7951">
        <w:rPr>
          <w:rFonts w:ascii="Times New Roman" w:hAnsi="Times New Roman" w:cs="Times New Roman"/>
          <w:sz w:val="24"/>
          <w:szCs w:val="24"/>
        </w:rPr>
        <w:t>меньш</w:t>
      </w:r>
      <w:r w:rsidR="00A5212B" w:rsidRPr="008D7951">
        <w:rPr>
          <w:rFonts w:ascii="Times New Roman" w:hAnsi="Times New Roman" w:cs="Times New Roman"/>
          <w:sz w:val="24"/>
          <w:szCs w:val="24"/>
        </w:rPr>
        <w:t>е</w:t>
      </w:r>
      <w:r w:rsidR="006334FA" w:rsidRPr="008D7951">
        <w:rPr>
          <w:rFonts w:ascii="Times New Roman" w:hAnsi="Times New Roman" w:cs="Times New Roman"/>
          <w:sz w:val="24"/>
          <w:szCs w:val="24"/>
        </w:rPr>
        <w:t>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мере,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недальновидным</w:t>
      </w:r>
      <w:r w:rsidR="00245E44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так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сохранение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окружающей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среды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тесно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взаимосвязано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5212B" w:rsidRPr="008D7951">
        <w:rPr>
          <w:rFonts w:ascii="Times New Roman" w:hAnsi="Times New Roman" w:cs="Times New Roman"/>
          <w:sz w:val="24"/>
          <w:szCs w:val="24"/>
        </w:rPr>
        <w:t>названными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Декларации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тремя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направлениями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сотрудничества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334FA" w:rsidRPr="008D7951">
        <w:rPr>
          <w:rFonts w:ascii="Times New Roman" w:hAnsi="Times New Roman" w:cs="Times New Roman"/>
          <w:sz w:val="24"/>
          <w:szCs w:val="24"/>
        </w:rPr>
        <w:t>(</w:t>
      </w:r>
      <w:r w:rsidR="00352419" w:rsidRPr="008D7951">
        <w:rPr>
          <w:rFonts w:ascii="Times New Roman" w:hAnsi="Times New Roman" w:cs="Times New Roman"/>
          <w:sz w:val="24"/>
          <w:szCs w:val="24"/>
        </w:rPr>
        <w:t>политическо</w:t>
      </w:r>
      <w:r w:rsidR="0029174B">
        <w:rPr>
          <w:rFonts w:ascii="Times New Roman" w:hAnsi="Times New Roman" w:cs="Times New Roman"/>
          <w:sz w:val="24"/>
          <w:szCs w:val="24"/>
        </w:rPr>
        <w:t>е</w:t>
      </w:r>
      <w:r w:rsidR="00352419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52419" w:rsidRPr="008D7951">
        <w:rPr>
          <w:rFonts w:ascii="Times New Roman" w:hAnsi="Times New Roman" w:cs="Times New Roman"/>
          <w:sz w:val="24"/>
          <w:szCs w:val="24"/>
        </w:rPr>
        <w:t>экономическо</w:t>
      </w:r>
      <w:r w:rsidR="0029174B">
        <w:rPr>
          <w:rFonts w:ascii="Times New Roman" w:hAnsi="Times New Roman" w:cs="Times New Roman"/>
          <w:sz w:val="24"/>
          <w:szCs w:val="24"/>
        </w:rPr>
        <w:t>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5241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52419" w:rsidRPr="008D7951">
        <w:rPr>
          <w:rFonts w:ascii="Times New Roman" w:hAnsi="Times New Roman" w:cs="Times New Roman"/>
          <w:sz w:val="24"/>
          <w:szCs w:val="24"/>
        </w:rPr>
        <w:t>культурно</w:t>
      </w:r>
      <w:r w:rsidR="0029174B">
        <w:rPr>
          <w:rFonts w:ascii="Times New Roman" w:hAnsi="Times New Roman" w:cs="Times New Roman"/>
          <w:sz w:val="24"/>
          <w:szCs w:val="24"/>
        </w:rPr>
        <w:t>е</w:t>
      </w:r>
      <w:r w:rsidR="006334FA" w:rsidRPr="008D7951">
        <w:rPr>
          <w:rFonts w:ascii="Times New Roman" w:hAnsi="Times New Roman" w:cs="Times New Roman"/>
          <w:sz w:val="24"/>
          <w:szCs w:val="24"/>
        </w:rPr>
        <w:t>)</w:t>
      </w:r>
      <w:r w:rsidR="00245E44" w:rsidRPr="008D7951">
        <w:rPr>
          <w:rFonts w:ascii="Times New Roman" w:hAnsi="Times New Roman" w:cs="Times New Roman"/>
          <w:sz w:val="24"/>
          <w:szCs w:val="24"/>
        </w:rPr>
        <w:t>.</w:t>
      </w:r>
      <w:r w:rsidR="000B2B68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4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Тем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ставя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вопрос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о</w:t>
      </w:r>
      <w:r w:rsidR="0029174B">
        <w:rPr>
          <w:rFonts w:ascii="Times New Roman" w:hAnsi="Times New Roman" w:cs="Times New Roman"/>
          <w:sz w:val="24"/>
          <w:szCs w:val="24"/>
        </w:rPr>
        <w:t>б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инклюзивной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справедливой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экономической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глобализации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(</w:t>
      </w:r>
      <w:r w:rsidR="004A270F" w:rsidRPr="008D7951">
        <w:rPr>
          <w:rFonts w:ascii="Times New Roman" w:hAnsi="Times New Roman" w:cs="Times New Roman"/>
          <w:sz w:val="24"/>
          <w:szCs w:val="24"/>
        </w:rPr>
        <w:t>пункт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6)</w:t>
      </w:r>
      <w:r w:rsidR="00B00FC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A270F" w:rsidRPr="008D7951">
        <w:rPr>
          <w:rFonts w:ascii="Times New Roman" w:hAnsi="Times New Roman" w:cs="Times New Roman"/>
          <w:sz w:val="24"/>
          <w:szCs w:val="24"/>
        </w:rPr>
        <w:t>руководители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45E44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должны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понимать</w:t>
      </w:r>
      <w:r w:rsidR="00B00FC2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экономическая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глобализация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A270F" w:rsidRPr="008D7951">
        <w:rPr>
          <w:rFonts w:ascii="Times New Roman" w:hAnsi="Times New Roman" w:cs="Times New Roman"/>
          <w:sz w:val="24"/>
          <w:szCs w:val="24"/>
        </w:rPr>
        <w:t>развивается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тесной</w:t>
      </w:r>
      <w:r w:rsidR="0029174B">
        <w:rPr>
          <w:rFonts w:ascii="Times New Roman" w:hAnsi="Times New Roman" w:cs="Times New Roman"/>
          <w:sz w:val="24"/>
          <w:szCs w:val="24"/>
        </w:rPr>
        <w:t xml:space="preserve"> </w:t>
      </w:r>
      <w:r w:rsidR="004A270F" w:rsidRPr="008D7951">
        <w:rPr>
          <w:rFonts w:ascii="Times New Roman" w:hAnsi="Times New Roman" w:cs="Times New Roman"/>
          <w:sz w:val="24"/>
          <w:szCs w:val="24"/>
        </w:rPr>
        <w:t>зависимости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изменений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A270F" w:rsidRPr="008D7951">
        <w:rPr>
          <w:rFonts w:ascii="Times New Roman" w:hAnsi="Times New Roman" w:cs="Times New Roman"/>
          <w:sz w:val="24"/>
          <w:szCs w:val="24"/>
        </w:rPr>
        <w:t>воздействия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экономику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обществ</w:t>
      </w:r>
      <w:r w:rsidR="00B00FC2" w:rsidRPr="008D7951">
        <w:rPr>
          <w:rFonts w:ascii="Times New Roman" w:hAnsi="Times New Roman" w:cs="Times New Roman"/>
          <w:sz w:val="24"/>
          <w:szCs w:val="24"/>
        </w:rPr>
        <w:t>енную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E39D5" w:rsidRPr="008D7951">
        <w:rPr>
          <w:rFonts w:ascii="Times New Roman" w:hAnsi="Times New Roman" w:cs="Times New Roman"/>
          <w:sz w:val="24"/>
          <w:szCs w:val="24"/>
        </w:rPr>
        <w:t>жизнь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A1286" w:rsidRPr="008D7951">
        <w:rPr>
          <w:rFonts w:ascii="Times New Roman" w:hAnsi="Times New Roman" w:cs="Times New Roman"/>
          <w:sz w:val="24"/>
          <w:szCs w:val="24"/>
        </w:rPr>
        <w:t>с</w:t>
      </w:r>
      <w:r w:rsidR="002A432A" w:rsidRPr="008D7951">
        <w:rPr>
          <w:rFonts w:ascii="Times New Roman" w:hAnsi="Times New Roman" w:cs="Times New Roman"/>
          <w:sz w:val="24"/>
          <w:szCs w:val="24"/>
        </w:rPr>
        <w:t>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БРИК</w:t>
      </w:r>
      <w:r w:rsidR="00BA1286" w:rsidRPr="008D7951">
        <w:rPr>
          <w:rFonts w:ascii="Times New Roman" w:hAnsi="Times New Roman" w:cs="Times New Roman"/>
          <w:sz w:val="24"/>
          <w:szCs w:val="24"/>
        </w:rPr>
        <w:t>С.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Можно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констатировать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высокой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долей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соответствия,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идеологическим,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геополитическим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даже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экономическим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лидером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переходе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политике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безопасности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является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руководитель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которого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многих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выступлениях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использует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новое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понятие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говорит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необходимости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построения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«экологической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2A" w:rsidRPr="008D7951">
        <w:rPr>
          <w:rFonts w:ascii="Times New Roman" w:hAnsi="Times New Roman" w:cs="Times New Roman"/>
          <w:sz w:val="24"/>
          <w:szCs w:val="24"/>
        </w:rPr>
        <w:t>цивилизации».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Впервые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этот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термин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употребил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председатель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КНР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Ху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Цзиньтао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XVII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Всекитайском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съезде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КПК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2007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г.,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«в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2015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был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принят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Общий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план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реформирования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системы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цивилизации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21E4A" w:rsidRPr="008D7951">
        <w:rPr>
          <w:rFonts w:ascii="Times New Roman" w:hAnsi="Times New Roman" w:cs="Times New Roman"/>
          <w:sz w:val="24"/>
          <w:szCs w:val="24"/>
        </w:rPr>
        <w:t>Китая»</w:t>
      </w:r>
      <w:r w:rsidR="00A92D68" w:rsidRPr="008D7951">
        <w:rPr>
          <w:rFonts w:ascii="Times New Roman" w:hAnsi="Times New Roman" w:cs="Times New Roman"/>
          <w:sz w:val="24"/>
          <w:szCs w:val="24"/>
        </w:rPr>
        <w:t>.</w:t>
      </w:r>
      <w:r w:rsidR="00A92D68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5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7D6" w:rsidRPr="008D7951" w:rsidRDefault="005D4488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Все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относятся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92D68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92D68" w:rsidRPr="008D7951">
        <w:rPr>
          <w:rFonts w:ascii="Times New Roman" w:hAnsi="Times New Roman" w:cs="Times New Roman"/>
          <w:sz w:val="24"/>
          <w:szCs w:val="24"/>
        </w:rPr>
        <w:t>развивающимся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соответствии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решением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статусе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Экономическом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Социальном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Совете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ООН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основании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имеют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привилегии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финансировании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A92D68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категории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менялись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92D68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да</w:t>
      </w:r>
      <w:r w:rsidR="00B35F5E" w:rsidRPr="008D7951">
        <w:rPr>
          <w:rFonts w:ascii="Times New Roman" w:hAnsi="Times New Roman" w:cs="Times New Roman"/>
          <w:sz w:val="24"/>
          <w:szCs w:val="24"/>
        </w:rPr>
        <w:t>т</w:t>
      </w:r>
      <w:r w:rsidRPr="008D7951">
        <w:rPr>
          <w:rFonts w:ascii="Times New Roman" w:hAnsi="Times New Roman" w:cs="Times New Roman"/>
          <w:sz w:val="24"/>
          <w:szCs w:val="24"/>
        </w:rPr>
        <w:t>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разработки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1992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г.,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считаться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адекватны</w:t>
      </w:r>
      <w:r w:rsidR="00AA6002" w:rsidRPr="008D7951">
        <w:rPr>
          <w:rFonts w:ascii="Times New Roman" w:hAnsi="Times New Roman" w:cs="Times New Roman"/>
          <w:sz w:val="24"/>
          <w:szCs w:val="24"/>
        </w:rPr>
        <w:t>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через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33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чаще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успешного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явными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результатами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продвижения.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следствие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подобной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заморозки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A6002" w:rsidRPr="008D7951">
        <w:rPr>
          <w:rFonts w:ascii="Times New Roman" w:hAnsi="Times New Roman" w:cs="Times New Roman"/>
          <w:sz w:val="24"/>
          <w:szCs w:val="24"/>
        </w:rPr>
        <w:t>категорий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объём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душу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Китая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превысил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среднеевропейский,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67E3F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67E3F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67E3F" w:rsidRPr="008D7951">
        <w:rPr>
          <w:rFonts w:ascii="Times New Roman" w:hAnsi="Times New Roman" w:cs="Times New Roman"/>
          <w:sz w:val="24"/>
          <w:szCs w:val="24"/>
        </w:rPr>
        <w:t>хочет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такое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ответственности,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ЕС.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Столь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ясен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вопрос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соответствующим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направлением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средств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повестке</w:t>
      </w:r>
      <w:r w:rsidR="00423B48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Так,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2021-2022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гг.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наименее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развитым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выделено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почти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33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млрд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долл.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США,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развивающиеся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страны,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входит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две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группы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(страны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доходом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ниже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среднего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23B4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доходом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выше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среднего)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получил</w:t>
      </w:r>
      <w:r w:rsidR="002C4FC0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раза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больше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98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млрд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долл.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Прежде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объясня</w:t>
      </w:r>
      <w:r w:rsidR="002C4FC0">
        <w:rPr>
          <w:rFonts w:ascii="Times New Roman" w:hAnsi="Times New Roman" w:cs="Times New Roman"/>
          <w:sz w:val="24"/>
          <w:szCs w:val="24"/>
        </w:rPr>
        <w:t>ет</w:t>
      </w:r>
      <w:r w:rsidR="009A33FF" w:rsidRPr="008D7951">
        <w:rPr>
          <w:rFonts w:ascii="Times New Roman" w:hAnsi="Times New Roman" w:cs="Times New Roman"/>
          <w:sz w:val="24"/>
          <w:szCs w:val="24"/>
        </w:rPr>
        <w:t>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многочисленностью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населения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развивающихся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где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представлены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Индия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(14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млрд),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которая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стала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крупнейшим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получателем</w:t>
      </w:r>
      <w:r w:rsidR="005464DA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Китай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(3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млрд).</w:t>
      </w:r>
      <w:r w:rsidR="009A33FF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6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считается,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наименее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развитые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недопредставлены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климатическом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финансировании</w:t>
      </w:r>
      <w:r w:rsidR="009A33F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развивающиеся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15D86" w:rsidRPr="008D7951">
        <w:rPr>
          <w:rFonts w:ascii="Times New Roman" w:hAnsi="Times New Roman" w:cs="Times New Roman"/>
          <w:sz w:val="24"/>
          <w:szCs w:val="24"/>
        </w:rPr>
        <w:t>стали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основным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источником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напряженности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переговорах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A33FF" w:rsidRPr="008D7951">
        <w:rPr>
          <w:rFonts w:ascii="Times New Roman" w:hAnsi="Times New Roman" w:cs="Times New Roman"/>
          <w:sz w:val="24"/>
          <w:szCs w:val="24"/>
        </w:rPr>
        <w:t>климату.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Поэтому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такая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богатая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страна,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входящая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расширенный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ОАЭ,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большим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углеродным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следом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подобно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Корее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Катару,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уклоняться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международных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обязательств,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несут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развитые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страны.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Представляется</w:t>
      </w:r>
      <w:r w:rsidR="00987FA4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реформирование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7FA4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эффективнее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начинать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раз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изменений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таких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актуальных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вопросах,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несущих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экономическую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экологическую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нагрузку,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геополитических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проблем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E21BB" w:rsidRPr="008D7951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тех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иных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820C9" w:rsidRPr="008D7951">
        <w:rPr>
          <w:rFonts w:ascii="Times New Roman" w:hAnsi="Times New Roman" w:cs="Times New Roman"/>
          <w:sz w:val="24"/>
          <w:szCs w:val="24"/>
        </w:rPr>
        <w:t>органах.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сами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представители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изменению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климата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считают,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неравенство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потоках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климатического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финансирования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требует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срочно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изменить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мировую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финансовую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438B" w:rsidRPr="008D7951">
        <w:rPr>
          <w:rFonts w:ascii="Times New Roman" w:hAnsi="Times New Roman" w:cs="Times New Roman"/>
          <w:sz w:val="24"/>
          <w:szCs w:val="24"/>
        </w:rPr>
        <w:t>систему.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помнят</w:t>
      </w:r>
      <w:r w:rsidR="002247D6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добровольное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обязательство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высокоразвитых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(</w:t>
      </w:r>
      <w:r w:rsidR="00981994" w:rsidRPr="008D7951">
        <w:rPr>
          <w:rFonts w:ascii="Times New Roman" w:hAnsi="Times New Roman" w:cs="Times New Roman"/>
          <w:sz w:val="24"/>
          <w:szCs w:val="24"/>
        </w:rPr>
        <w:t>богатых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терминологии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СМИ)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принятое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климатическом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саммите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Копенгагене,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ежегодно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выделять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100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млрд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долл.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сокращение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бедных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странах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строго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соблюдалось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2024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эти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обязались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увеличить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эти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выплаты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300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млрд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долл.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ежегодно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2035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247D6" w:rsidRPr="008D7951">
        <w:rPr>
          <w:rFonts w:ascii="Times New Roman" w:hAnsi="Times New Roman" w:cs="Times New Roman"/>
          <w:sz w:val="24"/>
          <w:szCs w:val="24"/>
        </w:rPr>
        <w:t>году.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464DA" w:rsidRPr="008D7951">
        <w:rPr>
          <w:rFonts w:ascii="Times New Roman" w:hAnsi="Times New Roman" w:cs="Times New Roman"/>
          <w:sz w:val="24"/>
          <w:szCs w:val="24"/>
        </w:rPr>
        <w:t>Можно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464DA" w:rsidRPr="008D7951">
        <w:rPr>
          <w:rFonts w:ascii="Times New Roman" w:hAnsi="Times New Roman" w:cs="Times New Roman"/>
          <w:sz w:val="24"/>
          <w:szCs w:val="24"/>
        </w:rPr>
        <w:t>предположить</w:t>
      </w:r>
      <w:r w:rsidR="006F2546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ответ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эту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очередную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инициативу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могли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взять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себя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обязательства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ускорить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выполнение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своих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планов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перехода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безуглеродной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экономике,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приблизив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целям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ЦУР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0A16" w:rsidRPr="008D7951">
        <w:rPr>
          <w:rFonts w:ascii="Times New Roman" w:hAnsi="Times New Roman" w:cs="Times New Roman"/>
          <w:sz w:val="24"/>
          <w:szCs w:val="24"/>
        </w:rPr>
        <w:t>6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ЦУР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13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ООН.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Тем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более,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почти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все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81994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бедные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F2546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F2267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они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тоже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могли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внести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весомую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F2267" w:rsidRPr="008D7951">
        <w:rPr>
          <w:rFonts w:ascii="Times New Roman" w:hAnsi="Times New Roman" w:cs="Times New Roman"/>
          <w:sz w:val="24"/>
          <w:szCs w:val="24"/>
        </w:rPr>
        <w:t>лепту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214287773"/>
      <w:r w:rsidR="008F2267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62F6A" w:rsidRPr="008D7951">
        <w:rPr>
          <w:rFonts w:ascii="Times New Roman" w:hAnsi="Times New Roman" w:cs="Times New Roman"/>
          <w:sz w:val="24"/>
          <w:szCs w:val="24"/>
        </w:rPr>
        <w:t>Глобальный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62F6A" w:rsidRPr="008D7951">
        <w:rPr>
          <w:rFonts w:ascii="Times New Roman" w:hAnsi="Times New Roman" w:cs="Times New Roman"/>
          <w:sz w:val="24"/>
          <w:szCs w:val="24"/>
        </w:rPr>
        <w:t>экологический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62F6A" w:rsidRPr="008D7951">
        <w:rPr>
          <w:rFonts w:ascii="Times New Roman" w:hAnsi="Times New Roman" w:cs="Times New Roman"/>
          <w:sz w:val="24"/>
          <w:szCs w:val="24"/>
        </w:rPr>
        <w:t>фонд.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="002C4FC0">
        <w:rPr>
          <w:rFonts w:ascii="Times New Roman" w:hAnsi="Times New Roman" w:cs="Times New Roman"/>
          <w:sz w:val="24"/>
          <w:szCs w:val="24"/>
        </w:rPr>
        <w:t>Г</w:t>
      </w:r>
      <w:r w:rsidR="007D40E7" w:rsidRPr="008D7951">
        <w:rPr>
          <w:rFonts w:ascii="Times New Roman" w:hAnsi="Times New Roman" w:cs="Times New Roman"/>
          <w:sz w:val="24"/>
          <w:szCs w:val="24"/>
        </w:rPr>
        <w:t>еополитически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геоэкологически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4FC0">
        <w:rPr>
          <w:rFonts w:ascii="Times New Roman" w:hAnsi="Times New Roman" w:cs="Times New Roman"/>
          <w:sz w:val="24"/>
          <w:szCs w:val="24"/>
        </w:rPr>
        <w:t>о</w:t>
      </w:r>
      <w:r w:rsidR="002C4FC0" w:rsidRPr="008D7951">
        <w:rPr>
          <w:rFonts w:ascii="Times New Roman" w:hAnsi="Times New Roman" w:cs="Times New Roman"/>
          <w:sz w:val="24"/>
          <w:szCs w:val="24"/>
        </w:rPr>
        <w:t>собенно</w:t>
      </w:r>
      <w:r w:rsidR="002C4FC0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выгодно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Китаю,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теперь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14C15" w:rsidRPr="008D7951">
        <w:rPr>
          <w:rFonts w:ascii="Times New Roman" w:hAnsi="Times New Roman" w:cs="Times New Roman"/>
          <w:sz w:val="24"/>
          <w:szCs w:val="24"/>
        </w:rPr>
        <w:t>называют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первым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крупным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electrostate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7D40E7" w:rsidRPr="008D7951">
        <w:rPr>
          <w:rFonts w:ascii="Times New Roman" w:hAnsi="Times New Roman" w:cs="Times New Roman"/>
          <w:sz w:val="24"/>
          <w:szCs w:val="24"/>
        </w:rPr>
        <w:t>(«электрогосударство</w:t>
      </w:r>
      <w:r w:rsidR="00AB6D2B" w:rsidRPr="008D7951">
        <w:rPr>
          <w:rFonts w:ascii="Times New Roman" w:hAnsi="Times New Roman" w:cs="Times New Roman"/>
          <w:sz w:val="24"/>
          <w:szCs w:val="24"/>
        </w:rPr>
        <w:t>м»),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превзошел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все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14C15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цепочкам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поставок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чистых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технологий,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продаже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электромобилей,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электрификаци</w:t>
      </w:r>
      <w:r w:rsidR="002C4FC0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лишь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доле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солнечной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ветровой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энергетики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общем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производстве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электроэнергии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стран</w:t>
      </w:r>
      <w:r w:rsidR="00214C15" w:rsidRPr="008D7951">
        <w:rPr>
          <w:rFonts w:ascii="Times New Roman" w:hAnsi="Times New Roman" w:cs="Times New Roman"/>
          <w:sz w:val="24"/>
          <w:szCs w:val="24"/>
        </w:rPr>
        <w:t>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заметно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14C15" w:rsidRPr="008D7951">
        <w:rPr>
          <w:rFonts w:ascii="Times New Roman" w:hAnsi="Times New Roman" w:cs="Times New Roman"/>
          <w:sz w:val="24"/>
          <w:szCs w:val="24"/>
        </w:rPr>
        <w:t>проигрывает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B6D2B" w:rsidRPr="008D7951">
        <w:rPr>
          <w:rFonts w:ascii="Times New Roman" w:hAnsi="Times New Roman" w:cs="Times New Roman"/>
          <w:sz w:val="24"/>
          <w:szCs w:val="24"/>
        </w:rPr>
        <w:t>Евросоюзу.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Такой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вклад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повышенная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экологическая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активность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E38B8" w:rsidRPr="008D7951">
        <w:rPr>
          <w:rFonts w:ascii="Times New Roman" w:hAnsi="Times New Roman" w:cs="Times New Roman"/>
          <w:sz w:val="24"/>
          <w:szCs w:val="24"/>
        </w:rPr>
        <w:t>целом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буд</w:t>
      </w:r>
      <w:r w:rsidR="009E38B8" w:rsidRPr="008D7951">
        <w:rPr>
          <w:rFonts w:ascii="Times New Roman" w:hAnsi="Times New Roman" w:cs="Times New Roman"/>
          <w:sz w:val="24"/>
          <w:szCs w:val="24"/>
        </w:rPr>
        <w:t>у</w:t>
      </w:r>
      <w:r w:rsidR="00BC603E" w:rsidRPr="008D7951">
        <w:rPr>
          <w:rFonts w:ascii="Times New Roman" w:hAnsi="Times New Roman" w:cs="Times New Roman"/>
          <w:sz w:val="24"/>
          <w:szCs w:val="24"/>
        </w:rPr>
        <w:t>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способствовать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снятию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барьеров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геополитического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влияния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отдельных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Китая,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Индии,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России</w:t>
      </w:r>
      <w:r w:rsidR="00BC603E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БРИК</w:t>
      </w:r>
      <w:r w:rsidR="007D40E7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объединения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целом</w:t>
      </w:r>
      <w:r w:rsidR="00BC603E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позиционирующего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себя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важного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игрока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C603E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мировом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3B4D66" w:rsidRPr="008D7951">
        <w:rPr>
          <w:rFonts w:ascii="Times New Roman" w:hAnsi="Times New Roman" w:cs="Times New Roman"/>
          <w:sz w:val="24"/>
          <w:szCs w:val="24"/>
        </w:rPr>
        <w:t>пространстве</w:t>
      </w:r>
      <w:r w:rsidR="00BC603E" w:rsidRPr="008D7951">
        <w:rPr>
          <w:rFonts w:ascii="Times New Roman" w:hAnsi="Times New Roman" w:cs="Times New Roman"/>
          <w:sz w:val="24"/>
          <w:szCs w:val="24"/>
        </w:rPr>
        <w:t>.</w:t>
      </w:r>
    </w:p>
    <w:p w:rsidR="00AB0A16" w:rsidRPr="008D7951" w:rsidRDefault="00AB0A16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Ситуация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экономическим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спадом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результате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пандемии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привела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восходящей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линии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увеличению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добычи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ископаемого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топлива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2023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CO</w:t>
      </w:r>
      <w:r w:rsidR="002C4FC0" w:rsidRPr="002C4FC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2024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достигли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очередного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максимума.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Хотя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Евросоюз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смягчил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правила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«Зелёного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соглашения»,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мировое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общественное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выступает,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напротив,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активизацию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борьбы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глобальным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потеплением.</w:t>
      </w:r>
    </w:p>
    <w:p w:rsidR="006C491D" w:rsidRPr="008D7951" w:rsidRDefault="00AB0A16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Среди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B545A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наиболее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быстро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развивающих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солнечную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ветровую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энергетику,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Бразили</w:t>
      </w:r>
      <w:r w:rsidR="00B545AF" w:rsidRPr="008D7951">
        <w:rPr>
          <w:rFonts w:ascii="Times New Roman" w:hAnsi="Times New Roman" w:cs="Times New Roman"/>
          <w:sz w:val="24"/>
          <w:szCs w:val="24"/>
        </w:rPr>
        <w:t>и</w:t>
      </w:r>
      <w:r w:rsidR="006C491D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Инди</w:t>
      </w:r>
      <w:r w:rsidR="00B545AF" w:rsidRPr="008D7951">
        <w:rPr>
          <w:rFonts w:ascii="Times New Roman" w:hAnsi="Times New Roman" w:cs="Times New Roman"/>
          <w:sz w:val="24"/>
          <w:szCs w:val="24"/>
        </w:rPr>
        <w:t>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Вьетнам</w:t>
      </w:r>
      <w:r w:rsidR="00B545AF" w:rsidRPr="008D7951">
        <w:rPr>
          <w:rFonts w:ascii="Times New Roman" w:hAnsi="Times New Roman" w:cs="Times New Roman"/>
          <w:sz w:val="24"/>
          <w:szCs w:val="24"/>
        </w:rPr>
        <w:t>а</w:t>
      </w:r>
      <w:r w:rsidR="006C491D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две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214004186"/>
      <w:r w:rsidR="00B545AF" w:rsidRPr="008D7951">
        <w:rPr>
          <w:rFonts w:ascii="Times New Roman" w:hAnsi="Times New Roman" w:cs="Times New Roman"/>
          <w:sz w:val="24"/>
          <w:szCs w:val="24"/>
        </w:rPr>
        <w:t>входят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9270E" w:rsidRPr="008D7951">
        <w:rPr>
          <w:rFonts w:ascii="Times New Roman" w:hAnsi="Times New Roman" w:cs="Times New Roman"/>
          <w:sz w:val="24"/>
          <w:szCs w:val="24"/>
        </w:rPr>
        <w:t>Б</w:t>
      </w:r>
      <w:r w:rsidR="00B545AF" w:rsidRPr="008D7951">
        <w:rPr>
          <w:rFonts w:ascii="Times New Roman" w:hAnsi="Times New Roman" w:cs="Times New Roman"/>
          <w:sz w:val="24"/>
          <w:szCs w:val="24"/>
        </w:rPr>
        <w:t>РИКС5,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присоединившаяся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="006C491D" w:rsidRPr="008D7951">
        <w:rPr>
          <w:rFonts w:ascii="Times New Roman" w:hAnsi="Times New Roman" w:cs="Times New Roman"/>
          <w:sz w:val="24"/>
          <w:szCs w:val="24"/>
        </w:rPr>
        <w:t>Эфиопия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относится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бедным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B545A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переходя</w:t>
      </w:r>
      <w:r w:rsidR="00B545AF" w:rsidRPr="008D7951">
        <w:rPr>
          <w:rFonts w:ascii="Times New Roman" w:hAnsi="Times New Roman" w:cs="Times New Roman"/>
          <w:sz w:val="24"/>
          <w:szCs w:val="24"/>
        </w:rPr>
        <w:t>щим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бензиновых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автомобилей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электромобили.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Такие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инициативы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государств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должны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обсуждаться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последующими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выводами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национальных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правительств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это</w:t>
      </w:r>
      <w:r w:rsidR="002C4FC0">
        <w:rPr>
          <w:rFonts w:ascii="Times New Roman" w:hAnsi="Times New Roman" w:cs="Times New Roman"/>
          <w:sz w:val="24"/>
          <w:szCs w:val="24"/>
        </w:rPr>
        <w:t>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межправительственной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организации</w:t>
      </w:r>
      <w:r w:rsidR="00B545AF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увеличить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геополитическое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влияние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545AF" w:rsidRPr="008D7951">
        <w:rPr>
          <w:rFonts w:ascii="Times New Roman" w:hAnsi="Times New Roman" w:cs="Times New Roman"/>
          <w:sz w:val="24"/>
          <w:szCs w:val="24"/>
        </w:rPr>
        <w:t>целом.</w:t>
      </w:r>
    </w:p>
    <w:p w:rsidR="006C491D" w:rsidRPr="008D7951" w:rsidRDefault="00B545AF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Эти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примеры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важный,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частный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случай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общем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заметном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сдвиг</w:t>
      </w:r>
      <w:r w:rsidR="00BD73C9" w:rsidRPr="008D7951">
        <w:rPr>
          <w:rFonts w:ascii="Times New Roman" w:hAnsi="Times New Roman" w:cs="Times New Roman"/>
          <w:sz w:val="24"/>
          <w:szCs w:val="24"/>
        </w:rPr>
        <w:t>е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происходит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сторону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развивающихся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быстроразвивающихся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экономик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наращиванию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использования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эксплуатации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чистой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энергии.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С</w:t>
      </w:r>
      <w:r w:rsidR="006C491D" w:rsidRPr="008D7951">
        <w:rPr>
          <w:rFonts w:ascii="Times New Roman" w:hAnsi="Times New Roman" w:cs="Times New Roman"/>
          <w:sz w:val="24"/>
          <w:szCs w:val="24"/>
        </w:rPr>
        <w:t>читается,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ключом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этому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сдвигу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является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становится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4FC0">
        <w:rPr>
          <w:rFonts w:ascii="Times New Roman" w:hAnsi="Times New Roman" w:cs="Times New Roman"/>
          <w:sz w:val="24"/>
          <w:szCs w:val="24"/>
        </w:rPr>
        <w:t>(</w:t>
      </w:r>
      <w:r w:rsidR="00E0652E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4FC0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стал</w:t>
      </w:r>
      <w:r w:rsidR="002C4FC0">
        <w:rPr>
          <w:rFonts w:ascii="Times New Roman" w:hAnsi="Times New Roman" w:cs="Times New Roman"/>
          <w:sz w:val="24"/>
          <w:szCs w:val="24"/>
        </w:rPr>
        <w:t>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крупнейшим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производителем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оборудования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экспортером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области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возобновляемой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B35F5E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6C491D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стремительно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развивающим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производство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солнечн</w:t>
      </w:r>
      <w:r w:rsidR="00B119E2" w:rsidRPr="008D7951">
        <w:rPr>
          <w:rFonts w:ascii="Times New Roman" w:hAnsi="Times New Roman" w:cs="Times New Roman"/>
          <w:sz w:val="24"/>
          <w:szCs w:val="24"/>
        </w:rPr>
        <w:t>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ветров</w:t>
      </w:r>
      <w:r w:rsidR="00B119E2" w:rsidRPr="008D7951">
        <w:rPr>
          <w:rFonts w:ascii="Times New Roman" w:hAnsi="Times New Roman" w:cs="Times New Roman"/>
          <w:sz w:val="24"/>
          <w:szCs w:val="24"/>
        </w:rPr>
        <w:t>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энергетики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использование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чистой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энергии,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относятся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такие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2C4FC0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наращивающие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производство</w:t>
      </w:r>
      <w:r w:rsidR="002C4FC0">
        <w:rPr>
          <w:rFonts w:ascii="Times New Roman" w:hAnsi="Times New Roman" w:cs="Times New Roman"/>
          <w:sz w:val="24"/>
          <w:szCs w:val="24"/>
        </w:rPr>
        <w:t xml:space="preserve"> (</w:t>
      </w:r>
      <w:r w:rsidR="00BD73C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без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доминирующее</w:t>
      </w:r>
      <w:r w:rsidR="002C4FC0">
        <w:rPr>
          <w:rFonts w:ascii="Times New Roman" w:hAnsi="Times New Roman" w:cs="Times New Roman"/>
          <w:sz w:val="24"/>
          <w:szCs w:val="24"/>
        </w:rPr>
        <w:t>)</w:t>
      </w:r>
      <w:r w:rsidR="00BD73C9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игнорируя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показатели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Повестки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дня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области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устойчивого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период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2030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года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D73C9" w:rsidRPr="008D7951">
        <w:rPr>
          <w:rFonts w:ascii="Times New Roman" w:hAnsi="Times New Roman" w:cs="Times New Roman"/>
          <w:sz w:val="24"/>
          <w:szCs w:val="24"/>
        </w:rPr>
        <w:t>устанавливая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5F5E" w:rsidRPr="008D7951">
        <w:rPr>
          <w:rFonts w:ascii="Times New Roman" w:hAnsi="Times New Roman" w:cs="Times New Roman"/>
          <w:sz w:val="24"/>
          <w:szCs w:val="24"/>
        </w:rPr>
        <w:t>свои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35F5E" w:rsidRPr="008D7951">
        <w:rPr>
          <w:rFonts w:ascii="Times New Roman" w:hAnsi="Times New Roman" w:cs="Times New Roman"/>
          <w:sz w:val="24"/>
          <w:szCs w:val="24"/>
        </w:rPr>
        <w:t>сроки</w:t>
      </w:r>
      <w:r w:rsidR="006C491D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C491D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Бразилия,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Индия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Индонезия</w:t>
      </w:r>
      <w:r w:rsidR="00B119E2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также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нарушая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сроки</w:t>
      </w:r>
      <w:r w:rsidR="002C4FC0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установленные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ЦУР,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достиг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высокой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доли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новой</w:t>
      </w:r>
      <w:r w:rsidR="00620411" w:rsidRPr="008D7951">
        <w:rPr>
          <w:rFonts w:ascii="Times New Roman" w:hAnsi="Times New Roman" w:cs="Times New Roman"/>
          <w:sz w:val="24"/>
          <w:szCs w:val="24"/>
        </w:rPr>
        <w:t>/чистой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общем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объеме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её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производства</w:t>
      </w:r>
      <w:r w:rsidR="00620411" w:rsidRPr="008D7951">
        <w:rPr>
          <w:rFonts w:ascii="Times New Roman" w:hAnsi="Times New Roman" w:cs="Times New Roman"/>
          <w:sz w:val="24"/>
          <w:szCs w:val="24"/>
        </w:rPr>
        <w:t>: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четверти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электроэнергии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середине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2025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г.</w:t>
      </w:r>
      <w:r w:rsidR="00AF78BE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7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обеспечива</w:t>
      </w:r>
      <w:r w:rsidR="00AF252C" w:rsidRPr="008D7951">
        <w:rPr>
          <w:rFonts w:ascii="Times New Roman" w:hAnsi="Times New Roman" w:cs="Times New Roman"/>
          <w:sz w:val="24"/>
          <w:szCs w:val="24"/>
        </w:rPr>
        <w:t>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Китае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ветровой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солнечной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620411" w:rsidRPr="008D7951">
        <w:rPr>
          <w:rFonts w:ascii="Times New Roman" w:hAnsi="Times New Roman" w:cs="Times New Roman"/>
          <w:sz w:val="24"/>
          <w:szCs w:val="24"/>
        </w:rPr>
        <w:t>энергией</w:t>
      </w:r>
      <w:r w:rsidR="00AF252C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делая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эту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страну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одним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252C" w:rsidRPr="008D7951">
        <w:rPr>
          <w:rFonts w:ascii="Times New Roman" w:hAnsi="Times New Roman" w:cs="Times New Roman"/>
          <w:sz w:val="24"/>
          <w:szCs w:val="24"/>
        </w:rPr>
        <w:t>мировых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флагманов</w:t>
      </w:r>
      <w:r w:rsidR="00AF252C" w:rsidRPr="008D7951">
        <w:rPr>
          <w:rFonts w:ascii="Times New Roman" w:hAnsi="Times New Roman" w:cs="Times New Roman"/>
          <w:sz w:val="24"/>
          <w:szCs w:val="24"/>
        </w:rPr>
        <w:t>.</w:t>
      </w:r>
    </w:p>
    <w:p w:rsidR="00B13B7A" w:rsidRPr="008D7951" w:rsidRDefault="00B13B7A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caps/>
          <w:sz w:val="24"/>
          <w:szCs w:val="24"/>
        </w:rPr>
        <w:t>с</w:t>
      </w:r>
      <w:r w:rsidR="005F300B" w:rsidRPr="008D7951">
        <w:rPr>
          <w:rFonts w:ascii="Times New Roman" w:hAnsi="Times New Roman" w:cs="Times New Roman"/>
          <w:sz w:val="24"/>
          <w:szCs w:val="24"/>
        </w:rPr>
        <w:t>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2036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признается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мировой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феномен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«</w:t>
      </w:r>
      <w:r w:rsidRPr="008D7951">
        <w:rPr>
          <w:rFonts w:ascii="Times New Roman" w:hAnsi="Times New Roman" w:cs="Times New Roman"/>
          <w:sz w:val="24"/>
          <w:szCs w:val="24"/>
        </w:rPr>
        <w:t>Глобального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энергоперехода</w:t>
      </w:r>
      <w:r w:rsidR="005F300B" w:rsidRPr="008D7951">
        <w:rPr>
          <w:rFonts w:ascii="Times New Roman" w:hAnsi="Times New Roman" w:cs="Times New Roman"/>
          <w:sz w:val="24"/>
          <w:szCs w:val="24"/>
        </w:rPr>
        <w:t>»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первостепенную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4FC0">
        <w:rPr>
          <w:rFonts w:ascii="Times New Roman" w:hAnsi="Times New Roman" w:cs="Times New Roman"/>
          <w:sz w:val="24"/>
          <w:szCs w:val="24"/>
        </w:rPr>
        <w:t>значимость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приобретает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переориентация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ресурсов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региональном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уровне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формирования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экономики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предложения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низким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уровнем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выбросов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парниковых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газов.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Почему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эта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переориентация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относится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региональному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уровню</w:t>
      </w:r>
      <w:r w:rsidR="00F67A31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прежде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региональному</w:t>
      </w:r>
      <w:r w:rsidR="005F300B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остается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F67A31" w:rsidRPr="008D7951">
        <w:rPr>
          <w:rFonts w:ascii="Times New Roman" w:hAnsi="Times New Roman" w:cs="Times New Roman"/>
          <w:sz w:val="24"/>
          <w:szCs w:val="24"/>
        </w:rPr>
        <w:t>скобками.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Политика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федеративного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государства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почему-то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сводится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лишь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обеспечению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защищенности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стихийных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бедствий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климатических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рисков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опорных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населенных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пункт</w:t>
      </w:r>
      <w:r w:rsidR="002C4FC0">
        <w:rPr>
          <w:rFonts w:ascii="Times New Roman" w:hAnsi="Times New Roman" w:cs="Times New Roman"/>
          <w:sz w:val="24"/>
          <w:szCs w:val="24"/>
        </w:rPr>
        <w:t>ов</w:t>
      </w:r>
      <w:r w:rsidR="009C0C88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C0C88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C4FC0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политике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охраны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окружающей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среды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F300B" w:rsidRPr="008D7951">
        <w:rPr>
          <w:rFonts w:ascii="Times New Roman" w:hAnsi="Times New Roman" w:cs="Times New Roman"/>
          <w:sz w:val="24"/>
          <w:szCs w:val="24"/>
        </w:rPr>
        <w:t>национальном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1E1EE1" w:rsidRPr="008D7951">
        <w:rPr>
          <w:rFonts w:ascii="Times New Roman" w:hAnsi="Times New Roman" w:cs="Times New Roman"/>
          <w:sz w:val="24"/>
          <w:szCs w:val="24"/>
        </w:rPr>
        <w:t>уровне</w:t>
      </w:r>
      <w:r w:rsidR="002C4FC0">
        <w:rPr>
          <w:rFonts w:ascii="Times New Roman" w:hAnsi="Times New Roman" w:cs="Times New Roman"/>
          <w:sz w:val="24"/>
          <w:szCs w:val="24"/>
        </w:rPr>
        <w:t>.</w:t>
      </w:r>
    </w:p>
    <w:p w:rsidR="00963BF6" w:rsidRPr="008D7951" w:rsidRDefault="00963BF6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Возникло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еще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противоречие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</w:t>
      </w:r>
      <w:r w:rsidR="00681B7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группы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связанное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Китая.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Имея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насыщенный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внутренний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рынок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оборудовани</w:t>
      </w:r>
      <w:r w:rsidR="00B119E2" w:rsidRPr="008D7951">
        <w:rPr>
          <w:rFonts w:ascii="Times New Roman" w:hAnsi="Times New Roman" w:cs="Times New Roman"/>
          <w:sz w:val="24"/>
          <w:szCs w:val="24"/>
        </w:rPr>
        <w:t>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производству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214989457"/>
      <w:r w:rsidRPr="008D7951">
        <w:rPr>
          <w:rFonts w:ascii="Times New Roman" w:hAnsi="Times New Roman" w:cs="Times New Roman"/>
          <w:sz w:val="24"/>
          <w:szCs w:val="24"/>
        </w:rPr>
        <w:t>чистой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энергии</w:t>
      </w:r>
      <w:bookmarkEnd w:id="17"/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B119E2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стала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основным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инвестором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экспортёром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развивающи</w:t>
      </w:r>
      <w:r w:rsidR="00681B70" w:rsidRPr="008D7951">
        <w:rPr>
          <w:rFonts w:ascii="Times New Roman" w:hAnsi="Times New Roman" w:cs="Times New Roman"/>
          <w:sz w:val="24"/>
          <w:szCs w:val="24"/>
        </w:rPr>
        <w:t>е</w:t>
      </w:r>
      <w:r w:rsidR="00AF78BE" w:rsidRPr="008D7951">
        <w:rPr>
          <w:rFonts w:ascii="Times New Roman" w:hAnsi="Times New Roman" w:cs="Times New Roman"/>
          <w:sz w:val="24"/>
          <w:szCs w:val="24"/>
        </w:rPr>
        <w:t>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стран</w:t>
      </w:r>
      <w:r w:rsidR="00681B70" w:rsidRPr="008D7951">
        <w:rPr>
          <w:rFonts w:ascii="Times New Roman" w:hAnsi="Times New Roman" w:cs="Times New Roman"/>
          <w:sz w:val="24"/>
          <w:szCs w:val="24"/>
        </w:rPr>
        <w:t>ы</w:t>
      </w:r>
      <w:r w:rsidR="00AF78BE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одной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стороны</w:t>
      </w:r>
      <w:r w:rsidR="00AF78BE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помогает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этим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переходе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AF78BE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другой,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приводит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усилению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экономической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зависимости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AF78BE" w:rsidRPr="008D7951">
        <w:rPr>
          <w:rFonts w:ascii="Times New Roman" w:hAnsi="Times New Roman" w:cs="Times New Roman"/>
          <w:sz w:val="24"/>
          <w:szCs w:val="24"/>
        </w:rPr>
        <w:t>Китая,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обременяя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долговыми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обязательствами</w:t>
      </w:r>
      <w:r w:rsidR="00AF78BE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связи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международные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эксперты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выдвинули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тезис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том,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промышленная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политика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Китая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формирует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траекторию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ряда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самых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быстрорастущих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экономик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мира,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числе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B119E2" w:rsidRPr="008D7951">
        <w:rPr>
          <w:rFonts w:ascii="Times New Roman" w:hAnsi="Times New Roman" w:cs="Times New Roman"/>
          <w:sz w:val="24"/>
          <w:szCs w:val="24"/>
        </w:rPr>
        <w:t>входящих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A44B5" w:rsidRPr="008D7951">
        <w:rPr>
          <w:rFonts w:ascii="Times New Roman" w:hAnsi="Times New Roman" w:cs="Times New Roman"/>
          <w:sz w:val="24"/>
          <w:szCs w:val="24"/>
        </w:rPr>
        <w:t>Б</w:t>
      </w:r>
      <w:r w:rsidR="002A43C8" w:rsidRPr="008D7951">
        <w:rPr>
          <w:rFonts w:ascii="Times New Roman" w:hAnsi="Times New Roman" w:cs="Times New Roman"/>
          <w:sz w:val="24"/>
          <w:szCs w:val="24"/>
        </w:rPr>
        <w:t>РИКС.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поскольку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речь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идет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самом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вероятном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сценарии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будущего,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усилени</w:t>
      </w:r>
      <w:r w:rsidR="009F45FB">
        <w:rPr>
          <w:rFonts w:ascii="Times New Roman" w:hAnsi="Times New Roman" w:cs="Times New Roman"/>
          <w:sz w:val="24"/>
          <w:szCs w:val="24"/>
        </w:rPr>
        <w:t>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доминирующих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позиций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Китая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A43C8" w:rsidRPr="008D7951">
        <w:rPr>
          <w:rFonts w:ascii="Times New Roman" w:hAnsi="Times New Roman" w:cs="Times New Roman"/>
          <w:sz w:val="24"/>
          <w:szCs w:val="24"/>
        </w:rPr>
        <w:t>БРИКС+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становится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45FB">
        <w:rPr>
          <w:rFonts w:ascii="Times New Roman" w:hAnsi="Times New Roman" w:cs="Times New Roman"/>
          <w:sz w:val="24"/>
          <w:szCs w:val="24"/>
        </w:rPr>
        <w:t>весьма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516C5" w:rsidRPr="008D7951">
        <w:rPr>
          <w:rFonts w:ascii="Times New Roman" w:hAnsi="Times New Roman" w:cs="Times New Roman"/>
          <w:sz w:val="24"/>
          <w:szCs w:val="24"/>
        </w:rPr>
        <w:t>правдоподобны</w:t>
      </w:r>
      <w:r w:rsidR="00E0652E" w:rsidRPr="008D7951">
        <w:rPr>
          <w:rFonts w:ascii="Times New Roman" w:hAnsi="Times New Roman" w:cs="Times New Roman"/>
          <w:sz w:val="24"/>
          <w:szCs w:val="24"/>
        </w:rPr>
        <w:t>м.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8B7" w:rsidRPr="008D7951" w:rsidRDefault="00534E91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Команда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ученных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экспертов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805EFB" w:rsidRPr="008D7951">
        <w:rPr>
          <w:rFonts w:ascii="Times New Roman" w:hAnsi="Times New Roman" w:cs="Times New Roman"/>
          <w:sz w:val="24"/>
          <w:szCs w:val="24"/>
        </w:rPr>
        <w:t>20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ЮАР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подготовила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обобщающий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доклад,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придерживается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довольно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своеобразной,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распространённой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точки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зрения.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805EFB" w:rsidRPr="008D7951">
        <w:rPr>
          <w:rFonts w:ascii="Times New Roman" w:hAnsi="Times New Roman" w:cs="Times New Roman"/>
          <w:sz w:val="24"/>
          <w:szCs w:val="24"/>
        </w:rPr>
        <w:t>ней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утверждается,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время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перехода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возобновляемую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энергию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особое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внимание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должно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уделяться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сообществам,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исторически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зависящим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отраслей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промышленности,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использующих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ископаемое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топливо,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качестве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примера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сложной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проблемы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приводят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Индию.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игнорируется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исторический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подход,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свидетельствующий,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все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проходили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этап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высокой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зависимости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затем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нефти,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газа.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Поэтому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нынешнее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стремление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Индии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одновременно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наращивать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добычу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использование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применение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энергии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списываться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сложность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проблемы.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будет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осложнять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сотрудничество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зеленом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переходе.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</w:t>
      </w:r>
      <w:r w:rsidR="00C448B7" w:rsidRPr="008D7951">
        <w:rPr>
          <w:rFonts w:ascii="Times New Roman" w:hAnsi="Times New Roman" w:cs="Times New Roman"/>
          <w:sz w:val="24"/>
          <w:szCs w:val="24"/>
        </w:rPr>
        <w:t>ри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должна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осознавать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учитывать,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новые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страны,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E0652E" w:rsidRPr="008D7951">
        <w:rPr>
          <w:rFonts w:ascii="Times New Roman" w:hAnsi="Times New Roman" w:cs="Times New Roman"/>
          <w:sz w:val="24"/>
          <w:szCs w:val="24"/>
        </w:rPr>
        <w:t>присоединившиеся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рассматрива</w:t>
      </w:r>
      <w:r w:rsidRPr="008D7951">
        <w:rPr>
          <w:rFonts w:ascii="Times New Roman" w:hAnsi="Times New Roman" w:cs="Times New Roman"/>
          <w:sz w:val="24"/>
          <w:szCs w:val="24"/>
        </w:rPr>
        <w:t>ю</w:t>
      </w:r>
      <w:r w:rsidR="00C448B7" w:rsidRPr="008D7951">
        <w:rPr>
          <w:rFonts w:ascii="Times New Roman" w:hAnsi="Times New Roman" w:cs="Times New Roman"/>
          <w:sz w:val="24"/>
          <w:szCs w:val="24"/>
        </w:rPr>
        <w:t>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прежде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платформу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сотрудничества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со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странами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Глобального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448B7" w:rsidRPr="008D7951">
        <w:rPr>
          <w:rFonts w:ascii="Times New Roman" w:hAnsi="Times New Roman" w:cs="Times New Roman"/>
          <w:sz w:val="24"/>
          <w:szCs w:val="24"/>
        </w:rPr>
        <w:t>Юга.</w:t>
      </w:r>
    </w:p>
    <w:p w:rsidR="009D29C4" w:rsidRPr="008D7951" w:rsidRDefault="009D29C4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Бразилия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выступила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инициативой,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принятие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которой,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мнению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большинства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специалистов</w:t>
      </w:r>
      <w:r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сделать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Hlk214989648"/>
      <w:r w:rsidRPr="008D7951">
        <w:rPr>
          <w:rFonts w:ascii="Times New Roman" w:hAnsi="Times New Roman" w:cs="Times New Roman"/>
          <w:sz w:val="24"/>
          <w:szCs w:val="24"/>
        </w:rPr>
        <w:t>COP30</w:t>
      </w:r>
      <w:bookmarkEnd w:id="18"/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поворотным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моментом.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создание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добровольной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коалиции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участвующих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углеродных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рынках,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результаты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инициативы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зависят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обязательного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участия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крупнейших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стран-эмитентов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объединений.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</w:t>
      </w:r>
      <w:r w:rsidR="009F45FB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видно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приведенной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таблицы</w:t>
      </w:r>
      <w:r w:rsidR="009F45FB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прежде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всего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встречи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E3386"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2E3386" w:rsidRPr="008D7951">
        <w:rPr>
          <w:rFonts w:ascii="Times New Roman" w:hAnsi="Times New Roman" w:cs="Times New Roman"/>
          <w:sz w:val="24"/>
          <w:szCs w:val="24"/>
        </w:rPr>
        <w:t>делали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никаких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заявлений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высказываний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отношении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инициативе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даже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поддержки.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того,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является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единственной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страно</w:t>
      </w:r>
      <w:r w:rsidR="00525D35" w:rsidRPr="008D7951">
        <w:rPr>
          <w:rFonts w:ascii="Times New Roman" w:hAnsi="Times New Roman" w:cs="Times New Roman"/>
          <w:sz w:val="24"/>
          <w:szCs w:val="24"/>
        </w:rPr>
        <w:t>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из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БРИКС5,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имеет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внутреннего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углеродного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рынка</w:t>
      </w:r>
      <w:r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Примет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участие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создании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недостающего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звена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глобальной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рынка/платы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выбросы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углерода</w:t>
      </w:r>
      <w:r w:rsidR="00102C76" w:rsidRPr="008D7951">
        <w:rPr>
          <w:rFonts w:ascii="Times New Roman" w:hAnsi="Times New Roman" w:cs="Times New Roman"/>
          <w:sz w:val="24"/>
          <w:szCs w:val="24"/>
        </w:rPr>
        <w:t>?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будет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видна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просто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позиция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будущие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возможности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самого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влиятельного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525D35" w:rsidRPr="008D7951">
        <w:rPr>
          <w:rFonts w:ascii="Times New Roman" w:hAnsi="Times New Roman" w:cs="Times New Roman"/>
          <w:sz w:val="24"/>
          <w:szCs w:val="24"/>
        </w:rPr>
        <w:t>международного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объединения.</w:t>
      </w:r>
    </w:p>
    <w:p w:rsidR="001570AB" w:rsidRPr="008D7951" w:rsidRDefault="001570AB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отмечалось,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отличие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доктрины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Российской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Федерации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её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«регионы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оказались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дальновидными»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отношении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сохранения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биологического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разнообразия</w:t>
      </w:r>
      <w:r w:rsidR="002E3386" w:rsidRPr="008D7951">
        <w:rPr>
          <w:rFonts w:ascii="Times New Roman" w:hAnsi="Times New Roman" w:cs="Times New Roman"/>
          <w:sz w:val="24"/>
          <w:szCs w:val="24"/>
        </w:rPr>
        <w:t>.</w:t>
      </w:r>
      <w:r w:rsidR="002E3386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8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связи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новым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подходом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Health</w:t>
      </w:r>
      <w:r w:rsidRPr="008D7951">
        <w:rPr>
          <w:rFonts w:ascii="Times New Roman" w:hAnsi="Times New Roman" w:cs="Times New Roman"/>
          <w:sz w:val="24"/>
          <w:szCs w:val="24"/>
        </w:rPr>
        <w:t>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выявления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глубоких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взаимосвязей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между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биоразнообразием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здоровьем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человека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необходимы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кроме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междисциплинарных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усилий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национальном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уровне,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может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существенно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продвинуть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возможности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решения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региональных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проблем,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такие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усилия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рамках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0AB" w:rsidRPr="008D7951" w:rsidRDefault="00E924ED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финансирование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источник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зеленой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идёт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борьб</w:t>
      </w:r>
      <w:r w:rsidR="009F45FB">
        <w:rPr>
          <w:rFonts w:ascii="Times New Roman" w:hAnsi="Times New Roman" w:cs="Times New Roman"/>
          <w:sz w:val="24"/>
          <w:szCs w:val="24"/>
        </w:rPr>
        <w:t>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групп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крупные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суммы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климатического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финансирования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получают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Китай,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Саудовская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Аравия,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ОАЭ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другие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богатые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нефтяные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государства.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хотя,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данным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ООН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ОЭСР,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миллиарды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долларов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государственных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средств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направляются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борьбу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глобальным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потеплением,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перемещая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капитал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богатых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загрязнителей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уязвимые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страны,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помогая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очистить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свою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экономику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адаптироваться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изменениям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климата,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БРИКС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могла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сыграть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климатическом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финансировании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существенную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роль.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начало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новой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могл</w:t>
      </w:r>
      <w:r w:rsidR="00D378E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дать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сам</w:t>
      </w:r>
      <w:r w:rsidR="00D378E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БРИКС+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результате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пересмотра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потоков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этого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финансирования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«богатых»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ОАЭ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D378E8" w:rsidRPr="008D7951">
        <w:rPr>
          <w:rFonts w:ascii="Times New Roman" w:hAnsi="Times New Roman" w:cs="Times New Roman"/>
          <w:sz w:val="24"/>
          <w:szCs w:val="24"/>
        </w:rPr>
        <w:t>Китая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пользу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275C4" w:rsidRPr="008D7951">
        <w:rPr>
          <w:rFonts w:ascii="Times New Roman" w:hAnsi="Times New Roman" w:cs="Times New Roman"/>
          <w:sz w:val="24"/>
          <w:szCs w:val="24"/>
        </w:rPr>
        <w:t>«</w:t>
      </w:r>
      <w:r w:rsidR="00D378E8" w:rsidRPr="008D7951">
        <w:rPr>
          <w:rFonts w:ascii="Times New Roman" w:hAnsi="Times New Roman" w:cs="Times New Roman"/>
          <w:sz w:val="24"/>
          <w:szCs w:val="24"/>
        </w:rPr>
        <w:t>бедной</w:t>
      </w:r>
      <w:r w:rsidR="000275C4" w:rsidRPr="008D7951">
        <w:rPr>
          <w:rFonts w:ascii="Times New Roman" w:hAnsi="Times New Roman" w:cs="Times New Roman"/>
          <w:sz w:val="24"/>
          <w:szCs w:val="24"/>
        </w:rPr>
        <w:t>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B20F8" w:rsidRPr="008D7951">
        <w:rPr>
          <w:rFonts w:ascii="Times New Roman" w:hAnsi="Times New Roman" w:cs="Times New Roman"/>
          <w:sz w:val="24"/>
          <w:szCs w:val="24"/>
        </w:rPr>
        <w:t>Эфиопии</w:t>
      </w:r>
      <w:r w:rsidR="000275C4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275C4" w:rsidRPr="008D7951">
        <w:rPr>
          <w:rFonts w:ascii="Times New Roman" w:hAnsi="Times New Roman" w:cs="Times New Roman"/>
          <w:sz w:val="24"/>
          <w:szCs w:val="24"/>
        </w:rPr>
        <w:t>Египта</w:t>
      </w:r>
      <w:r w:rsidR="00C22863" w:rsidRPr="008D7951">
        <w:rPr>
          <w:rFonts w:ascii="Times New Roman" w:hAnsi="Times New Roman" w:cs="Times New Roman"/>
          <w:sz w:val="24"/>
          <w:szCs w:val="24"/>
        </w:rPr>
        <w:t>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Кроме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того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caps/>
          <w:sz w:val="24"/>
          <w:szCs w:val="24"/>
        </w:rPr>
        <w:t>брикс</w:t>
      </w:r>
      <w:r w:rsidR="00C22863" w:rsidRPr="008D7951">
        <w:rPr>
          <w:rFonts w:ascii="Times New Roman" w:hAnsi="Times New Roman" w:cs="Times New Roman"/>
          <w:sz w:val="24"/>
          <w:szCs w:val="24"/>
        </w:rPr>
        <w:t>+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могла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играть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более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весомую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роль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изменении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позиции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групп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G7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04E20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04E20" w:rsidRPr="008D7951">
        <w:rPr>
          <w:rFonts w:ascii="Times New Roman" w:hAnsi="Times New Roman" w:cs="Times New Roman"/>
          <w:sz w:val="24"/>
          <w:szCs w:val="24"/>
        </w:rPr>
        <w:t>особенно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bookmarkStart w:id="20" w:name="_Hlk214437469"/>
      <w:r w:rsidR="00004E20" w:rsidRPr="008D795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004E20" w:rsidRPr="008D7951">
        <w:rPr>
          <w:rFonts w:ascii="Times New Roman" w:hAnsi="Times New Roman" w:cs="Times New Roman"/>
          <w:sz w:val="24"/>
          <w:szCs w:val="24"/>
        </w:rPr>
        <w:t>20</w:t>
      </w:r>
      <w:bookmarkEnd w:id="20"/>
      <w:r w:rsidR="00C22863" w:rsidRPr="008D7951">
        <w:rPr>
          <w:rFonts w:ascii="Times New Roman" w:hAnsi="Times New Roman" w:cs="Times New Roman"/>
          <w:sz w:val="24"/>
          <w:szCs w:val="24"/>
        </w:rPr>
        <w:t>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котор</w:t>
      </w:r>
      <w:r w:rsidR="00004E20" w:rsidRPr="008D7951">
        <w:rPr>
          <w:rFonts w:ascii="Times New Roman" w:hAnsi="Times New Roman" w:cs="Times New Roman"/>
          <w:sz w:val="24"/>
          <w:szCs w:val="24"/>
        </w:rPr>
        <w:t>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направляют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б</w:t>
      </w:r>
      <w:r w:rsidR="0014410E" w:rsidRPr="008D7951">
        <w:rPr>
          <w:rFonts w:ascii="Times New Roman" w:hAnsi="Times New Roman" w:cs="Times New Roman"/>
          <w:sz w:val="24"/>
          <w:szCs w:val="24"/>
        </w:rPr>
        <w:t>ό</w:t>
      </w:r>
      <w:r w:rsidR="00C22863" w:rsidRPr="008D7951">
        <w:rPr>
          <w:rFonts w:ascii="Times New Roman" w:hAnsi="Times New Roman" w:cs="Times New Roman"/>
          <w:sz w:val="24"/>
          <w:szCs w:val="24"/>
        </w:rPr>
        <w:t>льшие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суммы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проекты,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связанные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ископаемым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2863" w:rsidRPr="008D7951">
        <w:rPr>
          <w:rFonts w:ascii="Times New Roman" w:hAnsi="Times New Roman" w:cs="Times New Roman"/>
          <w:sz w:val="24"/>
          <w:szCs w:val="24"/>
        </w:rPr>
        <w:t>топливом,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чем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проекты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возобновляемых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464EF1" w:rsidRPr="008D7951">
        <w:rPr>
          <w:rFonts w:ascii="Times New Roman" w:hAnsi="Times New Roman" w:cs="Times New Roman"/>
          <w:sz w:val="24"/>
          <w:szCs w:val="24"/>
        </w:rPr>
        <w:t>энергии.</w:t>
      </w:r>
      <w:r w:rsidR="00331F0C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29"/>
      </w:r>
    </w:p>
    <w:p w:rsidR="00955D93" w:rsidRPr="008D7951" w:rsidRDefault="00955D93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Индия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показывала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своё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мировое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лидерство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«зеленой»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политике,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сократив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субсидии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ископаемое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топливо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76%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2014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2022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год</w:t>
      </w:r>
      <w:r w:rsidR="00C21B8B" w:rsidRPr="008D7951">
        <w:rPr>
          <w:rFonts w:ascii="Times New Roman" w:hAnsi="Times New Roman" w:cs="Times New Roman"/>
          <w:sz w:val="24"/>
          <w:szCs w:val="24"/>
        </w:rPr>
        <w:t>,</w:t>
      </w:r>
      <w:r w:rsidR="00102C76"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30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играла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председатель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G20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2023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г.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важную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роль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таком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изменении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направления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финансирования.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теперь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расширенном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БРИКС+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необходимо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возродить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этот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процесс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новой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основе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(с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учетом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присоединения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ОАЭ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решений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руководства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Китая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конце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2025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C21B8B" w:rsidRPr="008D7951">
        <w:rPr>
          <w:rFonts w:ascii="Times New Roman" w:hAnsi="Times New Roman" w:cs="Times New Roman"/>
          <w:sz w:val="24"/>
          <w:szCs w:val="24"/>
        </w:rPr>
        <w:t>г.).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BF1" w:rsidRPr="009F45FB" w:rsidRDefault="002E3386" w:rsidP="008D7951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F45FB">
        <w:rPr>
          <w:rFonts w:ascii="Times New Roman" w:hAnsi="Times New Roman" w:cs="Times New Roman"/>
          <w:b/>
          <w:bCs/>
          <w:iCs/>
          <w:sz w:val="24"/>
          <w:szCs w:val="24"/>
        </w:rPr>
        <w:t>Выводы</w:t>
      </w:r>
      <w:r w:rsidR="008D7951" w:rsidRPr="009F45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45FB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8D7951" w:rsidRPr="009F45F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F45FB">
        <w:rPr>
          <w:rFonts w:ascii="Times New Roman" w:hAnsi="Times New Roman" w:cs="Times New Roman"/>
          <w:b/>
          <w:bCs/>
          <w:iCs/>
          <w:sz w:val="24"/>
          <w:szCs w:val="24"/>
        </w:rPr>
        <w:t>предложения</w:t>
      </w:r>
    </w:p>
    <w:p w:rsidR="006E0319" w:rsidRPr="008D7951" w:rsidRDefault="006E0319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Стратегии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2030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говорится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лишь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цифровом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неравенстве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называемой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«цифровой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платформы»,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</w:t>
      </w:r>
      <w:r w:rsidR="0073556E"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слова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цифровой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экономике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новой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формы,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поддерживающей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баланс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экономической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устойчивости.</w:t>
      </w:r>
      <w:r w:rsidRPr="008D7951">
        <w:rPr>
          <w:rStyle w:val="a6"/>
          <w:rFonts w:ascii="Times New Roman" w:hAnsi="Times New Roman" w:cs="Times New Roman"/>
          <w:sz w:val="24"/>
          <w:szCs w:val="24"/>
        </w:rPr>
        <w:footnoteReference w:id="31"/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баланс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жизненно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важен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почти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всех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российских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регионов,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позиционирования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БРИКС+,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где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некоторые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уже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опередили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вопросе.</w:t>
      </w:r>
    </w:p>
    <w:p w:rsidR="00890BF1" w:rsidRPr="008D7951" w:rsidRDefault="00890BF1" w:rsidP="008D79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активизации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экологической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российских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расширения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возможностей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финансировании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природоохранных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проектов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необходимо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создание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специального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инвестиционного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фонда/фондов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наподобие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объявленного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СОР30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Фонда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«Тропические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леса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навсегда»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(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Tropical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Forest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Forever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  <w:lang w:val="en-US"/>
        </w:rPr>
        <w:t>Facility</w:t>
      </w:r>
      <w:r w:rsidRPr="008D7951">
        <w:rPr>
          <w:rFonts w:ascii="Times New Roman" w:hAnsi="Times New Roman" w:cs="Times New Roman"/>
          <w:sz w:val="24"/>
          <w:szCs w:val="24"/>
        </w:rPr>
        <w:t>)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инвестиционного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фонда,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который,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планирует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привлечь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125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млрд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долл.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прямых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выплат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каждый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гектар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сохранённых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тропических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лесов.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Общие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всех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регионов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цели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такой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политики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могли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быть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сформулированы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специалистами-экологами.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Россия,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как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сделала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Бразилия,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могла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следующему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СОР31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проработать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вопрос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всеми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заинтересованными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странами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БРИКС,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первую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очередь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Китаем,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создании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аналогичного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фонда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под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условным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названием/направлением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«Водоёмы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9F45FB">
        <w:rPr>
          <w:rFonts w:ascii="Times New Roman" w:hAnsi="Times New Roman" w:cs="Times New Roman"/>
          <w:sz w:val="24"/>
          <w:szCs w:val="24"/>
        </w:rPr>
        <w:t>–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источник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развития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благосостояния»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для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срочного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долгосрочного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инвестирования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целью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спасения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источников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="00065599"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Центральной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Азии.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инициатива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могла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только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координировать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свои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усилия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существующими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программа</w:t>
      </w:r>
      <w:r w:rsidR="00065599" w:rsidRPr="008D7951">
        <w:rPr>
          <w:rFonts w:ascii="Times New Roman" w:hAnsi="Times New Roman" w:cs="Times New Roman"/>
          <w:sz w:val="24"/>
          <w:szCs w:val="24"/>
        </w:rPr>
        <w:t>ми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помощи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центральноазиатским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странам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международного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сообщества,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но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и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уменьшила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бы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взаимные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противоречия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этих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стран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сфере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водных</w:t>
      </w:r>
      <w:r w:rsidR="008D7951">
        <w:rPr>
          <w:rFonts w:ascii="Times New Roman" w:hAnsi="Times New Roman" w:cs="Times New Roman"/>
          <w:sz w:val="24"/>
          <w:szCs w:val="24"/>
        </w:rPr>
        <w:t xml:space="preserve"> </w:t>
      </w:r>
      <w:r w:rsidRPr="008D7951">
        <w:rPr>
          <w:rFonts w:ascii="Times New Roman" w:hAnsi="Times New Roman" w:cs="Times New Roman"/>
          <w:sz w:val="24"/>
          <w:szCs w:val="24"/>
        </w:rPr>
        <w:t>ресурсов.</w:t>
      </w:r>
    </w:p>
    <w:sectPr w:rsidR="00890BF1" w:rsidRPr="008D7951" w:rsidSect="008D7951">
      <w:headerReference w:type="default" r:id="rId9"/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51" w:rsidRDefault="008D7951" w:rsidP="006866AB">
      <w:r>
        <w:separator/>
      </w:r>
    </w:p>
  </w:endnote>
  <w:endnote w:type="continuationSeparator" w:id="0">
    <w:p w:rsidR="008D7951" w:rsidRDefault="008D7951" w:rsidP="0068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924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D7951" w:rsidRPr="008D7951" w:rsidRDefault="008D7951" w:rsidP="008D795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9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D79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D79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57F9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D79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51" w:rsidRDefault="008D7951" w:rsidP="006866AB">
      <w:r>
        <w:separator/>
      </w:r>
    </w:p>
  </w:footnote>
  <w:footnote w:type="continuationSeparator" w:id="0">
    <w:p w:rsidR="008D7951" w:rsidRDefault="008D7951" w:rsidP="006866AB">
      <w:r>
        <w:continuationSeparator/>
      </w:r>
    </w:p>
  </w:footnote>
  <w:footnote w:id="1">
    <w:p w:rsidR="008D7951" w:rsidRPr="008D7951" w:rsidRDefault="008D7951" w:rsidP="006063C4">
      <w:pPr>
        <w:pStyle w:val="a4"/>
        <w:rPr>
          <w:rFonts w:ascii="Times New Roman" w:hAnsi="Times New Roman" w:cs="Times New Roman"/>
        </w:rPr>
      </w:pPr>
      <w:bookmarkStart w:id="1" w:name="_Hlk214985908"/>
      <w:r w:rsidRPr="006063C4">
        <w:rPr>
          <w:rStyle w:val="a6"/>
          <w:rFonts w:ascii="Times New Roman" w:hAnsi="Times New Roman" w:cs="Times New Roman"/>
        </w:rPr>
        <w:footnoteRef/>
      </w:r>
      <w:r w:rsidRPr="008D7951">
        <w:rPr>
          <w:rFonts w:ascii="Times New Roman" w:hAnsi="Times New Roman" w:cs="Times New Roman"/>
        </w:rPr>
        <w:t xml:space="preserve"> </w:t>
      </w:r>
      <w:bookmarkEnd w:id="1"/>
      <w:r w:rsidRPr="008D7951">
        <w:rPr>
          <w:rFonts w:ascii="Times New Roman" w:hAnsi="Times New Roman" w:cs="Times New Roman"/>
          <w:i/>
        </w:rPr>
        <w:t>Моррис У.</w:t>
      </w:r>
      <w:r w:rsidRPr="008D7951">
        <w:rPr>
          <w:rFonts w:ascii="Times New Roman" w:hAnsi="Times New Roman" w:cs="Times New Roman"/>
        </w:rPr>
        <w:t xml:space="preserve"> </w:t>
      </w:r>
      <w:r w:rsidRPr="006063C4">
        <w:rPr>
          <w:rFonts w:ascii="Times New Roman" w:hAnsi="Times New Roman" w:cs="Times New Roman"/>
        </w:rPr>
        <w:t xml:space="preserve">Искусство и жизнь. Избранные статьи, лекции, речи, письма. </w:t>
      </w:r>
      <w:r w:rsidRPr="008D7951">
        <w:rPr>
          <w:rFonts w:ascii="Times New Roman" w:hAnsi="Times New Roman" w:cs="Times New Roman"/>
        </w:rPr>
        <w:t xml:space="preserve">– </w:t>
      </w:r>
      <w:r w:rsidRPr="006063C4">
        <w:rPr>
          <w:rFonts w:ascii="Times New Roman" w:hAnsi="Times New Roman" w:cs="Times New Roman"/>
        </w:rPr>
        <w:t>М</w:t>
      </w:r>
      <w:r w:rsidRPr="008D7951">
        <w:rPr>
          <w:rFonts w:ascii="Times New Roman" w:hAnsi="Times New Roman" w:cs="Times New Roman"/>
        </w:rPr>
        <w:t xml:space="preserve">.: </w:t>
      </w:r>
      <w:r w:rsidRPr="006063C4">
        <w:rPr>
          <w:rFonts w:ascii="Times New Roman" w:hAnsi="Times New Roman" w:cs="Times New Roman"/>
        </w:rPr>
        <w:t>Искусство</w:t>
      </w:r>
      <w:r w:rsidRPr="008D7951">
        <w:rPr>
          <w:rFonts w:ascii="Times New Roman" w:hAnsi="Times New Roman" w:cs="Times New Roman"/>
        </w:rPr>
        <w:t xml:space="preserve">, 1973. – </w:t>
      </w:r>
      <w:r w:rsidRPr="006063C4">
        <w:rPr>
          <w:rFonts w:ascii="Times New Roman" w:hAnsi="Times New Roman" w:cs="Times New Roman"/>
        </w:rPr>
        <w:t>С</w:t>
      </w:r>
      <w:r w:rsidRPr="008D7951">
        <w:rPr>
          <w:rFonts w:ascii="Times New Roman" w:hAnsi="Times New Roman" w:cs="Times New Roman"/>
        </w:rPr>
        <w:t>. 359.</w:t>
      </w:r>
    </w:p>
  </w:footnote>
  <w:footnote w:id="2">
    <w:p w:rsidR="008D7951" w:rsidRPr="008D7951" w:rsidRDefault="008D7951">
      <w:pPr>
        <w:pStyle w:val="a4"/>
        <w:rPr>
          <w:rFonts w:ascii="Times New Roman" w:hAnsi="Times New Roman" w:cs="Times New Roman"/>
          <w:lang w:val="en-US"/>
        </w:rPr>
      </w:pPr>
      <w:r w:rsidRPr="006B24E6">
        <w:rPr>
          <w:rStyle w:val="a6"/>
          <w:rFonts w:ascii="Times New Roman" w:hAnsi="Times New Roman" w:cs="Times New Roman"/>
        </w:rPr>
        <w:footnoteRef/>
      </w:r>
      <w:r w:rsidRPr="006B24E6">
        <w:rPr>
          <w:rFonts w:ascii="Times New Roman" w:hAnsi="Times New Roman" w:cs="Times New Roman"/>
          <w:lang w:val="en-US"/>
        </w:rPr>
        <w:t xml:space="preserve"> </w:t>
      </w:r>
      <w:r w:rsidRPr="008D7951">
        <w:rPr>
          <w:rFonts w:ascii="Times New Roman" w:hAnsi="Times New Roman" w:cs="Times New Roman"/>
          <w:i/>
          <w:lang w:val="en-US"/>
        </w:rPr>
        <w:t>Tkachenko A.A</w:t>
      </w:r>
      <w:r w:rsidRPr="006B24E6">
        <w:rPr>
          <w:rFonts w:ascii="Times New Roman" w:hAnsi="Times New Roman" w:cs="Times New Roman"/>
          <w:lang w:val="en-US"/>
        </w:rPr>
        <w:t xml:space="preserve">. Is there a joint field of cooperation among the BRICS countries in measures against poverty and extreme poverty? // Proceedings of the External Challenges and Risks for Russia in the Context of the World Community's Transition to Polycentrism: Economics, Finance and Business. </w:t>
      </w:r>
      <w:r>
        <w:rPr>
          <w:rFonts w:ascii="Times New Roman" w:hAnsi="Times New Roman" w:cs="Times New Roman"/>
          <w:lang w:val="en-US"/>
        </w:rPr>
        <w:t>–</w:t>
      </w:r>
      <w:r w:rsidRPr="006B24E6">
        <w:rPr>
          <w:rFonts w:ascii="Times New Roman" w:hAnsi="Times New Roman" w:cs="Times New Roman"/>
          <w:lang w:val="en-US"/>
        </w:rPr>
        <w:t xml:space="preserve"> Moscow</w:t>
      </w:r>
      <w:r w:rsidRPr="008D7951">
        <w:rPr>
          <w:rFonts w:ascii="Times New Roman" w:hAnsi="Times New Roman" w:cs="Times New Roman"/>
          <w:lang w:val="en-US"/>
        </w:rPr>
        <w:t xml:space="preserve">: </w:t>
      </w:r>
      <w:r w:rsidRPr="006B24E6">
        <w:rPr>
          <w:rFonts w:ascii="Times New Roman" w:hAnsi="Times New Roman" w:cs="Times New Roman"/>
          <w:lang w:val="en-US"/>
        </w:rPr>
        <w:t>Atlantis</w:t>
      </w:r>
      <w:r w:rsidRPr="008D7951">
        <w:rPr>
          <w:rFonts w:ascii="Times New Roman" w:hAnsi="Times New Roman" w:cs="Times New Roman"/>
          <w:lang w:val="en-US"/>
        </w:rPr>
        <w:t xml:space="preserve"> </w:t>
      </w:r>
      <w:r w:rsidRPr="006B24E6">
        <w:rPr>
          <w:rFonts w:ascii="Times New Roman" w:hAnsi="Times New Roman" w:cs="Times New Roman"/>
          <w:lang w:val="en-US"/>
        </w:rPr>
        <w:t>Press</w:t>
      </w:r>
      <w:r w:rsidRPr="008D7951">
        <w:rPr>
          <w:rFonts w:ascii="Times New Roman" w:hAnsi="Times New Roman" w:cs="Times New Roman"/>
          <w:lang w:val="en-US"/>
        </w:rPr>
        <w:t xml:space="preserve">, 2019. </w:t>
      </w:r>
      <w:r>
        <w:rPr>
          <w:rFonts w:ascii="Times New Roman" w:hAnsi="Times New Roman" w:cs="Times New Roman"/>
          <w:lang w:val="en-US"/>
        </w:rPr>
        <w:t xml:space="preserve">– </w:t>
      </w:r>
      <w:r w:rsidRPr="006B24E6">
        <w:rPr>
          <w:rFonts w:ascii="Times New Roman" w:hAnsi="Times New Roman" w:cs="Times New Roman"/>
          <w:lang w:val="en-US"/>
        </w:rPr>
        <w:t>P</w:t>
      </w:r>
      <w:r w:rsidRPr="008D7951">
        <w:rPr>
          <w:rFonts w:ascii="Times New Roman" w:hAnsi="Times New Roman" w:cs="Times New Roman"/>
          <w:lang w:val="en-US"/>
        </w:rPr>
        <w:t>. 64-67.</w:t>
      </w:r>
    </w:p>
  </w:footnote>
  <w:footnote w:id="3">
    <w:p w:rsidR="008D7951" w:rsidRPr="008D7951" w:rsidRDefault="008D7951">
      <w:pPr>
        <w:pStyle w:val="a4"/>
        <w:rPr>
          <w:rFonts w:ascii="Times New Roman" w:hAnsi="Times New Roman" w:cs="Times New Roman"/>
        </w:rPr>
      </w:pPr>
      <w:r w:rsidRPr="006B24E6">
        <w:rPr>
          <w:rStyle w:val="a6"/>
          <w:rFonts w:ascii="Times New Roman" w:hAnsi="Times New Roman" w:cs="Times New Roman"/>
        </w:rPr>
        <w:footnoteRef/>
      </w:r>
      <w:r w:rsidRPr="006B24E6">
        <w:rPr>
          <w:rFonts w:ascii="Times New Roman" w:hAnsi="Times New Roman" w:cs="Times New Roman"/>
        </w:rPr>
        <w:t xml:space="preserve"> Валовой национальный доход (Gross National Income</w:t>
      </w:r>
      <w:r>
        <w:rPr>
          <w:rFonts w:ascii="Times New Roman" w:hAnsi="Times New Roman" w:cs="Times New Roman"/>
        </w:rPr>
        <w:t>) на душу населения по данным ВБ.</w:t>
      </w:r>
    </w:p>
  </w:footnote>
  <w:footnote w:id="4">
    <w:p w:rsidR="008D7951" w:rsidRPr="006B24E6" w:rsidRDefault="008D7951">
      <w:pPr>
        <w:pStyle w:val="a4"/>
        <w:rPr>
          <w:rFonts w:ascii="Times New Roman" w:hAnsi="Times New Roman" w:cs="Times New Roman"/>
        </w:rPr>
      </w:pPr>
      <w:r w:rsidRPr="003E1CE7">
        <w:rPr>
          <w:rStyle w:val="a6"/>
          <w:rFonts w:ascii="Times New Roman" w:hAnsi="Times New Roman" w:cs="Times New Roman"/>
        </w:rPr>
        <w:footnoteRef/>
      </w:r>
      <w:r w:rsidRPr="006B24E6">
        <w:rPr>
          <w:rFonts w:ascii="Times New Roman" w:hAnsi="Times New Roman" w:cs="Times New Roman"/>
        </w:rPr>
        <w:t xml:space="preserve"> </w:t>
      </w:r>
      <w:r w:rsidRPr="003E1CE7">
        <w:rPr>
          <w:rFonts w:ascii="Times New Roman" w:hAnsi="Times New Roman" w:cs="Times New Roman"/>
        </w:rPr>
        <w:t>Присоединилась</w:t>
      </w:r>
      <w:r w:rsidRPr="006B24E6">
        <w:rPr>
          <w:rFonts w:ascii="Times New Roman" w:hAnsi="Times New Roman" w:cs="Times New Roman"/>
        </w:rPr>
        <w:t xml:space="preserve"> </w:t>
      </w:r>
      <w:r w:rsidRPr="003E1CE7">
        <w:rPr>
          <w:rFonts w:ascii="Times New Roman" w:hAnsi="Times New Roman" w:cs="Times New Roman"/>
        </w:rPr>
        <w:t>в</w:t>
      </w:r>
      <w:r w:rsidRPr="006B24E6">
        <w:rPr>
          <w:rFonts w:ascii="Times New Roman" w:hAnsi="Times New Roman" w:cs="Times New Roman"/>
        </w:rPr>
        <w:t xml:space="preserve"> 2025 </w:t>
      </w:r>
      <w:r w:rsidRPr="003E1CE7">
        <w:rPr>
          <w:rFonts w:ascii="Times New Roman" w:hAnsi="Times New Roman" w:cs="Times New Roman"/>
        </w:rPr>
        <w:t>г</w:t>
      </w:r>
      <w:r w:rsidRPr="006B24E6">
        <w:rPr>
          <w:rFonts w:ascii="Times New Roman" w:hAnsi="Times New Roman" w:cs="Times New Roman"/>
        </w:rPr>
        <w:t>.</w:t>
      </w:r>
    </w:p>
  </w:footnote>
  <w:footnote w:id="5">
    <w:p w:rsidR="008D7951" w:rsidRPr="00D34CDB" w:rsidRDefault="008D7951">
      <w:pPr>
        <w:pStyle w:val="a4"/>
        <w:rPr>
          <w:rFonts w:ascii="Times New Roman" w:hAnsi="Times New Roman" w:cs="Times New Roman"/>
        </w:rPr>
      </w:pPr>
      <w:r w:rsidRPr="00D34CDB">
        <w:rPr>
          <w:rStyle w:val="a6"/>
          <w:rFonts w:ascii="Times New Roman" w:hAnsi="Times New Roman" w:cs="Times New Roman"/>
        </w:rPr>
        <w:footnoteRef/>
      </w:r>
      <w:r w:rsidRPr="00D34CDB">
        <w:rPr>
          <w:rFonts w:ascii="Times New Roman" w:hAnsi="Times New Roman" w:cs="Times New Roman"/>
        </w:rPr>
        <w:t xml:space="preserve"> https://tass.ru/obschestvo/10716381</w:t>
      </w:r>
    </w:p>
  </w:footnote>
  <w:footnote w:id="6">
    <w:p w:rsidR="008D7951" w:rsidRPr="00D34CDB" w:rsidRDefault="008D7951">
      <w:pPr>
        <w:pStyle w:val="a4"/>
        <w:rPr>
          <w:rFonts w:ascii="Times New Roman" w:hAnsi="Times New Roman" w:cs="Times New Roman"/>
        </w:rPr>
      </w:pPr>
      <w:r w:rsidRPr="00D34CDB">
        <w:rPr>
          <w:rStyle w:val="a6"/>
          <w:rFonts w:ascii="Times New Roman" w:hAnsi="Times New Roman" w:cs="Times New Roman"/>
        </w:rPr>
        <w:footnoteRef/>
      </w:r>
      <w:bookmarkStart w:id="4" w:name="_Hlk214987842"/>
      <w:r>
        <w:rPr>
          <w:rFonts w:ascii="Times New Roman" w:hAnsi="Times New Roman" w:cs="Times New Roman"/>
        </w:rPr>
        <w:t xml:space="preserve"> </w:t>
      </w:r>
      <w:r w:rsidRPr="00D34CDB">
        <w:rPr>
          <w:rFonts w:ascii="Times New Roman" w:hAnsi="Times New Roman" w:cs="Times New Roman"/>
        </w:rPr>
        <w:t>Демографическая</w:t>
      </w:r>
      <w:bookmarkEnd w:id="4"/>
      <w:r w:rsidRPr="00D34CDB">
        <w:rPr>
          <w:rFonts w:ascii="Times New Roman" w:hAnsi="Times New Roman" w:cs="Times New Roman"/>
        </w:rPr>
        <w:t xml:space="preserve"> ёмкость территории</w:t>
      </w:r>
      <w:r w:rsidR="00F661C0">
        <w:rPr>
          <w:rFonts w:ascii="Times New Roman" w:hAnsi="Times New Roman" w:cs="Times New Roman"/>
        </w:rPr>
        <w:t xml:space="preserve"> //</w:t>
      </w:r>
      <w:r w:rsidRPr="00D34CDB">
        <w:rPr>
          <w:rFonts w:ascii="Times New Roman" w:hAnsi="Times New Roman" w:cs="Times New Roman"/>
        </w:rPr>
        <w:t xml:space="preserve"> </w:t>
      </w:r>
      <w:r w:rsidRPr="00647CFC">
        <w:rPr>
          <w:rFonts w:ascii="Times New Roman" w:hAnsi="Times New Roman" w:cs="Times New Roman"/>
        </w:rPr>
        <w:t xml:space="preserve">Демографическая </w:t>
      </w:r>
      <w:r>
        <w:rPr>
          <w:rFonts w:ascii="Times New Roman" w:hAnsi="Times New Roman" w:cs="Times New Roman"/>
        </w:rPr>
        <w:t>э</w:t>
      </w:r>
      <w:r w:rsidRPr="00647CFC">
        <w:rPr>
          <w:rFonts w:ascii="Times New Roman" w:hAnsi="Times New Roman" w:cs="Times New Roman"/>
        </w:rPr>
        <w:t>нциклопедия</w:t>
      </w:r>
      <w:r>
        <w:rPr>
          <w:rFonts w:ascii="Times New Roman" w:hAnsi="Times New Roman" w:cs="Times New Roman"/>
        </w:rPr>
        <w:t>.</w:t>
      </w:r>
      <w:r w:rsidRPr="00647CFC">
        <w:rPr>
          <w:rFonts w:ascii="Times New Roman" w:hAnsi="Times New Roman" w:cs="Times New Roman"/>
        </w:rPr>
        <w:t xml:space="preserve"> </w:t>
      </w:r>
      <w:r w:rsidR="00F661C0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М.: </w:t>
      </w:r>
      <w:bookmarkStart w:id="5" w:name="_Hlk214987885"/>
      <w:r w:rsidRPr="00D34CDB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нциклопедия</w:t>
      </w:r>
      <w:bookmarkEnd w:id="5"/>
      <w:r>
        <w:rPr>
          <w:rFonts w:ascii="Times New Roman" w:hAnsi="Times New Roman" w:cs="Times New Roman"/>
        </w:rPr>
        <w:t>, 2013</w:t>
      </w:r>
      <w:r w:rsidR="00F661C0">
        <w:rPr>
          <w:rFonts w:ascii="Times New Roman" w:hAnsi="Times New Roman" w:cs="Times New Roman"/>
        </w:rPr>
        <w:t>. – С</w:t>
      </w:r>
      <w:r w:rsidRPr="00D34CDB">
        <w:rPr>
          <w:rFonts w:ascii="Times New Roman" w:hAnsi="Times New Roman" w:cs="Times New Roman"/>
        </w:rPr>
        <w:t>. 207.</w:t>
      </w:r>
    </w:p>
  </w:footnote>
  <w:footnote w:id="7">
    <w:p w:rsidR="008D7951" w:rsidRPr="004C6844" w:rsidRDefault="008D7951" w:rsidP="007874DB">
      <w:pPr>
        <w:pStyle w:val="a4"/>
        <w:rPr>
          <w:rFonts w:ascii="Times New Roman" w:hAnsi="Times New Roman" w:cs="Times New Roman"/>
        </w:rPr>
      </w:pPr>
      <w:r w:rsidRPr="004C6844">
        <w:rPr>
          <w:rStyle w:val="a6"/>
          <w:rFonts w:ascii="Times New Roman" w:hAnsi="Times New Roman" w:cs="Times New Roman"/>
        </w:rPr>
        <w:footnoteRef/>
      </w:r>
      <w:r w:rsidRPr="004C6844">
        <w:rPr>
          <w:rFonts w:ascii="Times New Roman" w:hAnsi="Times New Roman" w:cs="Times New Roman"/>
        </w:rPr>
        <w:t xml:space="preserve"> Что на 2,6% больше, чем оценка национальных статистических служб стран БРИКС+ (</w:t>
      </w:r>
      <w:r w:rsidRPr="0087310B">
        <w:rPr>
          <w:rFonts w:ascii="Times New Roman" w:hAnsi="Times New Roman" w:cs="Times New Roman"/>
        </w:rPr>
        <w:t xml:space="preserve">BRICS </w:t>
      </w:r>
      <w:r w:rsidRPr="00EB18C6">
        <w:rPr>
          <w:rFonts w:ascii="Times New Roman" w:hAnsi="Times New Roman" w:cs="Times New Roman"/>
          <w:lang w:val="en-US"/>
        </w:rPr>
        <w:t>Joint</w:t>
      </w:r>
      <w:r w:rsidRPr="002E31B6">
        <w:rPr>
          <w:rFonts w:ascii="Times New Roman" w:hAnsi="Times New Roman" w:cs="Times New Roman"/>
        </w:rPr>
        <w:t xml:space="preserve"> </w:t>
      </w:r>
      <w:r w:rsidRPr="00EB18C6">
        <w:rPr>
          <w:rFonts w:ascii="Times New Roman" w:hAnsi="Times New Roman" w:cs="Times New Roman"/>
          <w:lang w:val="en-US"/>
        </w:rPr>
        <w:t>Statistical</w:t>
      </w:r>
      <w:r w:rsidRPr="002E31B6">
        <w:rPr>
          <w:rFonts w:ascii="Times New Roman" w:hAnsi="Times New Roman" w:cs="Times New Roman"/>
        </w:rPr>
        <w:t xml:space="preserve"> </w:t>
      </w:r>
      <w:r w:rsidRPr="00EB18C6">
        <w:rPr>
          <w:rFonts w:ascii="Times New Roman" w:hAnsi="Times New Roman" w:cs="Times New Roman"/>
          <w:lang w:val="en-US"/>
        </w:rPr>
        <w:t>Publication</w:t>
      </w:r>
      <w:r w:rsidRPr="0087310B">
        <w:rPr>
          <w:rFonts w:ascii="Times New Roman" w:hAnsi="Times New Roman" w:cs="Times New Roman"/>
        </w:rPr>
        <w:t xml:space="preserve"> 2024, BRICS-RUSSIA2024.RU</w:t>
      </w:r>
      <w:r w:rsidRPr="004C684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7874DB">
        <w:rPr>
          <w:rFonts w:ascii="Times New Roman" w:hAnsi="Times New Roman" w:cs="Times New Roman"/>
          <w:caps/>
        </w:rPr>
        <w:t>и</w:t>
      </w:r>
      <w:r>
        <w:rPr>
          <w:rFonts w:ascii="Times New Roman" w:hAnsi="Times New Roman" w:cs="Times New Roman"/>
        </w:rPr>
        <w:t xml:space="preserve">сточник: </w:t>
      </w:r>
      <w:r w:rsidRPr="00F661C0">
        <w:rPr>
          <w:rFonts w:ascii="Times New Roman" w:hAnsi="Times New Roman" w:cs="Times New Roman"/>
          <w:i/>
        </w:rPr>
        <w:t>Щербакова Е.М</w:t>
      </w:r>
      <w:r w:rsidRPr="007874DB">
        <w:rPr>
          <w:rFonts w:ascii="Times New Roman" w:hAnsi="Times New Roman" w:cs="Times New Roman"/>
        </w:rPr>
        <w:t xml:space="preserve">. Население стран БРИКС по оценкам 2024 года // Демоскоп Weekly. </w:t>
      </w:r>
      <w:r w:rsidR="00F661C0">
        <w:rPr>
          <w:rFonts w:ascii="Times New Roman" w:hAnsi="Times New Roman" w:cs="Times New Roman"/>
        </w:rPr>
        <w:t xml:space="preserve">– </w:t>
      </w:r>
      <w:r w:rsidRPr="007874DB">
        <w:rPr>
          <w:rFonts w:ascii="Times New Roman" w:hAnsi="Times New Roman" w:cs="Times New Roman"/>
        </w:rPr>
        <w:t xml:space="preserve">2024. </w:t>
      </w:r>
      <w:r w:rsidR="00F661C0">
        <w:rPr>
          <w:rFonts w:ascii="Times New Roman" w:hAnsi="Times New Roman" w:cs="Times New Roman"/>
        </w:rPr>
        <w:t xml:space="preserve">– </w:t>
      </w:r>
      <w:r w:rsidRPr="007874DB">
        <w:rPr>
          <w:rFonts w:ascii="Times New Roman" w:hAnsi="Times New Roman" w:cs="Times New Roman"/>
        </w:rPr>
        <w:t xml:space="preserve">№ 1049-1050. </w:t>
      </w:r>
      <w:r w:rsidR="00F661C0">
        <w:rPr>
          <w:rFonts w:ascii="Times New Roman" w:hAnsi="Times New Roman" w:cs="Times New Roman"/>
        </w:rPr>
        <w:t>–</w:t>
      </w:r>
      <w:r w:rsidRPr="007874DB">
        <w:rPr>
          <w:rFonts w:ascii="Times New Roman" w:hAnsi="Times New Roman" w:cs="Times New Roman"/>
        </w:rPr>
        <w:t xml:space="preserve"> https://demoscope.ru/weekly/2024/01049/barom01.php</w:t>
      </w:r>
    </w:p>
  </w:footnote>
  <w:footnote w:id="8">
    <w:p w:rsidR="008D7951" w:rsidRPr="00423188" w:rsidRDefault="008D7951">
      <w:pPr>
        <w:pStyle w:val="a4"/>
        <w:rPr>
          <w:rFonts w:ascii="Times New Roman" w:hAnsi="Times New Roman" w:cs="Times New Roman"/>
        </w:rPr>
      </w:pPr>
      <w:r w:rsidRPr="00423188">
        <w:rPr>
          <w:rStyle w:val="a6"/>
          <w:rFonts w:ascii="Times New Roman" w:hAnsi="Times New Roman" w:cs="Times New Roman"/>
        </w:rPr>
        <w:footnoteRef/>
      </w:r>
      <w:r w:rsidRPr="00423188">
        <w:rPr>
          <w:rFonts w:ascii="Times New Roman" w:hAnsi="Times New Roman" w:cs="Times New Roman"/>
        </w:rPr>
        <w:t xml:space="preserve"> </w:t>
      </w:r>
      <w:r w:rsidRPr="00F661C0">
        <w:rPr>
          <w:rFonts w:ascii="Times New Roman" w:hAnsi="Times New Roman" w:cs="Times New Roman"/>
          <w:i/>
        </w:rPr>
        <w:t>Данилов-Данильян В.И.</w:t>
      </w:r>
      <w:r w:rsidRPr="00423188">
        <w:rPr>
          <w:rFonts w:ascii="Times New Roman" w:hAnsi="Times New Roman" w:cs="Times New Roman"/>
        </w:rPr>
        <w:t xml:space="preserve"> Сохранение человека - устойчивое развитие? // Философские науки. </w:t>
      </w:r>
      <w:r w:rsidR="00F661C0">
        <w:rPr>
          <w:rFonts w:ascii="Times New Roman" w:hAnsi="Times New Roman" w:cs="Times New Roman"/>
        </w:rPr>
        <w:t xml:space="preserve">– </w:t>
      </w:r>
      <w:r w:rsidRPr="00423188">
        <w:rPr>
          <w:rFonts w:ascii="Times New Roman" w:hAnsi="Times New Roman" w:cs="Times New Roman"/>
        </w:rPr>
        <w:t xml:space="preserve">2025. </w:t>
      </w:r>
      <w:r w:rsidR="00F661C0">
        <w:rPr>
          <w:rFonts w:ascii="Times New Roman" w:hAnsi="Times New Roman" w:cs="Times New Roman"/>
        </w:rPr>
        <w:t xml:space="preserve">– </w:t>
      </w:r>
      <w:r w:rsidRPr="00423188">
        <w:rPr>
          <w:rFonts w:ascii="Times New Roman" w:hAnsi="Times New Roman" w:cs="Times New Roman"/>
        </w:rPr>
        <w:t xml:space="preserve">Т. 68, № 1. </w:t>
      </w:r>
      <w:r w:rsidR="00F661C0">
        <w:rPr>
          <w:rFonts w:ascii="Times New Roman" w:hAnsi="Times New Roman" w:cs="Times New Roman"/>
        </w:rPr>
        <w:t xml:space="preserve">– </w:t>
      </w:r>
      <w:r w:rsidRPr="00423188">
        <w:rPr>
          <w:rFonts w:ascii="Times New Roman" w:hAnsi="Times New Roman" w:cs="Times New Roman"/>
        </w:rPr>
        <w:t>С. 32-54. DOI 10.30727/0235-1188-2025-68-1-32-54.</w:t>
      </w:r>
    </w:p>
  </w:footnote>
  <w:footnote w:id="9">
    <w:p w:rsidR="008D7951" w:rsidRPr="006866AB" w:rsidRDefault="008D7951">
      <w:pPr>
        <w:pStyle w:val="a4"/>
        <w:rPr>
          <w:rFonts w:ascii="Times New Roman" w:hAnsi="Times New Roman" w:cs="Times New Roman"/>
        </w:rPr>
      </w:pPr>
      <w:r w:rsidRPr="006866AB">
        <w:rPr>
          <w:rStyle w:val="a6"/>
          <w:rFonts w:ascii="Times New Roman" w:hAnsi="Times New Roman" w:cs="Times New Roman"/>
        </w:rPr>
        <w:footnoteRef/>
      </w:r>
      <w:r w:rsidRPr="006866AB">
        <w:rPr>
          <w:rFonts w:ascii="Times New Roman" w:hAnsi="Times New Roman" w:cs="Times New Roman"/>
        </w:rPr>
        <w:t xml:space="preserve"> Под развитием автор понимает как продвижение, например, к устойчивому развитию, так и регресс. </w:t>
      </w:r>
    </w:p>
  </w:footnote>
  <w:footnote w:id="10">
    <w:p w:rsidR="008D7951" w:rsidRPr="003150E5" w:rsidRDefault="008D7951">
      <w:pPr>
        <w:pStyle w:val="a4"/>
        <w:rPr>
          <w:rFonts w:ascii="Times New Roman" w:hAnsi="Times New Roman" w:cs="Times New Roman"/>
        </w:rPr>
      </w:pPr>
      <w:r w:rsidRPr="003150E5">
        <w:rPr>
          <w:rStyle w:val="a6"/>
          <w:rFonts w:ascii="Times New Roman" w:hAnsi="Times New Roman" w:cs="Times New Roman"/>
        </w:rPr>
        <w:footnoteRef/>
      </w:r>
      <w:r w:rsidRPr="003150E5">
        <w:rPr>
          <w:rFonts w:ascii="Times New Roman" w:hAnsi="Times New Roman" w:cs="Times New Roman"/>
        </w:rPr>
        <w:t xml:space="preserve"> Источник данных: https://journal.ecostandard.ru/esg/ustoychivoe-razvitie/klimaticheskaya-politika-briks-chto-sinkhronizatsiya-znachit-dlya-rossiyskogo-biznesa1/</w:t>
      </w:r>
    </w:p>
  </w:footnote>
  <w:footnote w:id="11">
    <w:p w:rsidR="008D7951" w:rsidRPr="00E67193" w:rsidRDefault="008D7951">
      <w:pPr>
        <w:pStyle w:val="a4"/>
        <w:rPr>
          <w:rFonts w:ascii="Times New Roman" w:hAnsi="Times New Roman" w:cs="Times New Roman"/>
        </w:rPr>
      </w:pPr>
      <w:r w:rsidRPr="00E67193">
        <w:rPr>
          <w:rStyle w:val="a6"/>
          <w:rFonts w:ascii="Times New Roman" w:hAnsi="Times New Roman" w:cs="Times New Roman"/>
        </w:rPr>
        <w:footnoteRef/>
      </w:r>
      <w:r w:rsidRPr="00E67193">
        <w:rPr>
          <w:rFonts w:ascii="Times New Roman" w:hAnsi="Times New Roman" w:cs="Times New Roman"/>
        </w:rPr>
        <w:t xml:space="preserve"> Бразили</w:t>
      </w:r>
      <w:r>
        <w:rPr>
          <w:rFonts w:ascii="Times New Roman" w:hAnsi="Times New Roman" w:cs="Times New Roman"/>
        </w:rPr>
        <w:t xml:space="preserve">я в конце 2024 г. приняла </w:t>
      </w:r>
      <w:r w:rsidRPr="00E67193">
        <w:rPr>
          <w:rFonts w:ascii="Times New Roman" w:hAnsi="Times New Roman" w:cs="Times New Roman"/>
        </w:rPr>
        <w:t>закон о рынке углерода, позволяющий регулировать торговлю выбросами</w:t>
      </w:r>
      <w:r>
        <w:rPr>
          <w:rFonts w:ascii="Times New Roman" w:hAnsi="Times New Roman" w:cs="Times New Roman"/>
        </w:rPr>
        <w:t xml:space="preserve">, а </w:t>
      </w:r>
      <w:r w:rsidRPr="00E67193">
        <w:rPr>
          <w:rFonts w:ascii="Times New Roman" w:hAnsi="Times New Roman" w:cs="Times New Roman"/>
        </w:rPr>
        <w:t>в октябре 2025 г</w:t>
      </w:r>
      <w:r>
        <w:rPr>
          <w:rFonts w:ascii="Times New Roman" w:hAnsi="Times New Roman" w:cs="Times New Roman"/>
        </w:rPr>
        <w:t xml:space="preserve">, </w:t>
      </w:r>
      <w:r w:rsidRPr="00E67193">
        <w:rPr>
          <w:rFonts w:ascii="Times New Roman" w:hAnsi="Times New Roman" w:cs="Times New Roman"/>
        </w:rPr>
        <w:t>указ</w:t>
      </w:r>
      <w:r>
        <w:rPr>
          <w:rFonts w:ascii="Times New Roman" w:hAnsi="Times New Roman" w:cs="Times New Roman"/>
        </w:rPr>
        <w:t xml:space="preserve"> о </w:t>
      </w:r>
      <w:r w:rsidRPr="00E67193">
        <w:rPr>
          <w:rFonts w:ascii="Times New Roman" w:hAnsi="Times New Roman" w:cs="Times New Roman"/>
        </w:rPr>
        <w:t>разработ</w:t>
      </w:r>
      <w:r>
        <w:rPr>
          <w:rFonts w:ascii="Times New Roman" w:hAnsi="Times New Roman" w:cs="Times New Roman"/>
        </w:rPr>
        <w:t>ке</w:t>
      </w:r>
      <w:r w:rsidRPr="00E67193">
        <w:rPr>
          <w:rFonts w:ascii="Times New Roman" w:hAnsi="Times New Roman" w:cs="Times New Roman"/>
        </w:rPr>
        <w:t xml:space="preserve"> нормативн</w:t>
      </w:r>
      <w:r>
        <w:rPr>
          <w:rFonts w:ascii="Times New Roman" w:hAnsi="Times New Roman" w:cs="Times New Roman"/>
        </w:rPr>
        <w:t>ой</w:t>
      </w:r>
      <w:r w:rsidRPr="00E67193">
        <w:rPr>
          <w:rFonts w:ascii="Times New Roman" w:hAnsi="Times New Roman" w:cs="Times New Roman"/>
        </w:rPr>
        <w:t xml:space="preserve"> и институциональн</w:t>
      </w:r>
      <w:r>
        <w:rPr>
          <w:rFonts w:ascii="Times New Roman" w:hAnsi="Times New Roman" w:cs="Times New Roman"/>
        </w:rPr>
        <w:t>ой</w:t>
      </w:r>
      <w:r w:rsidRPr="00E67193">
        <w:rPr>
          <w:rFonts w:ascii="Times New Roman" w:hAnsi="Times New Roman" w:cs="Times New Roman"/>
        </w:rPr>
        <w:t xml:space="preserve"> основ</w:t>
      </w:r>
      <w:r>
        <w:rPr>
          <w:rFonts w:ascii="Times New Roman" w:hAnsi="Times New Roman" w:cs="Times New Roman"/>
        </w:rPr>
        <w:t>ы</w:t>
      </w:r>
      <w:r w:rsidRPr="00E67193">
        <w:rPr>
          <w:rFonts w:ascii="Times New Roman" w:hAnsi="Times New Roman" w:cs="Times New Roman"/>
        </w:rPr>
        <w:t xml:space="preserve"> для Бразильской системы торговли выбросами газов </w:t>
      </w:r>
      <w:r>
        <w:rPr>
          <w:rFonts w:ascii="Times New Roman" w:hAnsi="Times New Roman" w:cs="Times New Roman"/>
        </w:rPr>
        <w:t>(</w:t>
      </w:r>
      <w:r w:rsidRPr="00E67193">
        <w:rPr>
          <w:rFonts w:ascii="Times New Roman" w:hAnsi="Times New Roman" w:cs="Times New Roman"/>
        </w:rPr>
        <w:t>Efeito Estufa</w:t>
      </w:r>
      <w:r>
        <w:rPr>
          <w:rFonts w:ascii="Times New Roman" w:hAnsi="Times New Roman" w:cs="Times New Roman"/>
        </w:rPr>
        <w:t>).</w:t>
      </w:r>
    </w:p>
  </w:footnote>
  <w:footnote w:id="12">
    <w:p w:rsidR="008D7951" w:rsidRPr="001F0CA4" w:rsidRDefault="008D7951" w:rsidP="00966F9C">
      <w:pPr>
        <w:pStyle w:val="a4"/>
        <w:rPr>
          <w:rFonts w:ascii="Times New Roman" w:hAnsi="Times New Roman" w:cs="Times New Roman"/>
        </w:rPr>
      </w:pPr>
      <w:r w:rsidRPr="001F0CA4">
        <w:rPr>
          <w:rStyle w:val="a6"/>
          <w:rFonts w:ascii="Times New Roman" w:hAnsi="Times New Roman" w:cs="Times New Roman"/>
        </w:rPr>
        <w:footnoteRef/>
      </w:r>
      <w:r w:rsidRPr="001F0CA4">
        <w:rPr>
          <w:rFonts w:ascii="Times New Roman" w:hAnsi="Times New Roman" w:cs="Times New Roman"/>
        </w:rPr>
        <w:t xml:space="preserve"> В том числе учитывая последние решения </w:t>
      </w:r>
      <w:r>
        <w:rPr>
          <w:rFonts w:ascii="Times New Roman" w:hAnsi="Times New Roman" w:cs="Times New Roman"/>
        </w:rPr>
        <w:t>ч</w:t>
      </w:r>
      <w:r w:rsidRPr="00057499">
        <w:rPr>
          <w:rFonts w:ascii="Times New Roman" w:hAnsi="Times New Roman" w:cs="Times New Roman"/>
        </w:rPr>
        <w:t>етверт</w:t>
      </w:r>
      <w:r>
        <w:rPr>
          <w:rFonts w:ascii="Times New Roman" w:hAnsi="Times New Roman" w:cs="Times New Roman"/>
        </w:rPr>
        <w:t>ого</w:t>
      </w:r>
      <w:r w:rsidRPr="00057499">
        <w:rPr>
          <w:rFonts w:ascii="Times New Roman" w:hAnsi="Times New Roman" w:cs="Times New Roman"/>
        </w:rPr>
        <w:t xml:space="preserve"> пленум</w:t>
      </w:r>
      <w:r>
        <w:rPr>
          <w:rFonts w:ascii="Times New Roman" w:hAnsi="Times New Roman" w:cs="Times New Roman"/>
        </w:rPr>
        <w:t xml:space="preserve">а ЦК КПК (октябрь 2025 г.) </w:t>
      </w:r>
      <w:r w:rsidRPr="001F0CA4">
        <w:rPr>
          <w:rFonts w:ascii="Times New Roman" w:hAnsi="Times New Roman" w:cs="Times New Roman"/>
        </w:rPr>
        <w:t xml:space="preserve">о </w:t>
      </w:r>
      <w:r>
        <w:rPr>
          <w:rFonts w:ascii="Times New Roman" w:hAnsi="Times New Roman" w:cs="Times New Roman"/>
        </w:rPr>
        <w:t xml:space="preserve">ускорении </w:t>
      </w:r>
      <w:r w:rsidRPr="00057499">
        <w:rPr>
          <w:rFonts w:ascii="Times New Roman" w:hAnsi="Times New Roman" w:cs="Times New Roman"/>
        </w:rPr>
        <w:t>зеленой трансформации</w:t>
      </w:r>
      <w:r>
        <w:rPr>
          <w:rFonts w:ascii="Times New Roman" w:hAnsi="Times New Roman" w:cs="Times New Roman"/>
        </w:rPr>
        <w:t xml:space="preserve"> и </w:t>
      </w:r>
      <w:r w:rsidRPr="00885081">
        <w:rPr>
          <w:rFonts w:ascii="Times New Roman" w:hAnsi="Times New Roman" w:cs="Times New Roman"/>
        </w:rPr>
        <w:t>формирова</w:t>
      </w:r>
      <w:r>
        <w:rPr>
          <w:rFonts w:ascii="Times New Roman" w:hAnsi="Times New Roman" w:cs="Times New Roman"/>
        </w:rPr>
        <w:t xml:space="preserve">нии </w:t>
      </w:r>
      <w:r w:rsidRPr="00885081">
        <w:rPr>
          <w:rFonts w:ascii="Times New Roman" w:hAnsi="Times New Roman" w:cs="Times New Roman"/>
        </w:rPr>
        <w:t>«зелен</w:t>
      </w:r>
      <w:r>
        <w:rPr>
          <w:rFonts w:ascii="Times New Roman" w:hAnsi="Times New Roman" w:cs="Times New Roman"/>
        </w:rPr>
        <w:t>ого</w:t>
      </w:r>
      <w:r w:rsidRPr="00885081">
        <w:rPr>
          <w:rFonts w:ascii="Times New Roman" w:hAnsi="Times New Roman" w:cs="Times New Roman"/>
        </w:rPr>
        <w:t>» способ</w:t>
      </w:r>
      <w:r>
        <w:rPr>
          <w:rFonts w:ascii="Times New Roman" w:hAnsi="Times New Roman" w:cs="Times New Roman"/>
        </w:rPr>
        <w:t>а</w:t>
      </w:r>
      <w:r w:rsidRPr="00885081">
        <w:rPr>
          <w:rFonts w:ascii="Times New Roman" w:hAnsi="Times New Roman" w:cs="Times New Roman"/>
        </w:rPr>
        <w:t xml:space="preserve"> производства и «зелен</w:t>
      </w:r>
      <w:r>
        <w:rPr>
          <w:rFonts w:ascii="Times New Roman" w:hAnsi="Times New Roman" w:cs="Times New Roman"/>
        </w:rPr>
        <w:t>ого</w:t>
      </w:r>
      <w:r w:rsidRPr="00885081">
        <w:rPr>
          <w:rFonts w:ascii="Times New Roman" w:hAnsi="Times New Roman" w:cs="Times New Roman"/>
        </w:rPr>
        <w:t>» образ</w:t>
      </w:r>
      <w:r>
        <w:rPr>
          <w:rFonts w:ascii="Times New Roman" w:hAnsi="Times New Roman" w:cs="Times New Roman"/>
        </w:rPr>
        <w:t>а</w:t>
      </w:r>
      <w:r w:rsidRPr="00885081">
        <w:rPr>
          <w:rFonts w:ascii="Times New Roman" w:hAnsi="Times New Roman" w:cs="Times New Roman"/>
        </w:rPr>
        <w:t xml:space="preserve"> жизни</w:t>
      </w:r>
      <w:r>
        <w:rPr>
          <w:rFonts w:ascii="Times New Roman" w:hAnsi="Times New Roman" w:cs="Times New Roman"/>
        </w:rPr>
        <w:t>.</w:t>
      </w:r>
    </w:p>
  </w:footnote>
  <w:footnote w:id="13">
    <w:p w:rsidR="008D7951" w:rsidRPr="008D2F25" w:rsidRDefault="008D7951">
      <w:pPr>
        <w:pStyle w:val="a4"/>
        <w:rPr>
          <w:rFonts w:ascii="Times New Roman" w:hAnsi="Times New Roman" w:cs="Times New Roman"/>
        </w:rPr>
      </w:pPr>
      <w:r w:rsidRPr="008D2F25">
        <w:rPr>
          <w:rStyle w:val="a6"/>
          <w:rFonts w:ascii="Times New Roman" w:hAnsi="Times New Roman" w:cs="Times New Roman"/>
        </w:rPr>
        <w:footnoteRef/>
      </w:r>
      <w:r w:rsidRPr="008D2F25">
        <w:rPr>
          <w:rFonts w:ascii="Times New Roman" w:hAnsi="Times New Roman" w:cs="Times New Roman"/>
        </w:rPr>
        <w:t xml:space="preserve"> </w:t>
      </w:r>
      <w:bookmarkStart w:id="11" w:name="_Hlk214983130"/>
      <w:r w:rsidRPr="008D2F25">
        <w:rPr>
          <w:rFonts w:ascii="Times New Roman" w:hAnsi="Times New Roman" w:cs="Times New Roman"/>
        </w:rPr>
        <w:t>Рассчитано по</w:t>
      </w:r>
      <w:bookmarkEnd w:id="11"/>
      <w:r w:rsidRPr="008D2F25">
        <w:rPr>
          <w:rFonts w:ascii="Times New Roman" w:hAnsi="Times New Roman" w:cs="Times New Roman"/>
        </w:rPr>
        <w:t xml:space="preserve"> https://www.worldstopexports.com/coal-imports-by-country/</w:t>
      </w:r>
    </w:p>
  </w:footnote>
  <w:footnote w:id="14">
    <w:p w:rsidR="008D7951" w:rsidRPr="008D2F25" w:rsidRDefault="008D7951">
      <w:pPr>
        <w:pStyle w:val="a4"/>
        <w:rPr>
          <w:rFonts w:ascii="Times New Roman" w:hAnsi="Times New Roman" w:cs="Times New Roman"/>
        </w:rPr>
      </w:pPr>
      <w:r w:rsidRPr="008D2F25">
        <w:rPr>
          <w:rStyle w:val="a6"/>
          <w:rFonts w:ascii="Times New Roman" w:hAnsi="Times New Roman" w:cs="Times New Roman"/>
        </w:rPr>
        <w:footnoteRef/>
      </w:r>
      <w:r w:rsidRPr="008D2F25">
        <w:rPr>
          <w:rFonts w:ascii="Times New Roman" w:hAnsi="Times New Roman" w:cs="Times New Roman"/>
        </w:rPr>
        <w:t xml:space="preserve"> Рассчитано по</w:t>
      </w:r>
      <w:r w:rsidR="007D48CE">
        <w:rPr>
          <w:rFonts w:ascii="Times New Roman" w:hAnsi="Times New Roman" w:cs="Times New Roman"/>
        </w:rPr>
        <w:t xml:space="preserve">: </w:t>
      </w:r>
      <w:r w:rsidRPr="008D2F25">
        <w:rPr>
          <w:rFonts w:ascii="Times New Roman" w:hAnsi="Times New Roman" w:cs="Times New Roman"/>
        </w:rPr>
        <w:t>https://www.worldstopexports.com/coal-exports-country/</w:t>
      </w:r>
    </w:p>
  </w:footnote>
  <w:footnote w:id="15">
    <w:p w:rsidR="008D7951" w:rsidRPr="00057499" w:rsidRDefault="008D7951" w:rsidP="00966F9C">
      <w:pPr>
        <w:pStyle w:val="a4"/>
        <w:rPr>
          <w:rFonts w:ascii="Times New Roman" w:hAnsi="Times New Roman" w:cs="Times New Roman"/>
        </w:rPr>
      </w:pPr>
      <w:r w:rsidRPr="00057499">
        <w:rPr>
          <w:rStyle w:val="a6"/>
          <w:rFonts w:ascii="Times New Roman" w:hAnsi="Times New Roman" w:cs="Times New Roman"/>
        </w:rPr>
        <w:footnoteRef/>
      </w:r>
      <w:r w:rsidRPr="00057499">
        <w:rPr>
          <w:rFonts w:ascii="Times New Roman" w:hAnsi="Times New Roman" w:cs="Times New Roman"/>
        </w:rPr>
        <w:t xml:space="preserve"> Рассчитано по: https://data.worldbank.org/indicator/NY.GDP.MKTP.CD</w:t>
      </w:r>
    </w:p>
  </w:footnote>
  <w:footnote w:id="16">
    <w:p w:rsidR="008D7951" w:rsidRPr="00057499" w:rsidRDefault="008D7951" w:rsidP="00966F9C">
      <w:pPr>
        <w:pStyle w:val="a4"/>
        <w:rPr>
          <w:rFonts w:ascii="Times New Roman" w:hAnsi="Times New Roman" w:cs="Times New Roman"/>
        </w:rPr>
      </w:pPr>
      <w:r w:rsidRPr="00057499">
        <w:rPr>
          <w:rStyle w:val="a6"/>
          <w:rFonts w:ascii="Times New Roman" w:hAnsi="Times New Roman" w:cs="Times New Roman"/>
        </w:rPr>
        <w:footnoteRef/>
      </w:r>
      <w:r w:rsidRPr="00057499">
        <w:rPr>
          <w:rFonts w:ascii="Times New Roman" w:hAnsi="Times New Roman" w:cs="Times New Roman"/>
        </w:rPr>
        <w:t xml:space="preserve">   Рассчитано по: https://www.imf.org/external/datamapper/NGDPD@WEO/OEMDC/ADVEC/WEOWORLD</w:t>
      </w:r>
    </w:p>
  </w:footnote>
  <w:footnote w:id="17">
    <w:p w:rsidR="008D7951" w:rsidRPr="00E4318F" w:rsidRDefault="008D7951" w:rsidP="00E4318F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E4318F">
        <w:rPr>
          <w:rFonts w:ascii="Times New Roman" w:hAnsi="Times New Roman" w:cs="Times New Roman"/>
        </w:rPr>
        <w:t>Стратеги</w:t>
      </w:r>
      <w:r>
        <w:rPr>
          <w:rFonts w:ascii="Times New Roman" w:hAnsi="Times New Roman" w:cs="Times New Roman"/>
        </w:rPr>
        <w:t>я</w:t>
      </w:r>
      <w:r w:rsidRPr="00E4318F">
        <w:rPr>
          <w:rFonts w:ascii="Times New Roman" w:hAnsi="Times New Roman" w:cs="Times New Roman"/>
        </w:rPr>
        <w:t xml:space="preserve"> пространственного развития</w:t>
      </w:r>
      <w:r>
        <w:rPr>
          <w:rFonts w:ascii="Times New Roman" w:hAnsi="Times New Roman" w:cs="Times New Roman"/>
        </w:rPr>
        <w:t xml:space="preserve"> </w:t>
      </w:r>
      <w:r w:rsidRPr="00E4318F">
        <w:rPr>
          <w:rFonts w:ascii="Times New Roman" w:hAnsi="Times New Roman" w:cs="Times New Roman"/>
        </w:rPr>
        <w:t>Российской Федерации на период до 2030 года с прогнозом до 2036 года</w:t>
      </w:r>
      <w:r>
        <w:rPr>
          <w:rFonts w:ascii="Times New Roman" w:hAnsi="Times New Roman" w:cs="Times New Roman"/>
        </w:rPr>
        <w:t xml:space="preserve">. </w:t>
      </w:r>
      <w:r w:rsidRPr="00A310D3">
        <w:rPr>
          <w:rFonts w:ascii="Times New Roman" w:hAnsi="Times New Roman" w:cs="Times New Roman"/>
        </w:rPr>
        <w:t>Распоряжение Правительства РФ от 28.12.2024 N 4146-р</w:t>
      </w:r>
      <w:r>
        <w:rPr>
          <w:rFonts w:ascii="Times New Roman" w:hAnsi="Times New Roman" w:cs="Times New Roman"/>
        </w:rPr>
        <w:t>.</w:t>
      </w:r>
    </w:p>
  </w:footnote>
  <w:footnote w:id="18">
    <w:p w:rsidR="008D7951" w:rsidRPr="00302272" w:rsidRDefault="008D7951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302272">
        <w:rPr>
          <w:rFonts w:ascii="Times New Roman" w:hAnsi="Times New Roman" w:cs="Times New Roman"/>
        </w:rPr>
        <w:t>Указ Президента РФ от 26.10.2023 № 812 «Об утверждении Климатической доктрины Российской Федерации».</w:t>
      </w:r>
    </w:p>
  </w:footnote>
  <w:footnote w:id="19">
    <w:p w:rsidR="008D7951" w:rsidRPr="003968B0" w:rsidRDefault="008D7951" w:rsidP="00302272">
      <w:pPr>
        <w:pStyle w:val="a4"/>
        <w:rPr>
          <w:rFonts w:ascii="Times New Roman" w:hAnsi="Times New Roman" w:cs="Times New Roman"/>
        </w:rPr>
      </w:pPr>
      <w:r w:rsidRPr="003968B0">
        <w:rPr>
          <w:rStyle w:val="a6"/>
          <w:rFonts w:ascii="Times New Roman" w:hAnsi="Times New Roman" w:cs="Times New Roman"/>
        </w:rPr>
        <w:footnoteRef/>
      </w:r>
      <w:r w:rsidRPr="003968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3968B0">
        <w:rPr>
          <w:rFonts w:ascii="Times New Roman" w:hAnsi="Times New Roman" w:cs="Times New Roman"/>
        </w:rPr>
        <w:t>аспоряжение Правительства РФ от 31.08.2002</w:t>
      </w:r>
      <w:r>
        <w:rPr>
          <w:rFonts w:ascii="Times New Roman" w:hAnsi="Times New Roman" w:cs="Times New Roman"/>
        </w:rPr>
        <w:t xml:space="preserve"> </w:t>
      </w:r>
      <w:r w:rsidRPr="003968B0">
        <w:rPr>
          <w:rFonts w:ascii="Times New Roman" w:hAnsi="Times New Roman" w:cs="Times New Roman"/>
        </w:rPr>
        <w:t>№ 1225-р.</w:t>
      </w:r>
    </w:p>
  </w:footnote>
  <w:footnote w:id="20">
    <w:p w:rsidR="008D7951" w:rsidRDefault="008D7951">
      <w:pPr>
        <w:pStyle w:val="a4"/>
      </w:pPr>
      <w:r>
        <w:rPr>
          <w:rStyle w:val="a6"/>
        </w:rPr>
        <w:footnoteRef/>
      </w:r>
      <w:r>
        <w:t xml:space="preserve"> </w:t>
      </w:r>
      <w:r w:rsidRPr="0029174B">
        <w:rPr>
          <w:rFonts w:ascii="Times New Roman" w:hAnsi="Times New Roman" w:cs="Times New Roman"/>
          <w:i/>
        </w:rPr>
        <w:t>Ткаченко А.А.</w:t>
      </w:r>
      <w:r w:rsidRPr="00532655">
        <w:rPr>
          <w:rFonts w:ascii="Times New Roman" w:hAnsi="Times New Roman" w:cs="Times New Roman"/>
        </w:rPr>
        <w:t xml:space="preserve"> Актуальные проблемы развития регионов России: экология и право  // Экономика. Налоги. Право.</w:t>
      </w:r>
      <w:r w:rsidR="0029174B">
        <w:rPr>
          <w:rFonts w:ascii="Times New Roman" w:hAnsi="Times New Roman" w:cs="Times New Roman"/>
        </w:rPr>
        <w:t xml:space="preserve"> –</w:t>
      </w:r>
      <w:r w:rsidRPr="00532655">
        <w:rPr>
          <w:rFonts w:ascii="Times New Roman" w:hAnsi="Times New Roman" w:cs="Times New Roman"/>
        </w:rPr>
        <w:t xml:space="preserve"> 2024. </w:t>
      </w:r>
      <w:r w:rsidR="0029174B">
        <w:rPr>
          <w:rFonts w:ascii="Times New Roman" w:hAnsi="Times New Roman" w:cs="Times New Roman"/>
        </w:rPr>
        <w:t xml:space="preserve">– </w:t>
      </w:r>
      <w:r w:rsidRPr="00532655">
        <w:rPr>
          <w:rFonts w:ascii="Times New Roman" w:hAnsi="Times New Roman" w:cs="Times New Roman"/>
        </w:rPr>
        <w:t xml:space="preserve">Т. 17, № 6. </w:t>
      </w:r>
      <w:r w:rsidR="0029174B">
        <w:rPr>
          <w:rFonts w:ascii="Times New Roman" w:hAnsi="Times New Roman" w:cs="Times New Roman"/>
        </w:rPr>
        <w:t xml:space="preserve">– </w:t>
      </w:r>
      <w:r w:rsidR="0029174B" w:rsidRPr="00532655">
        <w:rPr>
          <w:rFonts w:ascii="Times New Roman" w:hAnsi="Times New Roman" w:cs="Times New Roman"/>
        </w:rPr>
        <w:t>С. 121</w:t>
      </w:r>
      <w:r w:rsidR="0029174B">
        <w:rPr>
          <w:rFonts w:ascii="Times New Roman" w:hAnsi="Times New Roman" w:cs="Times New Roman"/>
        </w:rPr>
        <w:t>.</w:t>
      </w:r>
      <w:r w:rsidRPr="00532655">
        <w:rPr>
          <w:rFonts w:ascii="Times New Roman" w:hAnsi="Times New Roman" w:cs="Times New Roman"/>
        </w:rPr>
        <w:t xml:space="preserve"> DOI 10.26794/1999-849X-2024-17-6-118-129.  </w:t>
      </w:r>
    </w:p>
  </w:footnote>
  <w:footnote w:id="21">
    <w:p w:rsidR="008D7951" w:rsidRPr="00CA02DC" w:rsidRDefault="008D7951">
      <w:pPr>
        <w:pStyle w:val="a4"/>
        <w:rPr>
          <w:rFonts w:ascii="Times New Roman" w:hAnsi="Times New Roman" w:cs="Times New Roman"/>
        </w:rPr>
      </w:pPr>
      <w:r w:rsidRPr="00CA02DC">
        <w:rPr>
          <w:rStyle w:val="a6"/>
          <w:rFonts w:ascii="Times New Roman" w:hAnsi="Times New Roman" w:cs="Times New Roman"/>
        </w:rPr>
        <w:footnoteRef/>
      </w:r>
      <w:r w:rsidRPr="00CA02DC">
        <w:rPr>
          <w:rFonts w:ascii="Times New Roman" w:hAnsi="Times New Roman" w:cs="Times New Roman"/>
        </w:rPr>
        <w:t xml:space="preserve"> https://www.gov.br/planalto/en/international-agenda/cop30</w:t>
      </w:r>
      <w:r>
        <w:rPr>
          <w:rFonts w:ascii="Times New Roman" w:hAnsi="Times New Roman" w:cs="Times New Roman"/>
        </w:rPr>
        <w:t>.</w:t>
      </w:r>
    </w:p>
  </w:footnote>
  <w:footnote w:id="22">
    <w:p w:rsidR="008D7951" w:rsidRPr="00CA02DC" w:rsidRDefault="008D7951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CA02DC">
        <w:rPr>
          <w:rFonts w:ascii="Times New Roman" w:hAnsi="Times New Roman" w:cs="Times New Roman"/>
        </w:rPr>
        <w:t>https://1520international.com.pdf</w:t>
      </w:r>
    </w:p>
  </w:footnote>
  <w:footnote w:id="23">
    <w:p w:rsidR="008D7951" w:rsidRPr="00830BF1" w:rsidRDefault="008D7951">
      <w:pPr>
        <w:pStyle w:val="a4"/>
        <w:rPr>
          <w:rFonts w:ascii="Times New Roman" w:hAnsi="Times New Roman" w:cs="Times New Roman"/>
        </w:rPr>
      </w:pPr>
      <w:r w:rsidRPr="00830BF1">
        <w:rPr>
          <w:rStyle w:val="a6"/>
          <w:rFonts w:ascii="Times New Roman" w:hAnsi="Times New Roman" w:cs="Times New Roman"/>
        </w:rPr>
        <w:footnoteRef/>
      </w:r>
      <w:r w:rsidRPr="00830BF1">
        <w:rPr>
          <w:rFonts w:ascii="Times New Roman" w:hAnsi="Times New Roman" w:cs="Times New Roman"/>
        </w:rPr>
        <w:t xml:space="preserve"> https://infobrics.org/files/country/russia/documents/Kazan_declaration_ru.pdf</w:t>
      </w:r>
    </w:p>
  </w:footnote>
  <w:footnote w:id="24">
    <w:p w:rsidR="008D7951" w:rsidRPr="008D7951" w:rsidRDefault="008D7951">
      <w:pPr>
        <w:pStyle w:val="a4"/>
        <w:rPr>
          <w:rFonts w:ascii="Times New Roman" w:hAnsi="Times New Roman" w:cs="Times New Roman"/>
        </w:rPr>
      </w:pPr>
      <w:r w:rsidRPr="00302272">
        <w:rPr>
          <w:rStyle w:val="a6"/>
          <w:rFonts w:ascii="Times New Roman" w:hAnsi="Times New Roman" w:cs="Times New Roman"/>
        </w:rPr>
        <w:footnoteRef/>
      </w:r>
      <w:r w:rsidRPr="00302272">
        <w:rPr>
          <w:rFonts w:ascii="Times New Roman" w:hAnsi="Times New Roman" w:cs="Times New Roman"/>
        </w:rPr>
        <w:t xml:space="preserve"> https://infobrics</w:t>
      </w:r>
      <w:r w:rsidRPr="000B2B68">
        <w:rPr>
          <w:rFonts w:ascii="Times New Roman" w:hAnsi="Times New Roman" w:cs="Times New Roman"/>
        </w:rPr>
        <w:t>.org/files/country/russia/documents/Kazan_declaration_ru.pdf</w:t>
      </w:r>
    </w:p>
  </w:footnote>
  <w:footnote w:id="25">
    <w:p w:rsidR="008D7951" w:rsidRPr="00A92D68" w:rsidRDefault="008D7951">
      <w:pPr>
        <w:pStyle w:val="a4"/>
        <w:rPr>
          <w:rFonts w:ascii="Times New Roman" w:hAnsi="Times New Roman" w:cs="Times New Roman"/>
        </w:rPr>
      </w:pPr>
      <w:r w:rsidRPr="00A92D68">
        <w:rPr>
          <w:rStyle w:val="a6"/>
          <w:rFonts w:ascii="Times New Roman" w:hAnsi="Times New Roman" w:cs="Times New Roman"/>
        </w:rPr>
        <w:footnoteRef/>
      </w:r>
      <w:r w:rsidRPr="00A92D68">
        <w:rPr>
          <w:rFonts w:ascii="Times New Roman" w:hAnsi="Times New Roman" w:cs="Times New Roman"/>
        </w:rPr>
        <w:t xml:space="preserve"> </w:t>
      </w:r>
      <w:r w:rsidRPr="002C4FC0">
        <w:rPr>
          <w:rFonts w:ascii="Times New Roman" w:hAnsi="Times New Roman" w:cs="Times New Roman"/>
          <w:i/>
        </w:rPr>
        <w:t>Пятачкова А.С.,  Поташев Н.А., Смирнова В.А.</w:t>
      </w:r>
      <w:r w:rsidRPr="00A92D68">
        <w:rPr>
          <w:rFonts w:ascii="Times New Roman" w:hAnsi="Times New Roman" w:cs="Times New Roman"/>
        </w:rPr>
        <w:t xml:space="preserve"> "Зеленая" повестка в политике КНР. </w:t>
      </w:r>
      <w:r w:rsidR="002C4FC0">
        <w:rPr>
          <w:rFonts w:ascii="Times New Roman" w:hAnsi="Times New Roman" w:cs="Times New Roman"/>
        </w:rPr>
        <w:t xml:space="preserve">– </w:t>
      </w:r>
      <w:r w:rsidRPr="00A92D68">
        <w:rPr>
          <w:rFonts w:ascii="Times New Roman" w:hAnsi="Times New Roman" w:cs="Times New Roman"/>
        </w:rPr>
        <w:t xml:space="preserve">Москва: Российский совет по международным делам, 2022. </w:t>
      </w:r>
      <w:r w:rsidR="002C4FC0">
        <w:rPr>
          <w:rFonts w:ascii="Times New Roman" w:hAnsi="Times New Roman" w:cs="Times New Roman"/>
        </w:rPr>
        <w:t xml:space="preserve">– </w:t>
      </w:r>
      <w:r w:rsidRPr="00A92D68">
        <w:rPr>
          <w:rFonts w:ascii="Times New Roman" w:hAnsi="Times New Roman" w:cs="Times New Roman"/>
        </w:rPr>
        <w:t>С. 6.</w:t>
      </w:r>
    </w:p>
  </w:footnote>
  <w:footnote w:id="26">
    <w:p w:rsidR="008D7951" w:rsidRPr="008D7951" w:rsidRDefault="008D7951">
      <w:pPr>
        <w:pStyle w:val="a4"/>
        <w:rPr>
          <w:rFonts w:ascii="Times New Roman" w:hAnsi="Times New Roman" w:cs="Times New Roman"/>
        </w:rPr>
      </w:pPr>
      <w:r w:rsidRPr="009A33FF">
        <w:rPr>
          <w:rStyle w:val="a6"/>
          <w:rFonts w:ascii="Times New Roman" w:hAnsi="Times New Roman" w:cs="Times New Roman"/>
        </w:rPr>
        <w:footnoteRef/>
      </w:r>
      <w:r w:rsidRPr="008D7951">
        <w:rPr>
          <w:rFonts w:ascii="Times New Roman" w:hAnsi="Times New Roman" w:cs="Times New Roman"/>
        </w:rPr>
        <w:t xml:space="preserve"> </w:t>
      </w:r>
      <w:hyperlink r:id="rId1" w:history="1"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://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theguardian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.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com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/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global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development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/2025/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nov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/14/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china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and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saudi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arabia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among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nations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receiving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climate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loans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analysis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</w:rPr>
          <w:t>-</w:t>
        </w:r>
        <w:r w:rsidR="002C4FC0" w:rsidRPr="007D48CE">
          <w:rPr>
            <w:rStyle w:val="a7"/>
            <w:rFonts w:ascii="Times New Roman" w:hAnsi="Times New Roman" w:cs="Times New Roman"/>
            <w:color w:val="auto"/>
            <w:u w:val="none"/>
            <w:lang w:val="en-US"/>
          </w:rPr>
          <w:t>reveals</w:t>
        </w:r>
      </w:hyperlink>
    </w:p>
  </w:footnote>
  <w:footnote w:id="27">
    <w:p w:rsidR="008D7951" w:rsidRPr="00AF78BE" w:rsidRDefault="008D7951">
      <w:pPr>
        <w:pStyle w:val="a4"/>
        <w:rPr>
          <w:rFonts w:ascii="Times New Roman" w:hAnsi="Times New Roman" w:cs="Times New Roman"/>
        </w:rPr>
      </w:pPr>
      <w:r w:rsidRPr="00AF78BE">
        <w:rPr>
          <w:rStyle w:val="a6"/>
          <w:rFonts w:ascii="Times New Roman" w:hAnsi="Times New Roman" w:cs="Times New Roman"/>
        </w:rPr>
        <w:footnoteRef/>
      </w:r>
      <w:r w:rsidRPr="00AF78BE">
        <w:rPr>
          <w:rFonts w:ascii="Times New Roman" w:hAnsi="Times New Roman" w:cs="Times New Roman"/>
        </w:rPr>
        <w:t xml:space="preserve"> https://www.nytimes.com/2025/10/11/business/china-electric-grid.html</w:t>
      </w:r>
    </w:p>
  </w:footnote>
  <w:footnote w:id="28">
    <w:p w:rsidR="008D7951" w:rsidRPr="002E3386" w:rsidRDefault="008D7951">
      <w:pPr>
        <w:pStyle w:val="a4"/>
        <w:rPr>
          <w:rFonts w:ascii="Times New Roman" w:hAnsi="Times New Roman" w:cs="Times New Roman"/>
        </w:rPr>
      </w:pPr>
      <w:r w:rsidRPr="002E3386">
        <w:rPr>
          <w:rStyle w:val="a6"/>
          <w:rFonts w:ascii="Times New Roman" w:hAnsi="Times New Roman" w:cs="Times New Roman"/>
        </w:rPr>
        <w:footnoteRef/>
      </w:r>
      <w:r w:rsidRPr="002E3386">
        <w:rPr>
          <w:rFonts w:ascii="Times New Roman" w:hAnsi="Times New Roman" w:cs="Times New Roman"/>
        </w:rPr>
        <w:t xml:space="preserve"> </w:t>
      </w:r>
      <w:bookmarkStart w:id="19" w:name="_Hlk214528733"/>
      <w:r w:rsidR="009F45FB" w:rsidRPr="009F45FB">
        <w:rPr>
          <w:rFonts w:ascii="Times New Roman" w:hAnsi="Times New Roman" w:cs="Times New Roman"/>
          <w:i/>
        </w:rPr>
        <w:t>Ткаченко</w:t>
      </w:r>
      <w:bookmarkEnd w:id="19"/>
      <w:r w:rsidR="009F45FB" w:rsidRPr="009F45FB">
        <w:rPr>
          <w:rFonts w:ascii="Times New Roman" w:hAnsi="Times New Roman" w:cs="Times New Roman"/>
          <w:i/>
        </w:rPr>
        <w:t xml:space="preserve"> А.А.</w:t>
      </w:r>
      <w:r w:rsidR="009F45FB" w:rsidRPr="009F45FB">
        <w:rPr>
          <w:rFonts w:ascii="Times New Roman" w:hAnsi="Times New Roman" w:cs="Times New Roman"/>
        </w:rPr>
        <w:t xml:space="preserve"> Актуальные проблемы развития регионов России: экология и право // Экономика. Налоги</w:t>
      </w:r>
      <w:r w:rsidR="009F45FB" w:rsidRPr="009F45FB">
        <w:rPr>
          <w:rFonts w:ascii="Times New Roman" w:hAnsi="Times New Roman" w:cs="Times New Roman"/>
          <w:lang w:val="en-US"/>
        </w:rPr>
        <w:t xml:space="preserve">. </w:t>
      </w:r>
      <w:r w:rsidR="009F45FB" w:rsidRPr="009F45FB">
        <w:rPr>
          <w:rFonts w:ascii="Times New Roman" w:hAnsi="Times New Roman" w:cs="Times New Roman"/>
        </w:rPr>
        <w:t>Право</w:t>
      </w:r>
      <w:r w:rsidR="009F45FB" w:rsidRPr="009F45FB">
        <w:rPr>
          <w:rFonts w:ascii="Times New Roman" w:hAnsi="Times New Roman" w:cs="Times New Roman"/>
          <w:lang w:val="en-US"/>
        </w:rPr>
        <w:t>.</w:t>
      </w:r>
      <w:r w:rsidR="009F45FB">
        <w:rPr>
          <w:rFonts w:ascii="Times New Roman" w:hAnsi="Times New Roman" w:cs="Times New Roman"/>
        </w:rPr>
        <w:t xml:space="preserve"> –</w:t>
      </w:r>
      <w:r w:rsidR="009F45FB" w:rsidRPr="009F45FB">
        <w:rPr>
          <w:rFonts w:ascii="Times New Roman" w:hAnsi="Times New Roman" w:cs="Times New Roman"/>
          <w:lang w:val="en-US"/>
        </w:rPr>
        <w:t xml:space="preserve"> 2024. </w:t>
      </w:r>
      <w:r w:rsidR="009F45FB">
        <w:rPr>
          <w:rFonts w:ascii="Times New Roman" w:hAnsi="Times New Roman" w:cs="Times New Roman"/>
        </w:rPr>
        <w:t xml:space="preserve">– </w:t>
      </w:r>
      <w:r w:rsidR="009F45FB" w:rsidRPr="009F45FB">
        <w:rPr>
          <w:rFonts w:ascii="Times New Roman" w:hAnsi="Times New Roman" w:cs="Times New Roman"/>
        </w:rPr>
        <w:t>Т</w:t>
      </w:r>
      <w:r w:rsidR="009F45FB" w:rsidRPr="009F45FB">
        <w:rPr>
          <w:rFonts w:ascii="Times New Roman" w:hAnsi="Times New Roman" w:cs="Times New Roman"/>
          <w:lang w:val="en-US"/>
        </w:rPr>
        <w:t xml:space="preserve">. 17, № 6. </w:t>
      </w:r>
      <w:r w:rsidR="009F45FB">
        <w:rPr>
          <w:rFonts w:ascii="Times New Roman" w:hAnsi="Times New Roman" w:cs="Times New Roman"/>
        </w:rPr>
        <w:t xml:space="preserve">– </w:t>
      </w:r>
      <w:r w:rsidR="009F45FB" w:rsidRPr="009F45FB">
        <w:rPr>
          <w:rFonts w:ascii="Times New Roman" w:hAnsi="Times New Roman" w:cs="Times New Roman"/>
        </w:rPr>
        <w:t>С</w:t>
      </w:r>
      <w:r w:rsidR="009F45FB" w:rsidRPr="009F45FB">
        <w:rPr>
          <w:rFonts w:ascii="Times New Roman" w:hAnsi="Times New Roman" w:cs="Times New Roman"/>
          <w:lang w:val="en-US"/>
        </w:rPr>
        <w:t xml:space="preserve">. </w:t>
      </w:r>
      <w:r w:rsidR="009F45FB">
        <w:rPr>
          <w:rFonts w:ascii="Times New Roman" w:hAnsi="Times New Roman" w:cs="Times New Roman"/>
        </w:rPr>
        <w:t>121</w:t>
      </w:r>
      <w:r w:rsidR="009F45FB" w:rsidRPr="009F45FB">
        <w:rPr>
          <w:rFonts w:ascii="Times New Roman" w:hAnsi="Times New Roman" w:cs="Times New Roman"/>
          <w:lang w:val="en-US"/>
        </w:rPr>
        <w:t>. DOI 10.26794/1999-849X-2024-17-6-118-129</w:t>
      </w:r>
      <w:r w:rsidRPr="002E3386">
        <w:rPr>
          <w:rFonts w:ascii="Times New Roman" w:hAnsi="Times New Roman" w:cs="Times New Roman"/>
        </w:rPr>
        <w:t>с</w:t>
      </w:r>
    </w:p>
  </w:footnote>
  <w:footnote w:id="29">
    <w:p w:rsidR="008D7951" w:rsidRPr="00331F0C" w:rsidRDefault="008D7951">
      <w:pPr>
        <w:pStyle w:val="a4"/>
        <w:rPr>
          <w:rFonts w:ascii="Times New Roman" w:hAnsi="Times New Roman" w:cs="Times New Roman"/>
        </w:rPr>
      </w:pPr>
      <w:r w:rsidRPr="00331F0C">
        <w:rPr>
          <w:rStyle w:val="a6"/>
          <w:rFonts w:ascii="Times New Roman" w:hAnsi="Times New Roman" w:cs="Times New Roman"/>
        </w:rPr>
        <w:footnoteRef/>
      </w:r>
      <w:r w:rsidRPr="00331F0C">
        <w:rPr>
          <w:rFonts w:ascii="Times New Roman" w:hAnsi="Times New Roman" w:cs="Times New Roman"/>
        </w:rPr>
        <w:t xml:space="preserve"> При этом надо учитывать, что в энергетическо</w:t>
      </w:r>
      <w:r>
        <w:rPr>
          <w:rFonts w:ascii="Times New Roman" w:hAnsi="Times New Roman" w:cs="Times New Roman"/>
        </w:rPr>
        <w:t>й</w:t>
      </w:r>
      <w:r w:rsidRPr="00331F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сфере </w:t>
      </w:r>
      <w:r w:rsidRPr="00331F0C">
        <w:rPr>
          <w:rFonts w:ascii="Times New Roman" w:hAnsi="Times New Roman" w:cs="Times New Roman"/>
        </w:rPr>
        <w:t>многих стран G20, особенно в развивающихся экономиках</w:t>
      </w:r>
      <w:r>
        <w:rPr>
          <w:rFonts w:ascii="Times New Roman" w:hAnsi="Times New Roman" w:cs="Times New Roman"/>
        </w:rPr>
        <w:t>, г</w:t>
      </w:r>
      <w:r w:rsidRPr="00331F0C">
        <w:rPr>
          <w:rFonts w:ascii="Times New Roman" w:hAnsi="Times New Roman" w:cs="Times New Roman"/>
        </w:rPr>
        <w:t xml:space="preserve">оспредприятия </w:t>
      </w:r>
      <w:r>
        <w:rPr>
          <w:rFonts w:ascii="Times New Roman" w:hAnsi="Times New Roman" w:cs="Times New Roman"/>
        </w:rPr>
        <w:t>преобладают, что, с одной стороны, увеличивает возможности государства в изменении политики, а, с другой, усиливает препоны  для таких изменений.</w:t>
      </w:r>
    </w:p>
  </w:footnote>
  <w:footnote w:id="30">
    <w:p w:rsidR="008D7951" w:rsidRPr="00102C76" w:rsidRDefault="008D7951">
      <w:pPr>
        <w:pStyle w:val="a4"/>
        <w:rPr>
          <w:rFonts w:ascii="Times New Roman" w:hAnsi="Times New Roman" w:cs="Times New Roman"/>
        </w:rPr>
      </w:pPr>
      <w:r w:rsidRPr="00102C76">
        <w:rPr>
          <w:rStyle w:val="a6"/>
          <w:rFonts w:ascii="Times New Roman" w:hAnsi="Times New Roman" w:cs="Times New Roman"/>
        </w:rPr>
        <w:footnoteRef/>
      </w:r>
      <w:r w:rsidRPr="00102C76">
        <w:rPr>
          <w:rFonts w:ascii="Times New Roman" w:hAnsi="Times New Roman" w:cs="Times New Roman"/>
        </w:rPr>
        <w:t xml:space="preserve"> https://www.energypolicytracker.org/g20-fossil-fuel-support/</w:t>
      </w:r>
    </w:p>
  </w:footnote>
  <w:footnote w:id="31">
    <w:p w:rsidR="008D7951" w:rsidRPr="00865987" w:rsidRDefault="008D7951" w:rsidP="006E0319">
      <w:pPr>
        <w:pStyle w:val="a4"/>
        <w:rPr>
          <w:rFonts w:ascii="Times New Roman" w:hAnsi="Times New Roman" w:cs="Times New Roman"/>
          <w:lang w:val="en-US"/>
        </w:rPr>
      </w:pPr>
      <w:r w:rsidRPr="00865987">
        <w:rPr>
          <w:rStyle w:val="a6"/>
          <w:rFonts w:ascii="Times New Roman" w:hAnsi="Times New Roman" w:cs="Times New Roman"/>
        </w:rPr>
        <w:footnoteRef/>
      </w:r>
      <w:r w:rsidRPr="00865987">
        <w:rPr>
          <w:rFonts w:ascii="Times New Roman" w:hAnsi="Times New Roman" w:cs="Times New Roman"/>
          <w:lang w:val="fr-BE"/>
        </w:rPr>
        <w:t xml:space="preserve"> </w:t>
      </w:r>
      <w:r w:rsidRPr="009F45FB">
        <w:rPr>
          <w:rFonts w:ascii="Times New Roman" w:hAnsi="Times New Roman" w:cs="Times New Roman"/>
          <w:i/>
          <w:lang w:val="fr-BE"/>
        </w:rPr>
        <w:t>Dong, R., Song, J., Jiang, T. et al.</w:t>
      </w:r>
      <w:r w:rsidRPr="00865987">
        <w:rPr>
          <w:rFonts w:ascii="Times New Roman" w:hAnsi="Times New Roman" w:cs="Times New Roman"/>
          <w:lang w:val="fr-BE"/>
        </w:rPr>
        <w:t xml:space="preserve"> </w:t>
      </w:r>
      <w:r w:rsidRPr="00865987">
        <w:rPr>
          <w:rFonts w:ascii="Times New Roman" w:hAnsi="Times New Roman" w:cs="Times New Roman"/>
          <w:lang w:val="en-US"/>
        </w:rPr>
        <w:t>Environmental Sustainability Across BRICS Economies: the Dynamics Among the Digital Economy, Education, and CO2 Emissions</w:t>
      </w:r>
      <w:r w:rsidR="009F45FB" w:rsidRPr="009F45FB">
        <w:rPr>
          <w:rFonts w:ascii="Times New Roman" w:hAnsi="Times New Roman" w:cs="Times New Roman"/>
          <w:lang w:val="en-US"/>
        </w:rPr>
        <w:t xml:space="preserve"> //</w:t>
      </w:r>
      <w:r w:rsidRPr="00865987">
        <w:rPr>
          <w:rFonts w:ascii="Times New Roman" w:hAnsi="Times New Roman" w:cs="Times New Roman"/>
          <w:lang w:val="en-US"/>
        </w:rPr>
        <w:t xml:space="preserve"> Journal of the Knowledge Economy. </w:t>
      </w:r>
      <w:r w:rsidR="009F45FB" w:rsidRPr="009F45FB">
        <w:rPr>
          <w:rFonts w:ascii="Times New Roman" w:hAnsi="Times New Roman" w:cs="Times New Roman"/>
          <w:lang w:val="en-US"/>
        </w:rPr>
        <w:t xml:space="preserve">– </w:t>
      </w:r>
      <w:r w:rsidRPr="00865987">
        <w:rPr>
          <w:rFonts w:ascii="Times New Roman" w:hAnsi="Times New Roman" w:cs="Times New Roman"/>
          <w:lang w:val="en-US"/>
        </w:rPr>
        <w:t>2025.</w:t>
      </w:r>
      <w:r w:rsidR="009F45FB" w:rsidRPr="009F45FB">
        <w:rPr>
          <w:rFonts w:ascii="Times New Roman" w:hAnsi="Times New Roman" w:cs="Times New Roman"/>
          <w:lang w:val="en-US"/>
        </w:rPr>
        <w:t xml:space="preserve"> –</w:t>
      </w:r>
      <w:r w:rsidRPr="00865987">
        <w:rPr>
          <w:rFonts w:ascii="Times New Roman" w:hAnsi="Times New Roman" w:cs="Times New Roman"/>
          <w:lang w:val="en-US"/>
        </w:rPr>
        <w:t xml:space="preserve"> Vol. 16. </w:t>
      </w:r>
      <w:r w:rsidR="009F45FB" w:rsidRPr="009F45FB">
        <w:rPr>
          <w:rFonts w:ascii="Times New Roman" w:hAnsi="Times New Roman" w:cs="Times New Roman"/>
          <w:lang w:val="en-US"/>
        </w:rPr>
        <w:t xml:space="preserve">– </w:t>
      </w:r>
      <w:r w:rsidRPr="00865987">
        <w:rPr>
          <w:rFonts w:ascii="Times New Roman" w:hAnsi="Times New Roman" w:cs="Times New Roman"/>
        </w:rPr>
        <w:t>Р</w:t>
      </w:r>
      <w:r w:rsidRPr="00865987">
        <w:rPr>
          <w:rFonts w:ascii="Times New Roman" w:hAnsi="Times New Roman" w:cs="Times New Roman"/>
          <w:lang w:val="en-US"/>
        </w:rPr>
        <w:t>. 4125</w:t>
      </w:r>
      <w:r w:rsidR="009F45FB" w:rsidRPr="009F45FB">
        <w:rPr>
          <w:rFonts w:ascii="Times New Roman" w:hAnsi="Times New Roman" w:cs="Times New Roman"/>
          <w:lang w:val="en-US"/>
        </w:rPr>
        <w:t>-</w:t>
      </w:r>
      <w:r w:rsidRPr="00865987">
        <w:rPr>
          <w:rFonts w:ascii="Times New Roman" w:hAnsi="Times New Roman" w:cs="Times New Roman"/>
          <w:lang w:val="en-US"/>
        </w:rPr>
        <w:t>4145. https://doi.org/10.1007/s13132-024-02154-x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951" w:rsidRPr="008D7951" w:rsidRDefault="008D7951" w:rsidP="008D7951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00BFA"/>
    <w:multiLevelType w:val="hybridMultilevel"/>
    <w:tmpl w:val="3C36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D7399"/>
    <w:multiLevelType w:val="hybridMultilevel"/>
    <w:tmpl w:val="932204DC"/>
    <w:lvl w:ilvl="0" w:tplc="D278D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E52006"/>
    <w:multiLevelType w:val="hybridMultilevel"/>
    <w:tmpl w:val="34E2349E"/>
    <w:lvl w:ilvl="0" w:tplc="AAEED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4FF"/>
    <w:rsid w:val="00004E20"/>
    <w:rsid w:val="0001464F"/>
    <w:rsid w:val="00015D86"/>
    <w:rsid w:val="0002408B"/>
    <w:rsid w:val="000275C4"/>
    <w:rsid w:val="00057499"/>
    <w:rsid w:val="00065599"/>
    <w:rsid w:val="00084497"/>
    <w:rsid w:val="000B2B68"/>
    <w:rsid w:val="000C6C33"/>
    <w:rsid w:val="00102C76"/>
    <w:rsid w:val="00107700"/>
    <w:rsid w:val="0011395A"/>
    <w:rsid w:val="00133877"/>
    <w:rsid w:val="0014410E"/>
    <w:rsid w:val="001570AB"/>
    <w:rsid w:val="00170AF6"/>
    <w:rsid w:val="001A7591"/>
    <w:rsid w:val="001A7BA6"/>
    <w:rsid w:val="001E1EE1"/>
    <w:rsid w:val="00214C15"/>
    <w:rsid w:val="00220383"/>
    <w:rsid w:val="002247D6"/>
    <w:rsid w:val="00245E44"/>
    <w:rsid w:val="002516C5"/>
    <w:rsid w:val="0025438B"/>
    <w:rsid w:val="0026632B"/>
    <w:rsid w:val="00267E3F"/>
    <w:rsid w:val="00273370"/>
    <w:rsid w:val="00281680"/>
    <w:rsid w:val="0029174B"/>
    <w:rsid w:val="002A432A"/>
    <w:rsid w:val="002A43C8"/>
    <w:rsid w:val="002B74FF"/>
    <w:rsid w:val="002C4FC0"/>
    <w:rsid w:val="002C536C"/>
    <w:rsid w:val="002C65C0"/>
    <w:rsid w:val="002D20C3"/>
    <w:rsid w:val="002D68C2"/>
    <w:rsid w:val="002E31B6"/>
    <w:rsid w:val="002E3386"/>
    <w:rsid w:val="00302272"/>
    <w:rsid w:val="00310E18"/>
    <w:rsid w:val="003150E5"/>
    <w:rsid w:val="003233F0"/>
    <w:rsid w:val="00331F0C"/>
    <w:rsid w:val="00344216"/>
    <w:rsid w:val="00352419"/>
    <w:rsid w:val="00375C3E"/>
    <w:rsid w:val="003820C9"/>
    <w:rsid w:val="00391759"/>
    <w:rsid w:val="003936A9"/>
    <w:rsid w:val="003968B0"/>
    <w:rsid w:val="003B4D66"/>
    <w:rsid w:val="003B5BA0"/>
    <w:rsid w:val="003D0966"/>
    <w:rsid w:val="003D0A60"/>
    <w:rsid w:val="003E1CE7"/>
    <w:rsid w:val="00423188"/>
    <w:rsid w:val="00423B48"/>
    <w:rsid w:val="004300CE"/>
    <w:rsid w:val="00447C0F"/>
    <w:rsid w:val="00452BB2"/>
    <w:rsid w:val="00457F99"/>
    <w:rsid w:val="00464EF1"/>
    <w:rsid w:val="00471F90"/>
    <w:rsid w:val="00475967"/>
    <w:rsid w:val="004A270F"/>
    <w:rsid w:val="004A44B5"/>
    <w:rsid w:val="004A47C4"/>
    <w:rsid w:val="004C6844"/>
    <w:rsid w:val="00525D35"/>
    <w:rsid w:val="00531F74"/>
    <w:rsid w:val="00532655"/>
    <w:rsid w:val="00532C06"/>
    <w:rsid w:val="00534E91"/>
    <w:rsid w:val="005370DD"/>
    <w:rsid w:val="005412EF"/>
    <w:rsid w:val="005464DA"/>
    <w:rsid w:val="00552DE6"/>
    <w:rsid w:val="005572CD"/>
    <w:rsid w:val="00583C22"/>
    <w:rsid w:val="0059270E"/>
    <w:rsid w:val="005D4488"/>
    <w:rsid w:val="005E39D5"/>
    <w:rsid w:val="005E5FBF"/>
    <w:rsid w:val="005F300B"/>
    <w:rsid w:val="006056A4"/>
    <w:rsid w:val="006063C4"/>
    <w:rsid w:val="00613902"/>
    <w:rsid w:val="00620411"/>
    <w:rsid w:val="0063128F"/>
    <w:rsid w:val="006334FA"/>
    <w:rsid w:val="00647CFC"/>
    <w:rsid w:val="006705D8"/>
    <w:rsid w:val="00681B70"/>
    <w:rsid w:val="006866AB"/>
    <w:rsid w:val="006B24E6"/>
    <w:rsid w:val="006B64BB"/>
    <w:rsid w:val="006C491D"/>
    <w:rsid w:val="006D4EDB"/>
    <w:rsid w:val="006D6EAC"/>
    <w:rsid w:val="006E0319"/>
    <w:rsid w:val="006E582A"/>
    <w:rsid w:val="006E7844"/>
    <w:rsid w:val="006F2546"/>
    <w:rsid w:val="00707117"/>
    <w:rsid w:val="00710000"/>
    <w:rsid w:val="007277DF"/>
    <w:rsid w:val="0073556E"/>
    <w:rsid w:val="007363C8"/>
    <w:rsid w:val="00743123"/>
    <w:rsid w:val="00776DA5"/>
    <w:rsid w:val="007874DB"/>
    <w:rsid w:val="00795B53"/>
    <w:rsid w:val="007C4C16"/>
    <w:rsid w:val="007D40E7"/>
    <w:rsid w:val="007D48CE"/>
    <w:rsid w:val="007D716A"/>
    <w:rsid w:val="007E21BB"/>
    <w:rsid w:val="007F2C21"/>
    <w:rsid w:val="008041EB"/>
    <w:rsid w:val="00805EFB"/>
    <w:rsid w:val="00811B82"/>
    <w:rsid w:val="00830BF1"/>
    <w:rsid w:val="00862F6A"/>
    <w:rsid w:val="00866019"/>
    <w:rsid w:val="0087179A"/>
    <w:rsid w:val="008726F2"/>
    <w:rsid w:val="0087310B"/>
    <w:rsid w:val="00875CF3"/>
    <w:rsid w:val="00880777"/>
    <w:rsid w:val="00885081"/>
    <w:rsid w:val="00890BF1"/>
    <w:rsid w:val="00897BCB"/>
    <w:rsid w:val="008C23F8"/>
    <w:rsid w:val="008D2F25"/>
    <w:rsid w:val="008D6417"/>
    <w:rsid w:val="008D7951"/>
    <w:rsid w:val="008E271B"/>
    <w:rsid w:val="008F2267"/>
    <w:rsid w:val="009052DE"/>
    <w:rsid w:val="00921864"/>
    <w:rsid w:val="00925137"/>
    <w:rsid w:val="00926F79"/>
    <w:rsid w:val="00934C57"/>
    <w:rsid w:val="00944D69"/>
    <w:rsid w:val="0094791F"/>
    <w:rsid w:val="00955D93"/>
    <w:rsid w:val="00963BF6"/>
    <w:rsid w:val="00966F9C"/>
    <w:rsid w:val="00981994"/>
    <w:rsid w:val="00987FA4"/>
    <w:rsid w:val="009A33FF"/>
    <w:rsid w:val="009A4EE4"/>
    <w:rsid w:val="009A7E9E"/>
    <w:rsid w:val="009B20F8"/>
    <w:rsid w:val="009C0C88"/>
    <w:rsid w:val="009D29C4"/>
    <w:rsid w:val="009E38B8"/>
    <w:rsid w:val="009F00F2"/>
    <w:rsid w:val="009F3101"/>
    <w:rsid w:val="009F45FB"/>
    <w:rsid w:val="009F7841"/>
    <w:rsid w:val="00A310D3"/>
    <w:rsid w:val="00A479AF"/>
    <w:rsid w:val="00A5212B"/>
    <w:rsid w:val="00A71E76"/>
    <w:rsid w:val="00A92D68"/>
    <w:rsid w:val="00AA6002"/>
    <w:rsid w:val="00AB0A16"/>
    <w:rsid w:val="00AB6D2B"/>
    <w:rsid w:val="00AD2530"/>
    <w:rsid w:val="00AD3E2F"/>
    <w:rsid w:val="00AE0608"/>
    <w:rsid w:val="00AE2F29"/>
    <w:rsid w:val="00AF252C"/>
    <w:rsid w:val="00AF78BE"/>
    <w:rsid w:val="00B00FC2"/>
    <w:rsid w:val="00B044D5"/>
    <w:rsid w:val="00B119E2"/>
    <w:rsid w:val="00B13B7A"/>
    <w:rsid w:val="00B31526"/>
    <w:rsid w:val="00B34C28"/>
    <w:rsid w:val="00B35F5E"/>
    <w:rsid w:val="00B4049D"/>
    <w:rsid w:val="00B40E59"/>
    <w:rsid w:val="00B545AF"/>
    <w:rsid w:val="00B61CA5"/>
    <w:rsid w:val="00BA1286"/>
    <w:rsid w:val="00BA75AA"/>
    <w:rsid w:val="00BC603E"/>
    <w:rsid w:val="00BD55FA"/>
    <w:rsid w:val="00BD73C9"/>
    <w:rsid w:val="00C02F44"/>
    <w:rsid w:val="00C157F2"/>
    <w:rsid w:val="00C21B8B"/>
    <w:rsid w:val="00C22863"/>
    <w:rsid w:val="00C448B7"/>
    <w:rsid w:val="00C52806"/>
    <w:rsid w:val="00C73930"/>
    <w:rsid w:val="00C76A43"/>
    <w:rsid w:val="00C9509C"/>
    <w:rsid w:val="00CA02DC"/>
    <w:rsid w:val="00CA2B23"/>
    <w:rsid w:val="00CB402B"/>
    <w:rsid w:val="00CD13C7"/>
    <w:rsid w:val="00CD79F8"/>
    <w:rsid w:val="00CF6E26"/>
    <w:rsid w:val="00D0377D"/>
    <w:rsid w:val="00D14635"/>
    <w:rsid w:val="00D3367A"/>
    <w:rsid w:val="00D34CDB"/>
    <w:rsid w:val="00D351D1"/>
    <w:rsid w:val="00D378E8"/>
    <w:rsid w:val="00D609F5"/>
    <w:rsid w:val="00D6299B"/>
    <w:rsid w:val="00D70B05"/>
    <w:rsid w:val="00DC1244"/>
    <w:rsid w:val="00DD014F"/>
    <w:rsid w:val="00DD25E4"/>
    <w:rsid w:val="00DD570B"/>
    <w:rsid w:val="00DE51B7"/>
    <w:rsid w:val="00DE5B7D"/>
    <w:rsid w:val="00E0652E"/>
    <w:rsid w:val="00E146C0"/>
    <w:rsid w:val="00E4318F"/>
    <w:rsid w:val="00E648C7"/>
    <w:rsid w:val="00E67193"/>
    <w:rsid w:val="00E924ED"/>
    <w:rsid w:val="00EB18C6"/>
    <w:rsid w:val="00ED7FE8"/>
    <w:rsid w:val="00EE131A"/>
    <w:rsid w:val="00EE4DB9"/>
    <w:rsid w:val="00F21E4A"/>
    <w:rsid w:val="00F35946"/>
    <w:rsid w:val="00F553F4"/>
    <w:rsid w:val="00F661C0"/>
    <w:rsid w:val="00F67A31"/>
    <w:rsid w:val="00F97EEA"/>
    <w:rsid w:val="00FA237E"/>
    <w:rsid w:val="00FF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E7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866A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866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866AB"/>
    <w:rPr>
      <w:vertAlign w:val="superscript"/>
    </w:rPr>
  </w:style>
  <w:style w:type="character" w:styleId="a7">
    <w:name w:val="Hyperlink"/>
    <w:basedOn w:val="a0"/>
    <w:uiPriority w:val="99"/>
    <w:unhideWhenUsed/>
    <w:rsid w:val="003936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36A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87FA4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041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041EB"/>
  </w:style>
  <w:style w:type="paragraph" w:styleId="ab">
    <w:name w:val="footer"/>
    <w:basedOn w:val="a"/>
    <w:link w:val="ac"/>
    <w:uiPriority w:val="99"/>
    <w:unhideWhenUsed/>
    <w:rsid w:val="008041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041EB"/>
  </w:style>
  <w:style w:type="paragraph" w:styleId="ad">
    <w:name w:val="No Spacing"/>
    <w:uiPriority w:val="1"/>
    <w:qFormat/>
    <w:rsid w:val="00F66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ar.jrc.ec.europa.eu/report_2025?vis=co2t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guardian.com/global-development/2025/nov/14/china-and-saudi-arabia-among-nations-receiving-climate-loans-analysis-reve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B508D-3E04-4B8A-A9B5-5B05B41C1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4060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Ткаченко</dc:creator>
  <cp:lastModifiedBy>Владимир</cp:lastModifiedBy>
  <cp:revision>4</cp:revision>
  <dcterms:created xsi:type="dcterms:W3CDTF">2025-11-25T18:49:00Z</dcterms:created>
  <dcterms:modified xsi:type="dcterms:W3CDTF">2025-12-02T14:30:00Z</dcterms:modified>
</cp:coreProperties>
</file>