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Сосунова</w:t>
      </w:r>
      <w:r w:rsidR="00BD52CD" w:rsidRPr="00BD52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И.А.</w:t>
      </w:r>
    </w:p>
    <w:p w:rsidR="00807CDD" w:rsidRPr="00BD52CD" w:rsidRDefault="00BD52C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hAnsi="Times New Roman" w:cs="Times New Roman"/>
          <w:sz w:val="24"/>
          <w:szCs w:val="24"/>
        </w:rPr>
        <w:t>д.соц.н.,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CD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CD">
        <w:rPr>
          <w:rFonts w:ascii="Times New Roman" w:hAnsi="Times New Roman" w:cs="Times New Roman"/>
          <w:sz w:val="24"/>
          <w:szCs w:val="24"/>
        </w:rPr>
        <w:t>вице-президент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CD">
        <w:rPr>
          <w:rFonts w:ascii="Times New Roman" w:hAnsi="Times New Roman" w:cs="Times New Roman"/>
          <w:sz w:val="24"/>
          <w:szCs w:val="24"/>
        </w:rPr>
        <w:t>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CD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CD">
        <w:rPr>
          <w:rFonts w:ascii="Times New Roman" w:hAnsi="Times New Roman" w:cs="Times New Roman"/>
          <w:sz w:val="24"/>
          <w:szCs w:val="24"/>
        </w:rPr>
        <w:t>социологов,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оводитель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прикладных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</w:t>
      </w:r>
      <w:r w:rsidR="00807C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дований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C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НИА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C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«Природные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C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ресурсы»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7F3" w:rsidRPr="00BD52CD" w:rsidRDefault="00517C1C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717F3" w:rsidRPr="00BD52C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sossunova@gmail.com</w:t>
        </w:r>
      </w:hyperlink>
    </w:p>
    <w:p w:rsidR="00BD52CD" w:rsidRDefault="00BD52C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БЛАГОПОЛУЧИЕ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ЦИВИЛИЗАЦИОННОГО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РАЗВИТИЯ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УСЛОВИЯХ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НОВЫХ</w:t>
      </w:r>
      <w:r w:rsid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ВЫЗОВОВ</w:t>
      </w:r>
    </w:p>
    <w:p w:rsidR="00BD52CD" w:rsidRPr="00BD52CD" w:rsidRDefault="00BD52C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7F3" w:rsidRPr="00BD52CD" w:rsidRDefault="001717F3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</w:t>
      </w:r>
      <w:r w:rsidR="00BD52CD" w:rsidRPr="00BD52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слова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экологическое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благополучие,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национальная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безопасность,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цивилизационное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новые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вызовы,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экологическое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поведение,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экофильность.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 w:rsidRPr="00BD52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Keywords: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ecological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well-being,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national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security,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civilisational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development,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new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challenges,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ecological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behaviour,</w:t>
      </w:r>
      <w:r w:rsidR="00BD52CD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eco-friendliness</w:t>
      </w:r>
      <w:r w:rsidRPr="00BD52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807CDD" w:rsidRPr="00BD52CD" w:rsidRDefault="00807C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вызовов,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Востоке,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продолжающаяся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Украине,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беспрецедентное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санкционное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присоединяется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саммите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(5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Рио-де-Жанейро,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Бразилия)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приветственном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подчеркнул,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40%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принадлежит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ВВП.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интенсификация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противников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однополярного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миропорядка,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затрагивающего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основополагающую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планете,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высвечивает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высочайшую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истеблишмента,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консенсуса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императива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экологическому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триаду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среды;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социально-демографических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БРИКС;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социально-экологическим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феноменов.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многофакторности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(БРИКС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географическую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территорию);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комплементарности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(то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дополнительности)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социально-демографических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социально-профессиональных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БРИКС;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своя</w:t>
      </w:r>
      <w:r w:rsidR="008C1AAB" w:rsidRPr="00BD52CD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формировавшейся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поляризационной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вызревания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высвечивает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несхожесть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ареалах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встречающегося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прецедента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экофильности,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пронизывающей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</w:t>
      </w:r>
      <w:r w:rsidR="00232DF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(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консолидированный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квинтэссенцию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присущих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феномене,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вписывает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многоликую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канву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результирующего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интенциональности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развернувшегося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дискурса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разворачивающиеся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проблематики</w:t>
      </w:r>
      <w:r w:rsidR="00C34C94" w:rsidRPr="00BD52CD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="00C34C94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суверенитета,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(зеленого)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адептов,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закрепляющейся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солидаристских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экофильных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государственности</w:t>
      </w:r>
      <w:r w:rsidR="00C34C94" w:rsidRPr="00BD52CD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дезинтеграции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технократизма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нормативно-императивного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экофильно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экофильно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репрезентативно,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1B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сложившихся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среза.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концептуализации,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новаторское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нетривиальной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обосновывающей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детерминанты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(ИК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«Экосоциология»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органичным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интенциональности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самовыражения.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функциональную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бинарном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ипостасей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интенциональную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базирующиеся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(индикатив),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факторов-детерминант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социума,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корреляции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обозначенными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формирующихся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потребительской,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природоохранной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досуговой;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детерминация,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парадоксальная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фундаментального,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актуализирующегося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экологизации.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связанная,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коррекцией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заложенных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фрагментарность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переориентации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E38" w:rsidRPr="00BD52CD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0DD" w:rsidRPr="00BD52CD" w:rsidRDefault="001361BF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государству,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директивности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E38" w:rsidRPr="00BD52CD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0DD" w:rsidRPr="00BD52CD" w:rsidRDefault="001361BF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r w:rsidR="00F85E5B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осоциология»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самоорганизации;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налицо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незрелости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Доминантными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рисках,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инерционных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доказано,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детерминируются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сложившимся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:rsidR="00F85E5B" w:rsidRPr="00BD52CD" w:rsidRDefault="00F85E5B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</w:p>
    <w:p w:rsidR="00A630DD" w:rsidRPr="00BD52CD" w:rsidRDefault="00A630DD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разнородность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взаимовлияния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A630DD" w:rsidRPr="00BD52CD" w:rsidRDefault="00AA57C3" w:rsidP="00BD52CD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разнородности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регионов,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социально-экологическог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«главного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D26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звена»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0DD" w:rsidRPr="00BD5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sectPr w:rsidR="00A630DD" w:rsidRPr="00BD52CD" w:rsidSect="00BD52CD">
      <w:headerReference w:type="default" r:id="rId9"/>
      <w:footerReference w:type="default" r:id="rId10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CD" w:rsidRDefault="00BD52CD" w:rsidP="008C1AAB">
      <w:pPr>
        <w:spacing w:before="0" w:after="0"/>
      </w:pPr>
      <w:r>
        <w:separator/>
      </w:r>
    </w:p>
  </w:endnote>
  <w:endnote w:type="continuationSeparator" w:id="0">
    <w:p w:rsidR="00BD52CD" w:rsidRDefault="00BD52CD" w:rsidP="008C1AA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4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52CD" w:rsidRPr="00BD52CD" w:rsidRDefault="00BD52CD" w:rsidP="00BD52C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2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2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D52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2DF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D52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CD" w:rsidRDefault="00BD52CD" w:rsidP="008C1AAB">
      <w:pPr>
        <w:spacing w:before="0" w:after="0"/>
      </w:pPr>
      <w:r>
        <w:separator/>
      </w:r>
    </w:p>
  </w:footnote>
  <w:footnote w:type="continuationSeparator" w:id="0">
    <w:p w:rsidR="00BD52CD" w:rsidRDefault="00BD52CD" w:rsidP="008C1AAB">
      <w:pPr>
        <w:spacing w:before="0" w:after="0"/>
      </w:pPr>
      <w:r>
        <w:continuationSeparator/>
      </w:r>
    </w:p>
  </w:footnote>
  <w:footnote w:id="1">
    <w:p w:rsidR="00BD52CD" w:rsidRPr="008C1AAB" w:rsidRDefault="00BD52CD" w:rsidP="001361B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C1AAB">
        <w:rPr>
          <w:rStyle w:val="a8"/>
          <w:rFonts w:ascii="Times New Roman" w:hAnsi="Times New Roman" w:cs="Times New Roman"/>
        </w:rPr>
        <w:footnoteRef/>
      </w:r>
      <w:r w:rsidR="001361BF">
        <w:rPr>
          <w:rFonts w:ascii="Times New Roman" w:hAnsi="Times New Roman" w:cs="Times New Roman"/>
        </w:rPr>
        <w:t xml:space="preserve"> </w:t>
      </w:r>
      <w:r w:rsidRPr="001361BF">
        <w:rPr>
          <w:rFonts w:ascii="Times New Roman" w:eastAsia="Times New Roman" w:hAnsi="Times New Roman" w:cs="Times New Roman"/>
          <w:i/>
          <w:lang w:eastAsia="ru-RU"/>
        </w:rPr>
        <w:t>Сосунова</w:t>
      </w:r>
      <w:r w:rsidR="001361BF" w:rsidRPr="001361B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361BF">
        <w:rPr>
          <w:rFonts w:ascii="Times New Roman" w:eastAsia="Times New Roman" w:hAnsi="Times New Roman" w:cs="Times New Roman"/>
          <w:i/>
          <w:lang w:eastAsia="ru-RU"/>
        </w:rPr>
        <w:t>И.А.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Методология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методы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совре</w:t>
      </w:r>
      <w:r>
        <w:rPr>
          <w:rFonts w:ascii="Times New Roman" w:eastAsia="Times New Roman" w:hAnsi="Times New Roman" w:cs="Times New Roman"/>
          <w:lang w:eastAsia="ru-RU"/>
        </w:rPr>
        <w:t>менной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социальной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экологии.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eastAsia="ru-RU"/>
        </w:rPr>
        <w:t>М.: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МНЭПУ,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2010.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eastAsia="ru-RU"/>
        </w:rPr>
        <w:t>400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с.</w:t>
      </w:r>
    </w:p>
  </w:footnote>
  <w:footnote w:id="2">
    <w:p w:rsidR="00BD52CD" w:rsidRDefault="00BD52CD" w:rsidP="001361BF">
      <w:pPr>
        <w:shd w:val="clear" w:color="auto" w:fill="FFFFFF"/>
        <w:spacing w:before="0" w:after="0"/>
        <w:ind w:firstLine="709"/>
        <w:jc w:val="both"/>
      </w:pPr>
      <w:r w:rsidRPr="00C34C9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1361BF">
        <w:rPr>
          <w:rFonts w:ascii="Times New Roman" w:hAnsi="Times New Roman" w:cs="Times New Roman"/>
          <w:sz w:val="20"/>
          <w:szCs w:val="20"/>
        </w:rPr>
        <w:t xml:space="preserve"> </w:t>
      </w:r>
      <w:r w:rsidRPr="001361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Сосунова</w:t>
      </w:r>
      <w:r w:rsidR="001361BF" w:rsidRPr="001361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361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И.А.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предметного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мира: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концептуальные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ос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новы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социальная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практика.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М.: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НИА-Природа,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2014.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152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</w:p>
  </w:footnote>
  <w:footnote w:id="3">
    <w:p w:rsidR="00BD52CD" w:rsidRDefault="00BD52CD" w:rsidP="001361BF">
      <w:pPr>
        <w:shd w:val="clear" w:color="auto" w:fill="FFFFFF"/>
        <w:spacing w:before="0" w:after="0"/>
        <w:ind w:firstLine="709"/>
        <w:jc w:val="both"/>
      </w:pPr>
      <w:r w:rsidRPr="00C34C9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1361BF">
        <w:rPr>
          <w:rFonts w:ascii="Times New Roman" w:hAnsi="Times New Roman" w:cs="Times New Roman"/>
          <w:sz w:val="20"/>
          <w:szCs w:val="20"/>
        </w:rPr>
        <w:t xml:space="preserve"> </w:t>
      </w:r>
      <w:r w:rsidRPr="001361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Сосунова</w:t>
      </w:r>
      <w:r w:rsidR="001361BF" w:rsidRPr="001361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361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И.А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Наставничество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гармонизации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социально-трудовых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отношений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Союзном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//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направления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развития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социально-трудовых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отношений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Республике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Беларусь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Федерации.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М.: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Секретариат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Парламентского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Собрания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Союза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Беларуси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России,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2022.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82</w:t>
      </w:r>
      <w:r w:rsidR="001361B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630DD">
        <w:rPr>
          <w:rFonts w:ascii="Times New Roman" w:eastAsia="Times New Roman" w:hAnsi="Times New Roman" w:cs="Times New Roman"/>
          <w:sz w:val="20"/>
          <w:szCs w:val="20"/>
          <w:lang w:eastAsia="ru-RU"/>
        </w:rPr>
        <w:t>89.</w:t>
      </w:r>
    </w:p>
  </w:footnote>
  <w:footnote w:id="4">
    <w:p w:rsidR="00BD52CD" w:rsidRPr="009F4E38" w:rsidRDefault="00BD52CD" w:rsidP="001361B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9F4E38">
        <w:rPr>
          <w:rStyle w:val="a8"/>
          <w:rFonts w:ascii="Times New Roman" w:hAnsi="Times New Roman" w:cs="Times New Roman"/>
        </w:rPr>
        <w:footnoteRef/>
      </w:r>
      <w:r w:rsidR="001361BF">
        <w:rPr>
          <w:rFonts w:ascii="Times New Roman" w:hAnsi="Times New Roman" w:cs="Times New Roman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Сосунова</w:t>
      </w:r>
      <w:r w:rsidR="001361BF" w:rsidRPr="00AA57C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И.А.,</w:t>
      </w:r>
      <w:r w:rsidR="001361BF" w:rsidRPr="00AA57C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Титаренко</w:t>
      </w:r>
      <w:r w:rsidR="001361BF" w:rsidRPr="00AA57C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Л.Г.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Роль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культуры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образования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в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формировании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эколого-ориентированного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поведения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молодежи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Союзного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государства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//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Россия: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тенденции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перспективы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развития.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Вып.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18,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ч.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2.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57C3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A630DD">
        <w:rPr>
          <w:rFonts w:ascii="Times New Roman" w:eastAsia="Times New Roman" w:hAnsi="Times New Roman" w:cs="Times New Roman"/>
          <w:lang w:eastAsia="ru-RU"/>
        </w:rPr>
        <w:t>М.: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ИНИОН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РАН,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2023.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–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С.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443</w:t>
      </w:r>
      <w:r w:rsidR="00AA57C3">
        <w:rPr>
          <w:rFonts w:ascii="Times New Roman" w:eastAsia="Times New Roman" w:hAnsi="Times New Roman" w:cs="Times New Roman"/>
          <w:lang w:eastAsia="ru-RU"/>
        </w:rPr>
        <w:t>-</w:t>
      </w:r>
      <w:r w:rsidRPr="00A630DD">
        <w:rPr>
          <w:rFonts w:ascii="Times New Roman" w:eastAsia="Times New Roman" w:hAnsi="Times New Roman" w:cs="Times New Roman"/>
          <w:lang w:eastAsia="ru-RU"/>
        </w:rPr>
        <w:t>448.</w:t>
      </w:r>
    </w:p>
  </w:footnote>
  <w:footnote w:id="5">
    <w:p w:rsidR="00BD52CD" w:rsidRDefault="00BD52CD" w:rsidP="001361BF">
      <w:pPr>
        <w:pStyle w:val="a6"/>
        <w:ind w:firstLine="709"/>
        <w:jc w:val="both"/>
      </w:pPr>
      <w:r w:rsidRPr="009F4E38">
        <w:rPr>
          <w:rStyle w:val="a8"/>
          <w:rFonts w:ascii="Times New Roman" w:hAnsi="Times New Roman" w:cs="Times New Roman"/>
        </w:rPr>
        <w:footnoteRef/>
      </w:r>
      <w:r w:rsidR="001361BF">
        <w:rPr>
          <w:rFonts w:ascii="Times New Roman" w:hAnsi="Times New Roman" w:cs="Times New Roman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Сосунова</w:t>
      </w:r>
      <w:r w:rsidR="001361BF" w:rsidRPr="00AA57C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И.А.,</w:t>
      </w:r>
      <w:r w:rsidR="001361BF" w:rsidRPr="00AA57C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Урмина</w:t>
      </w:r>
      <w:r w:rsidR="001361BF" w:rsidRPr="00AA57C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A57C3">
        <w:rPr>
          <w:rFonts w:ascii="Times New Roman" w:eastAsia="Times New Roman" w:hAnsi="Times New Roman" w:cs="Times New Roman"/>
          <w:i/>
          <w:lang w:eastAsia="ru-RU"/>
        </w:rPr>
        <w:t>И.А.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Экологизация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будущего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роль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социально-культурных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ресурсов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общества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в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развитии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стратегии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устойчивого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развития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//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Государственное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управление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развитие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России: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цивилизационные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вызовы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национальные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интересы.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57C3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A630DD">
        <w:rPr>
          <w:rFonts w:ascii="Times New Roman" w:eastAsia="Times New Roman" w:hAnsi="Times New Roman" w:cs="Times New Roman"/>
          <w:lang w:eastAsia="ru-RU"/>
        </w:rPr>
        <w:t>М.: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РАНХиГС,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2024.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–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С.</w:t>
      </w:r>
      <w:r w:rsidR="00136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30DD">
        <w:rPr>
          <w:rFonts w:ascii="Times New Roman" w:eastAsia="Times New Roman" w:hAnsi="Times New Roman" w:cs="Times New Roman"/>
          <w:lang w:eastAsia="ru-RU"/>
        </w:rPr>
        <w:t>771</w:t>
      </w:r>
      <w:r w:rsidR="00AA57C3">
        <w:rPr>
          <w:rFonts w:ascii="Times New Roman" w:eastAsia="Times New Roman" w:hAnsi="Times New Roman" w:cs="Times New Roman"/>
          <w:lang w:eastAsia="ru-RU"/>
        </w:rPr>
        <w:t>-</w:t>
      </w:r>
      <w:r w:rsidRPr="00A630DD">
        <w:rPr>
          <w:rFonts w:ascii="Times New Roman" w:eastAsia="Times New Roman" w:hAnsi="Times New Roman" w:cs="Times New Roman"/>
          <w:lang w:eastAsia="ru-RU"/>
        </w:rPr>
        <w:t>779.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CD" w:rsidRPr="00BD52CD" w:rsidRDefault="00BD52CD" w:rsidP="00BD52C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74717"/>
    <w:multiLevelType w:val="multilevel"/>
    <w:tmpl w:val="269E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0DD"/>
    <w:rsid w:val="00073E19"/>
    <w:rsid w:val="001361BF"/>
    <w:rsid w:val="001717F3"/>
    <w:rsid w:val="00232DFA"/>
    <w:rsid w:val="00273999"/>
    <w:rsid w:val="00486E0C"/>
    <w:rsid w:val="0050595E"/>
    <w:rsid w:val="00517C1C"/>
    <w:rsid w:val="0058059D"/>
    <w:rsid w:val="00652EB5"/>
    <w:rsid w:val="007E1D26"/>
    <w:rsid w:val="00807CDD"/>
    <w:rsid w:val="008527BA"/>
    <w:rsid w:val="008C1AAB"/>
    <w:rsid w:val="009C75A2"/>
    <w:rsid w:val="009F4E38"/>
    <w:rsid w:val="00A630DD"/>
    <w:rsid w:val="00AA57C3"/>
    <w:rsid w:val="00BD52CD"/>
    <w:rsid w:val="00C34C94"/>
    <w:rsid w:val="00C35AA3"/>
    <w:rsid w:val="00D71378"/>
    <w:rsid w:val="00E72FE9"/>
    <w:rsid w:val="00F47587"/>
    <w:rsid w:val="00F8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after="75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630D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30DD"/>
    <w:rPr>
      <w:b/>
      <w:bCs/>
    </w:rPr>
  </w:style>
  <w:style w:type="character" w:styleId="a4">
    <w:name w:val="Emphasis"/>
    <w:basedOn w:val="a0"/>
    <w:uiPriority w:val="20"/>
    <w:qFormat/>
    <w:rsid w:val="00A630DD"/>
    <w:rPr>
      <w:i/>
      <w:iCs/>
    </w:rPr>
  </w:style>
  <w:style w:type="character" w:customStyle="1" w:styleId="ds-markdown-html">
    <w:name w:val="ds-markdown-html"/>
    <w:basedOn w:val="a0"/>
    <w:rsid w:val="00A630DD"/>
  </w:style>
  <w:style w:type="character" w:styleId="a5">
    <w:name w:val="Hyperlink"/>
    <w:basedOn w:val="a0"/>
    <w:uiPriority w:val="99"/>
    <w:unhideWhenUsed/>
    <w:rsid w:val="001717F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C1AAB"/>
    <w:pPr>
      <w:spacing w:before="0"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C1AA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C1AAB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BD52CD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D52CD"/>
  </w:style>
  <w:style w:type="paragraph" w:styleId="ab">
    <w:name w:val="footer"/>
    <w:basedOn w:val="a"/>
    <w:link w:val="ac"/>
    <w:uiPriority w:val="99"/>
    <w:unhideWhenUsed/>
    <w:rsid w:val="00BD52CD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BD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sun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788BE-4BA5-432B-AC31-2AD8E4DD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Владимир</cp:lastModifiedBy>
  <cp:revision>4</cp:revision>
  <dcterms:created xsi:type="dcterms:W3CDTF">2025-07-09T16:05:00Z</dcterms:created>
  <dcterms:modified xsi:type="dcterms:W3CDTF">2025-07-22T07:33:00Z</dcterms:modified>
</cp:coreProperties>
</file>