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34" w:rsidRPr="007005ED" w:rsidRDefault="007A2534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</w:pPr>
      <w:bookmarkStart w:id="0" w:name="_Hlk86438351"/>
      <w:r w:rsidRPr="007005ED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Семенова</w:t>
      </w:r>
      <w:r w:rsidR="007005ED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Н.К</w:t>
      </w:r>
      <w:r w:rsidRPr="007005ED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7005ED">
        <w:rPr>
          <w:rFonts w:ascii="Times New Roman" w:eastAsia="SimSun" w:hAnsi="Times New Roman" w:cs="Times New Roman"/>
          <w:iCs/>
          <w:sz w:val="24"/>
          <w:szCs w:val="24"/>
          <w:shd w:val="clear" w:color="auto" w:fill="FFFFFF"/>
          <w:vertAlign w:val="superscript"/>
        </w:rPr>
        <w:footnoteReference w:id="1"/>
      </w:r>
    </w:p>
    <w:p w:rsidR="007A2534" w:rsidRPr="007005ED" w:rsidRDefault="007A2534" w:rsidP="007005E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к.п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олит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.н.,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в.н.с.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="007005ED" w:rsidRPr="007005ED">
        <w:rPr>
          <w:rFonts w:ascii="Times New Roman" w:hAnsi="Times New Roman" w:cs="Times New Roman"/>
          <w:iCs/>
          <w:sz w:val="24"/>
          <w:szCs w:val="24"/>
        </w:rPr>
        <w:t>Центра социально-экономических исследований Китая</w:t>
      </w:r>
      <w:r w:rsidR="007005ED"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Института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Китая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и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современной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Азии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  <w:r w:rsidRP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РАН</w:t>
      </w:r>
      <w:r w:rsidR="007005ED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</w:t>
      </w:r>
    </w:p>
    <w:bookmarkEnd w:id="0"/>
    <w:p w:rsidR="00552FA4" w:rsidRPr="007005ED" w:rsidRDefault="007005ED" w:rsidP="007005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05ED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begin"/>
      </w:r>
      <w:r w:rsidRPr="007005ED">
        <w:rPr>
          <w:rFonts w:ascii="Times New Roman" w:hAnsi="Times New Roman" w:cs="Times New Roman"/>
          <w:iCs/>
          <w:sz w:val="24"/>
          <w:szCs w:val="24"/>
          <w:lang w:val="en-US"/>
        </w:rPr>
        <w:instrText xml:space="preserve"> HYPERLINK "mailto:semenovanelli</w:instrText>
      </w:r>
      <w:r w:rsidRPr="007005ED">
        <w:rPr>
          <w:rFonts w:ascii="Times New Roman" w:hAnsi="Times New Roman" w:cs="Times New Roman"/>
          <w:iCs/>
          <w:sz w:val="24"/>
          <w:szCs w:val="24"/>
        </w:rPr>
        <w:instrText>-2011@</w:instrText>
      </w:r>
      <w:r w:rsidRPr="007005ED">
        <w:rPr>
          <w:rFonts w:ascii="Times New Roman" w:hAnsi="Times New Roman" w:cs="Times New Roman"/>
          <w:iCs/>
          <w:sz w:val="24"/>
          <w:szCs w:val="24"/>
          <w:lang w:val="en-US"/>
        </w:rPr>
        <w:instrText>mail</w:instrText>
      </w:r>
      <w:r w:rsidRPr="007005ED">
        <w:rPr>
          <w:rFonts w:ascii="Times New Roman" w:hAnsi="Times New Roman" w:cs="Times New Roman"/>
          <w:iCs/>
          <w:sz w:val="24"/>
          <w:szCs w:val="24"/>
        </w:rPr>
        <w:instrText>.</w:instrText>
      </w:r>
      <w:r w:rsidRPr="007005ED">
        <w:rPr>
          <w:rFonts w:ascii="Times New Roman" w:hAnsi="Times New Roman" w:cs="Times New Roman"/>
          <w:iCs/>
          <w:sz w:val="24"/>
          <w:szCs w:val="24"/>
          <w:lang w:val="en-US"/>
        </w:rPr>
        <w:instrText xml:space="preserve">ru" </w:instrText>
      </w:r>
      <w:r w:rsidRPr="007005ED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separate"/>
      </w:r>
      <w:r w:rsidRPr="007005ED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semenovanelli</w:t>
      </w:r>
      <w:r w:rsidRPr="007005ED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</w:rPr>
        <w:t>-2011@</w:t>
      </w:r>
      <w:r w:rsidRPr="007005ED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mail</w:t>
      </w:r>
      <w:r w:rsidRPr="007005ED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</w:rPr>
        <w:t>.</w:t>
      </w:r>
      <w:r w:rsidRPr="007005ED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ru</w:t>
      </w:r>
      <w:r w:rsidRPr="007005ED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end"/>
      </w:r>
    </w:p>
    <w:p w:rsidR="007005ED" w:rsidRPr="007005ED" w:rsidRDefault="007005ED" w:rsidP="007005ED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52FA4" w:rsidRPr="007005ED" w:rsidRDefault="009553F3" w:rsidP="007005ED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МЕЖДУ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ИНТЕГРАЦИЕЙ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ЗАВИСИМОСТЬЮ: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АМБИВАЛЕНТНАЯ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ab/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РОЛЬ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КИТАЯ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ФОРМИРОВАНИИ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ЛОГИСТИЧЕСКИХ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СИСТЕМ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СТРАН</w:t>
      </w:r>
      <w:r w:rsid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БРИКС</w:t>
      </w:r>
    </w:p>
    <w:p w:rsidR="009553F3" w:rsidRPr="007005ED" w:rsidRDefault="009553F3" w:rsidP="007005ED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</w:p>
    <w:p w:rsidR="007005ED" w:rsidRPr="007005ED" w:rsidRDefault="007A2534" w:rsidP="007005ED">
      <w:pPr>
        <w:pStyle w:val="MLSD"/>
        <w:rPr>
          <w:b w:val="0"/>
        </w:rPr>
      </w:pPr>
      <w:r w:rsidRPr="007005ED">
        <w:t>Ключевые</w:t>
      </w:r>
      <w:r w:rsidR="007005ED" w:rsidRPr="007005ED">
        <w:t xml:space="preserve"> </w:t>
      </w:r>
      <w:r w:rsidRPr="007005ED">
        <w:t>слова</w:t>
      </w:r>
      <w:r w:rsidRPr="007005ED">
        <w:rPr>
          <w:b w:val="0"/>
        </w:rPr>
        <w:t>: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БРИКС,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Китай,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транзитные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маршруты,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транспортная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система,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Пояс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и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Путь,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экономические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связи,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глобальные</w:t>
      </w:r>
      <w:r w:rsidR="007005ED" w:rsidRPr="007005ED">
        <w:rPr>
          <w:b w:val="0"/>
        </w:rPr>
        <w:t xml:space="preserve"> </w:t>
      </w:r>
      <w:r w:rsidR="00D12736" w:rsidRPr="007005ED">
        <w:rPr>
          <w:b w:val="0"/>
        </w:rPr>
        <w:t>вызовы.</w:t>
      </w:r>
    </w:p>
    <w:p w:rsidR="007A2534" w:rsidRPr="007005ED" w:rsidRDefault="00D12736" w:rsidP="007005ED">
      <w:pPr>
        <w:pStyle w:val="MLSD"/>
        <w:rPr>
          <w:b w:val="0"/>
        </w:rPr>
      </w:pPr>
      <w:r w:rsidRPr="007005ED">
        <w:t>Keywords</w:t>
      </w:r>
      <w:r w:rsidRPr="007005ED">
        <w:rPr>
          <w:b w:val="0"/>
        </w:rPr>
        <w:t>: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BRICS,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China,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transit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routes,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transportation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system,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Belt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and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Road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Initiative,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economic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ties,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global</w:t>
      </w:r>
      <w:r w:rsidR="007005ED" w:rsidRPr="007005ED">
        <w:rPr>
          <w:b w:val="0"/>
        </w:rPr>
        <w:t xml:space="preserve"> </w:t>
      </w:r>
      <w:r w:rsidRPr="007005ED">
        <w:rPr>
          <w:b w:val="0"/>
        </w:rPr>
        <w:t>challenges.</w:t>
      </w:r>
    </w:p>
    <w:p w:rsidR="007A2534" w:rsidRPr="007005ED" w:rsidRDefault="007A2534" w:rsidP="007005ED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en-US"/>
        </w:rPr>
      </w:pP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условиях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современной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глобализации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цифровой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трансформации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международная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претерпела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значительные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изменения,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сделав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глобальные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цепочки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(ГЦП)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важнейшим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звеном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мировой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экономики.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цепочки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связывают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производителей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материалов,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промышленных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предприятий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распределительных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компаний,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гарантируя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стабильное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перемещение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товаров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через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континенты.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Китай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является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важнейшим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элементом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глобальных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цепочек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поставок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благодаря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своему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положению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ведущего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мирового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экспортёра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высокоразвитой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сети.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комплексы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Шанхая,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Нинбо-Чжоушаня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Шэньчжэня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занимают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лидирующие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места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важнейших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узлов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планеты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объёму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обработки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грузов,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обеспечивая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связь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Азии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Европой,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Африкой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Северной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Америкой.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Активные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вложения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КНР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внутри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реализация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масштабных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зарубежных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проектов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позволяют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ещё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больше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укрепить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своё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присутствие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международном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рынке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товаров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услуг.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Расширение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состава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объединения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которое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теперь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включает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Бразилию,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Россию,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Индию,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Южную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Африку,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Объединённые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Арабские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Эмираты,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Иран,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Эфиопию,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Египет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Индонезию,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демонстрирует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серьёзные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изменения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структуре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современной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мира.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этой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организации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объединяют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около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сорока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процентов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всего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населения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Земли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обладают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богатыми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природными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ресурсами,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постоянно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увеличивая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потоки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объём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инвестиций,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способствуя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укреплению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совместных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позиций.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занимая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позицию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лидера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данной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коалиции,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активно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способствует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её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сплочённости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посредством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005ED" w:rsidRPr="007005ED">
        <w:rPr>
          <w:rFonts w:ascii="Times New Roman" w:eastAsia="SimSun" w:hAnsi="Times New Roman" w:cs="Times New Roman"/>
          <w:sz w:val="24"/>
          <w:szCs w:val="24"/>
        </w:rPr>
        <w:t>своей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мощнейшей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системы.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Под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влиянием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глобальных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политических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перемен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процессов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дезинтеграции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международная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кооперация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сталкивается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серьезными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вызовами.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Именно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поэтому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стабильность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системы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глобального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партнерства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приобретает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особую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значимость.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Страны,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такие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объединения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создают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новые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формы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взаимодействия,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способствующие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снижению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зависимости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привычных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мировых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лидеров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формированию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обновленной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международной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торговли.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пространство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отличается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ярко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выраженным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разнообразием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моделей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включающим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несколько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основных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типов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экономик: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•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Ресурсозависимые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(Россия,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Бразилия),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экспорт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преимущественно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состоит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сырья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(до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75%),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главным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образом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энергоресурсов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сельскохозяйственной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продукции;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•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Сервисно-технологические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(Индия),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формирующие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около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55%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валового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продукта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благодаря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сектору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услуг,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особенно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IT-аутсорсингу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фарминдустрии;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•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Индустриальные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узлы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(Китай,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Объединённые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Арабские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Эмираты),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играющие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важную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роль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производстве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товаров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обеспечении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потоков.</w:t>
      </w:r>
    </w:p>
    <w:p w:rsidR="00B824FE" w:rsidRPr="007005ED" w:rsidRDefault="00B824FE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Центральную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позицию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занимает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который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обеспечивает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почти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половину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всего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внутреннего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оборота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внутри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70700" w:rsidRPr="007005ED">
        <w:rPr>
          <w:rFonts w:ascii="Times New Roman" w:eastAsia="SimSun" w:hAnsi="Times New Roman" w:cs="Times New Roman"/>
          <w:sz w:val="24"/>
          <w:szCs w:val="24"/>
        </w:rPr>
        <w:t>организации</w:t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Структура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сотрудничества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партнёрами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чётко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определена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–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значительная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поставок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газа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нефти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России,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сельскохозяйственного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экспорта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Бразилии,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услуг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ИТ-сектора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также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посредническая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деятельность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ОАЭ</w:t>
      </w:r>
      <w:r w:rsidR="002F5A89"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2"/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AF71F3" w:rsidRPr="007005ED" w:rsidRDefault="00370700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Показатели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торгово-экономического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взаимодействия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указывают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наличие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трёх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серьёзных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проблем: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значительное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несоответствие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уровней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экономических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взаимодействий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(дисбаланс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достигает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соотношения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1:95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между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Китаем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Эфиопией),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различия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технологических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подходах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производства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высокая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степень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зависимости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транспортной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системы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китайских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инфраструктурных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объектов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7005ED">
        <w:rPr>
          <w:rFonts w:ascii="Times New Roman" w:eastAsia="SimSun" w:hAnsi="Times New Roman" w:cs="Times New Roman"/>
          <w:sz w:val="24"/>
          <w:szCs w:val="24"/>
        </w:rPr>
        <w:t>л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824FE" w:rsidRPr="007005ED">
        <w:rPr>
          <w:rFonts w:ascii="Times New Roman" w:eastAsia="SimSun" w:hAnsi="Times New Roman" w:cs="Times New Roman"/>
          <w:sz w:val="24"/>
          <w:szCs w:val="24"/>
        </w:rPr>
        <w:t>1).</w:t>
      </w:r>
    </w:p>
    <w:p w:rsidR="00C506C1" w:rsidRDefault="009434CA" w:rsidP="00C506C1">
      <w:pPr>
        <w:pStyle w:val="ae"/>
        <w:spacing w:before="0" w:beforeAutospacing="0" w:after="0" w:afterAutospacing="0" w:line="360" w:lineRule="auto"/>
        <w:ind w:firstLine="709"/>
        <w:jc w:val="right"/>
      </w:pPr>
      <w:r w:rsidRPr="007005ED">
        <w:t>Таблица</w:t>
      </w:r>
      <w:r w:rsidR="007005ED">
        <w:t xml:space="preserve"> </w:t>
      </w:r>
      <w:r w:rsidRPr="007005ED">
        <w:t>1</w:t>
      </w:r>
    </w:p>
    <w:p w:rsidR="00F4272F" w:rsidRPr="007005ED" w:rsidRDefault="009434CA" w:rsidP="007005ED">
      <w:pPr>
        <w:pStyle w:val="ae"/>
        <w:spacing w:before="0" w:beforeAutospacing="0" w:after="0" w:afterAutospacing="0" w:line="360" w:lineRule="auto"/>
        <w:ind w:firstLine="709"/>
        <w:jc w:val="both"/>
      </w:pPr>
      <w:r w:rsidRPr="007005ED">
        <w:t>Показатели</w:t>
      </w:r>
      <w:r w:rsidR="007005ED">
        <w:t xml:space="preserve"> </w:t>
      </w:r>
      <w:r w:rsidRPr="007005ED">
        <w:t>торгово-экономического</w:t>
      </w:r>
      <w:r w:rsidR="007005ED">
        <w:t xml:space="preserve"> </w:t>
      </w:r>
      <w:r w:rsidRPr="007005ED">
        <w:t>взаимодействия</w:t>
      </w:r>
      <w:r w:rsidR="007005ED">
        <w:t xml:space="preserve"> </w:t>
      </w:r>
      <w:r w:rsidRPr="007005ED">
        <w:t>стран</w:t>
      </w:r>
      <w:r w:rsidR="007005ED">
        <w:t xml:space="preserve"> </w:t>
      </w:r>
      <w:r w:rsidRPr="007005ED">
        <w:t>БРИКС,</w:t>
      </w:r>
      <w:r w:rsidR="007005ED">
        <w:t xml:space="preserve"> </w:t>
      </w:r>
      <w:r w:rsidRPr="007005ED">
        <w:t>включая</w:t>
      </w:r>
      <w:r w:rsidR="007005ED">
        <w:t xml:space="preserve"> </w:t>
      </w:r>
      <w:r w:rsidRPr="007005ED">
        <w:t>объем</w:t>
      </w:r>
      <w:r w:rsidR="007005ED">
        <w:t xml:space="preserve"> </w:t>
      </w:r>
      <w:r w:rsidRPr="007005ED">
        <w:t>внешней</w:t>
      </w:r>
      <w:r w:rsidR="007005ED">
        <w:t xml:space="preserve"> </w:t>
      </w:r>
      <w:r w:rsidRPr="007005ED">
        <w:t>торговли</w:t>
      </w:r>
      <w:r w:rsidR="007005ED">
        <w:t xml:space="preserve"> </w:t>
      </w:r>
      <w:r w:rsidRPr="007005ED">
        <w:t>с</w:t>
      </w:r>
      <w:r w:rsidR="007005ED">
        <w:t xml:space="preserve"> </w:t>
      </w:r>
      <w:r w:rsidRPr="007005ED">
        <w:t>Китаем</w:t>
      </w:r>
      <w:r w:rsidR="007005ED">
        <w:t xml:space="preserve"> </w:t>
      </w:r>
      <w:r w:rsidRPr="007005ED">
        <w:t>(в</w:t>
      </w:r>
      <w:r w:rsidR="007005ED">
        <w:t xml:space="preserve"> </w:t>
      </w:r>
      <w:r w:rsidRPr="007005ED">
        <w:t>млрд</w:t>
      </w:r>
      <w:r w:rsidR="007005ED">
        <w:t xml:space="preserve"> </w:t>
      </w:r>
      <w:r w:rsidRPr="007005ED">
        <w:t>долларов),</w:t>
      </w:r>
      <w:r w:rsidR="007005ED">
        <w:t xml:space="preserve"> </w:t>
      </w:r>
      <w:r w:rsidRPr="007005ED">
        <w:t>2023</w:t>
      </w:r>
      <w:r w:rsidR="007005ED">
        <w:t xml:space="preserve"> </w:t>
      </w:r>
      <w:r w:rsidRPr="007005ED">
        <w:t>г.</w:t>
      </w:r>
      <w:r w:rsidRPr="007005ED">
        <w:rPr>
          <w:rStyle w:val="a6"/>
        </w:rPr>
        <w:footnoteReference w:id="3"/>
      </w:r>
    </w:p>
    <w:tbl>
      <w:tblPr>
        <w:tblW w:w="10122" w:type="dxa"/>
        <w:tblLook w:val="04A0"/>
      </w:tblPr>
      <w:tblGrid>
        <w:gridCol w:w="1715"/>
        <w:gridCol w:w="876"/>
        <w:gridCol w:w="876"/>
        <w:gridCol w:w="996"/>
        <w:gridCol w:w="996"/>
        <w:gridCol w:w="876"/>
        <w:gridCol w:w="992"/>
        <w:gridCol w:w="992"/>
        <w:gridCol w:w="996"/>
        <w:gridCol w:w="851"/>
      </w:tblGrid>
      <w:tr w:rsidR="00F4272F" w:rsidRPr="00C506C1" w:rsidTr="009434CA">
        <w:trPr>
          <w:trHeight w:val="111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Страна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БРИКС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272F" w:rsidRPr="00C506C1" w:rsidRDefault="007005ED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4272F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Эфиопия</w:t>
            </w:r>
          </w:p>
        </w:tc>
      </w:tr>
      <w:tr w:rsidR="00F4272F" w:rsidRPr="00C506C1" w:rsidTr="009434CA">
        <w:trPr>
          <w:trHeight w:val="288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ВВП,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</w:t>
            </w:r>
            <w:r w:rsid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3576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17795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160</w:t>
            </w:r>
          </w:p>
        </w:tc>
      </w:tr>
      <w:tr w:rsidR="00F4272F" w:rsidRPr="00C506C1" w:rsidTr="009434CA">
        <w:trPr>
          <w:trHeight w:val="54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ВВП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на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душу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населен,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</w:t>
            </w:r>
            <w:r w:rsid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10378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13809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12509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4432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48311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1241</w:t>
            </w:r>
          </w:p>
        </w:tc>
      </w:tr>
      <w:tr w:rsidR="00F4272F" w:rsidRPr="00C506C1" w:rsidTr="009434CA">
        <w:trPr>
          <w:trHeight w:val="36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Экспорт,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</w:t>
            </w:r>
            <w:r w:rsid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339,7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3379,0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3,5</w:t>
            </w:r>
          </w:p>
        </w:tc>
      </w:tr>
      <w:tr w:rsidR="00F4272F" w:rsidRPr="00C506C1" w:rsidTr="009434CA">
        <w:trPr>
          <w:trHeight w:val="36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Импорт,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</w:t>
            </w:r>
            <w:r w:rsid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673,9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2556,9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17,1</w:t>
            </w:r>
          </w:p>
        </w:tc>
      </w:tr>
      <w:tr w:rsidR="00F4272F" w:rsidRPr="00C506C1" w:rsidTr="009434CA">
        <w:trPr>
          <w:trHeight w:val="54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46D8D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Товарооборот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всего,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</w:t>
            </w:r>
            <w:r w:rsid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592,41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727,35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1105,49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5935,99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241,60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163,42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1040,78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20,53</w:t>
            </w:r>
          </w:p>
        </w:tc>
      </w:tr>
      <w:tr w:rsidR="00F4272F" w:rsidRPr="00C506C1" w:rsidTr="009434CA">
        <w:trPr>
          <w:trHeight w:val="54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46D8D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Товарооборот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БРИКС,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</w:t>
            </w:r>
            <w:r w:rsid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198,30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337,11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297,45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852,69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39,66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158,64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8,73</w:t>
            </w:r>
          </w:p>
        </w:tc>
      </w:tr>
      <w:tr w:rsidR="00F4272F" w:rsidRPr="00C506C1" w:rsidTr="009434CA">
        <w:trPr>
          <w:trHeight w:val="54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46D8D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Доля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товарообороте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БРИКС,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4272F" w:rsidRPr="00C506C1" w:rsidTr="009434CA">
        <w:trPr>
          <w:trHeight w:val="54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Экспорт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КНР,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122,42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129,14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18,55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**39,29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0,440</w:t>
            </w:r>
          </w:p>
        </w:tc>
      </w:tr>
      <w:tr w:rsidR="00F4272F" w:rsidRPr="00C506C1" w:rsidTr="009434CA">
        <w:trPr>
          <w:trHeight w:val="54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Импорт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из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КНР,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110,97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117,67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55,680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2,590</w:t>
            </w:r>
          </w:p>
        </w:tc>
      </w:tr>
      <w:tr w:rsidR="00F4272F" w:rsidRPr="00C506C1" w:rsidTr="009434CA">
        <w:trPr>
          <w:trHeight w:val="54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КНР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торговом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рейтинге</w:t>
            </w:r>
            <w:r w:rsidR="007005ED"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2F" w:rsidRPr="00C506C1" w:rsidRDefault="00F4272F" w:rsidP="00C506C1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06C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:rsidR="009434CA" w:rsidRPr="00C506C1" w:rsidRDefault="009434CA" w:rsidP="00C506C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 w:rsidRPr="00C506C1">
        <w:rPr>
          <w:rFonts w:ascii="Times New Roman" w:eastAsia="SimSun" w:hAnsi="Times New Roman" w:cs="Times New Roman"/>
        </w:rPr>
        <w:t>Источник: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составлено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автором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по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UNCSTAT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(2023).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https://unctadstat.unctad.org/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</w:p>
    <w:p w:rsidR="00F4272F" w:rsidRPr="00C506C1" w:rsidRDefault="009434CA" w:rsidP="00C506C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 w:rsidRPr="00C506C1">
        <w:rPr>
          <w:rFonts w:ascii="Times New Roman" w:eastAsia="SimSun" w:hAnsi="Times New Roman" w:cs="Times New Roman"/>
        </w:rPr>
        <w:t>Условные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обозначения: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*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-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данные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отсутствуют,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**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-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без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учета</w:t>
      </w:r>
      <w:r w:rsidR="007005ED" w:rsidRPr="00C506C1">
        <w:rPr>
          <w:rFonts w:ascii="Times New Roman" w:eastAsia="SimSun" w:hAnsi="Times New Roman" w:cs="Times New Roman"/>
        </w:rPr>
        <w:t xml:space="preserve"> </w:t>
      </w:r>
      <w:r w:rsidRPr="00C506C1">
        <w:rPr>
          <w:rFonts w:ascii="Times New Roman" w:eastAsia="SimSun" w:hAnsi="Times New Roman" w:cs="Times New Roman"/>
        </w:rPr>
        <w:t>нефти.</w:t>
      </w:r>
    </w:p>
    <w:p w:rsidR="009434CA" w:rsidRPr="007005ED" w:rsidRDefault="009434CA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434CA" w:rsidRPr="007005ED" w:rsidRDefault="009434CA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Оптимизация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процессов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играет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ключевую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роль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увеличении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объемов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Согласно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506C1">
        <w:rPr>
          <w:rFonts w:ascii="Times New Roman" w:eastAsia="SimSun" w:hAnsi="Times New Roman" w:cs="Times New Roman"/>
          <w:sz w:val="24"/>
          <w:szCs w:val="24"/>
        </w:rPr>
        <w:t xml:space="preserve">имеющимся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данным</w:t>
      </w:r>
      <w:r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4"/>
      </w:r>
      <w:r w:rsidRPr="007005ED">
        <w:rPr>
          <w:rFonts w:ascii="Times New Roman" w:eastAsia="SimSun" w:hAnsi="Times New Roman" w:cs="Times New Roman"/>
          <w:sz w:val="24"/>
          <w:szCs w:val="24"/>
        </w:rPr>
        <w:t>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степень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оптимизации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деятельности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внутри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еще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достаточно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низкая,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большими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резервами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совершенствования.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всех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рассматриваемых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наивысший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показатель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уровня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упрощенных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процедур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принадлежит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ОАЭ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(0.87),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время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минимальный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индекс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зафиксирован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Эфиопии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(0.32);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среднее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данного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показателя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членов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объединения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находится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ниже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отметки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0.61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E36137">
        <w:rPr>
          <w:rFonts w:ascii="Times New Roman" w:eastAsia="SimSun" w:hAnsi="Times New Roman" w:cs="Times New Roman"/>
          <w:sz w:val="24"/>
          <w:szCs w:val="24"/>
        </w:rPr>
        <w:t>л</w:t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2).</w:t>
      </w:r>
    </w:p>
    <w:p w:rsidR="009434CA" w:rsidRPr="007005ED" w:rsidRDefault="009434CA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lastRenderedPageBreak/>
        <w:t>Высокая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взаимосвязь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качеством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системы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объемом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товарооборота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выражается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коэффициентом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корреляции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0.78,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причем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примерно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две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трети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вариации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объясняются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уровнем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таможенного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администрирования.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Технологическое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обеспечение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добавляет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дополнительно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0.15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пункта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общей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результативности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процесса.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Положительное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влияние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операции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оказывают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условия,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качество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деловой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инновационные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технологии,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тогда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недостаток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современной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создает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препятствия.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Отмечается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значительная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разница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уровне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эффективности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оборота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сельскохозяйственной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продукции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БРИКС: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наиболее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эффективно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действуют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российские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компании,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наименее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продуктивна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деятельность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иранских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поставщиков.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Несмотря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значительные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перспективы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Ирана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остается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весьма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скромным.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данные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свидетельствуют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неоднородном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влиянии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экономику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отдельных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зависимости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состояния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прочих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сопутствующих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факторов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</w:t>
      </w:r>
      <w:r w:rsidR="009F07B8" w:rsidRPr="007005ED">
        <w:rPr>
          <w:rFonts w:ascii="Times New Roman" w:eastAsia="SimSun" w:hAnsi="Times New Roman" w:cs="Times New Roman"/>
          <w:sz w:val="24"/>
          <w:szCs w:val="24"/>
        </w:rPr>
        <w:t>т</w:t>
      </w:r>
      <w:r w:rsidRPr="007005ED">
        <w:rPr>
          <w:rFonts w:ascii="Times New Roman" w:eastAsia="SimSun" w:hAnsi="Times New Roman" w:cs="Times New Roman"/>
          <w:sz w:val="24"/>
          <w:szCs w:val="24"/>
        </w:rPr>
        <w:t>аб</w:t>
      </w:r>
      <w:r w:rsidR="00E36137">
        <w:rPr>
          <w:rFonts w:ascii="Times New Roman" w:eastAsia="SimSun" w:hAnsi="Times New Roman" w:cs="Times New Roman"/>
          <w:sz w:val="24"/>
          <w:szCs w:val="24"/>
        </w:rPr>
        <w:t>л</w:t>
      </w:r>
      <w:r w:rsidR="009F07B8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2).</w:t>
      </w:r>
    </w:p>
    <w:p w:rsidR="00E36137" w:rsidRDefault="009F07B8" w:rsidP="00E36137">
      <w:pPr>
        <w:pStyle w:val="ae"/>
        <w:spacing w:before="0" w:beforeAutospacing="0" w:after="0" w:afterAutospacing="0" w:line="360" w:lineRule="auto"/>
        <w:ind w:firstLine="709"/>
        <w:jc w:val="right"/>
      </w:pPr>
      <w:r w:rsidRPr="007005ED">
        <w:t>Таблица</w:t>
      </w:r>
      <w:r w:rsidR="007005ED">
        <w:t xml:space="preserve"> </w:t>
      </w:r>
      <w:r w:rsidRPr="007005ED">
        <w:t>2</w:t>
      </w:r>
    </w:p>
    <w:p w:rsidR="009F07B8" w:rsidRPr="007005ED" w:rsidRDefault="009F07B8" w:rsidP="007005ED">
      <w:pPr>
        <w:pStyle w:val="ae"/>
        <w:spacing w:before="0" w:beforeAutospacing="0" w:after="0" w:afterAutospacing="0" w:line="360" w:lineRule="auto"/>
        <w:ind w:firstLine="709"/>
        <w:jc w:val="both"/>
      </w:pPr>
      <w:r w:rsidRPr="007005ED">
        <w:t>Анализ</w:t>
      </w:r>
      <w:r w:rsidR="007005ED">
        <w:t xml:space="preserve"> </w:t>
      </w:r>
      <w:r w:rsidRPr="007005ED">
        <w:t>экономических</w:t>
      </w:r>
      <w:r w:rsidR="007005ED">
        <w:t xml:space="preserve"> </w:t>
      </w:r>
      <w:r w:rsidRPr="007005ED">
        <w:t>возможностей</w:t>
      </w:r>
      <w:r w:rsidR="007005ED">
        <w:t xml:space="preserve"> </w:t>
      </w:r>
      <w:r w:rsidRPr="007005ED">
        <w:t>Китая</w:t>
      </w:r>
      <w:r w:rsidR="007005ED">
        <w:t xml:space="preserve"> </w:t>
      </w:r>
      <w:r w:rsidRPr="007005ED">
        <w:t>и</w:t>
      </w:r>
      <w:r w:rsidR="007005ED">
        <w:t xml:space="preserve"> </w:t>
      </w:r>
      <w:r w:rsidRPr="007005ED">
        <w:t>перспектив</w:t>
      </w:r>
      <w:r w:rsidR="007005ED">
        <w:t xml:space="preserve"> </w:t>
      </w:r>
      <w:r w:rsidRPr="007005ED">
        <w:t>расширения</w:t>
      </w:r>
      <w:r w:rsidR="007005ED">
        <w:t xml:space="preserve"> </w:t>
      </w:r>
      <w:r w:rsidRPr="007005ED">
        <w:t>торговли</w:t>
      </w:r>
      <w:r w:rsidR="007005ED">
        <w:t xml:space="preserve"> </w:t>
      </w:r>
      <w:r w:rsidRPr="007005ED">
        <w:t>с</w:t>
      </w:r>
      <w:r w:rsidR="007005ED">
        <w:t xml:space="preserve"> </w:t>
      </w:r>
      <w:r w:rsidRPr="007005ED">
        <w:t>государствами,</w:t>
      </w:r>
      <w:r w:rsidR="007005ED">
        <w:t xml:space="preserve"> </w:t>
      </w:r>
      <w:r w:rsidRPr="007005ED">
        <w:t>входящими</w:t>
      </w:r>
      <w:r w:rsidR="007005ED">
        <w:t xml:space="preserve"> </w:t>
      </w:r>
      <w:r w:rsidRPr="007005ED">
        <w:t>в</w:t>
      </w:r>
      <w:r w:rsidR="007005ED">
        <w:t xml:space="preserve"> </w:t>
      </w:r>
      <w:r w:rsidRPr="007005ED">
        <w:t>объединение</w:t>
      </w:r>
      <w:r w:rsidR="007005ED">
        <w:t xml:space="preserve"> </w:t>
      </w:r>
      <w:r w:rsidRPr="007005ED">
        <w:t>БРИКС</w:t>
      </w:r>
    </w:p>
    <w:tbl>
      <w:tblPr>
        <w:tblW w:w="9020" w:type="dxa"/>
        <w:tblLook w:val="04A0"/>
      </w:tblPr>
      <w:tblGrid>
        <w:gridCol w:w="2149"/>
        <w:gridCol w:w="876"/>
        <w:gridCol w:w="876"/>
        <w:gridCol w:w="876"/>
        <w:gridCol w:w="876"/>
        <w:gridCol w:w="851"/>
        <w:gridCol w:w="851"/>
        <w:gridCol w:w="851"/>
        <w:gridCol w:w="814"/>
      </w:tblGrid>
      <w:tr w:rsidR="00E460C5" w:rsidRPr="00E36137" w:rsidTr="00E460C5">
        <w:trPr>
          <w:trHeight w:val="116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Эфиопия</w:t>
            </w:r>
          </w:p>
        </w:tc>
      </w:tr>
      <w:tr w:rsidR="00E460C5" w:rsidRPr="00E36137" w:rsidTr="00E460C5">
        <w:trPr>
          <w:trHeight w:val="732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Эффективность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торговли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0.707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0.503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0.222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0.057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0.116</w:t>
            </w:r>
          </w:p>
        </w:tc>
      </w:tr>
      <w:tr w:rsidR="00E460C5" w:rsidRPr="00E36137" w:rsidTr="00E460C5">
        <w:trPr>
          <w:trHeight w:val="732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Объем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торговли,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51,309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8,298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4,086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1,122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1,401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0,387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0,396</w:t>
            </w:r>
          </w:p>
        </w:tc>
      </w:tr>
      <w:tr w:rsidR="00E460C5" w:rsidRPr="00E36137" w:rsidTr="00E460C5">
        <w:trPr>
          <w:trHeight w:val="732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Потенциал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торговли,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72,535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16,501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18,403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20,052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3,823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7,087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6,81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3,397</w:t>
            </w:r>
          </w:p>
        </w:tc>
      </w:tr>
      <w:tr w:rsidR="00E460C5" w:rsidRPr="00E36137" w:rsidTr="00E460C5">
        <w:trPr>
          <w:trHeight w:val="900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Расширяемое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торговое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пространство,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млрд</w:t>
            </w:r>
            <w:r w:rsidR="007005ED"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0,099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1,688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1,354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1,661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5" w:rsidRPr="00E36137" w:rsidRDefault="00E460C5" w:rsidP="00E36137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3613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0,759</w:t>
            </w:r>
          </w:p>
        </w:tc>
      </w:tr>
    </w:tbl>
    <w:p w:rsidR="009F07B8" w:rsidRPr="00E36137" w:rsidRDefault="00E460C5" w:rsidP="00E3613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E36137">
        <w:rPr>
          <w:rFonts w:ascii="Times New Roman" w:eastAsia="SimSun" w:hAnsi="Times New Roman" w:cs="Times New Roman"/>
        </w:rPr>
        <w:t>Источник</w:t>
      </w:r>
      <w:r w:rsidRPr="00E36137">
        <w:rPr>
          <w:rFonts w:ascii="Times New Roman" w:eastAsia="SimSun" w:hAnsi="Times New Roman" w:cs="Times New Roman"/>
          <w:lang w:val="en-US"/>
        </w:rPr>
        <w:t>:</w:t>
      </w:r>
      <w:r w:rsidR="007005ED" w:rsidRPr="00E36137">
        <w:rPr>
          <w:rFonts w:ascii="Times New Roman" w:eastAsia="SimSun" w:hAnsi="Times New Roman" w:cs="Times New Roman"/>
          <w:lang w:val="en-US"/>
        </w:rPr>
        <w:t xml:space="preserve"> </w:t>
      </w:r>
      <w:r w:rsidRPr="00E36137">
        <w:rPr>
          <w:rFonts w:ascii="Times New Roman" w:eastAsia="SimSun" w:hAnsi="Times New Roman" w:cs="Times New Roman"/>
        </w:rPr>
        <w:t>составлено</w:t>
      </w:r>
      <w:r w:rsidR="007005ED" w:rsidRPr="00E36137">
        <w:rPr>
          <w:rFonts w:ascii="Times New Roman" w:eastAsia="SimSun" w:hAnsi="Times New Roman" w:cs="Times New Roman"/>
          <w:lang w:val="en-US"/>
        </w:rPr>
        <w:t xml:space="preserve"> </w:t>
      </w:r>
      <w:r w:rsidRPr="00E36137">
        <w:rPr>
          <w:rFonts w:ascii="Times New Roman" w:eastAsia="SimSun" w:hAnsi="Times New Roman" w:cs="Times New Roman"/>
        </w:rPr>
        <w:t>автором</w:t>
      </w:r>
      <w:r w:rsidR="007005ED" w:rsidRPr="00E36137">
        <w:rPr>
          <w:rFonts w:ascii="Times New Roman" w:eastAsia="SimSun" w:hAnsi="Times New Roman" w:cs="Times New Roman"/>
          <w:lang w:val="en-US"/>
        </w:rPr>
        <w:t xml:space="preserve"> </w:t>
      </w:r>
      <w:r w:rsidRPr="00E36137">
        <w:rPr>
          <w:rFonts w:ascii="Times New Roman" w:eastAsia="SimSun" w:hAnsi="Times New Roman" w:cs="Times New Roman"/>
        </w:rPr>
        <w:t>по</w:t>
      </w:r>
      <w:r w:rsidR="007005ED" w:rsidRPr="00E36137">
        <w:rPr>
          <w:rFonts w:ascii="Times New Roman" w:eastAsia="SimSun" w:hAnsi="Times New Roman" w:cs="Times New Roman"/>
          <w:lang w:val="en-US"/>
        </w:rPr>
        <w:t xml:space="preserve"> </w:t>
      </w:r>
      <w:r w:rsidR="00E36137" w:rsidRPr="00E36137">
        <w:rPr>
          <w:rFonts w:ascii="Times New Roman" w:eastAsia="SimSun" w:hAnsi="Times New Roman" w:cs="Times New Roman"/>
          <w:i/>
          <w:lang w:val="en-US"/>
        </w:rPr>
        <w:t>Xin G., Khan H., Ling X.</w:t>
      </w:r>
      <w:r w:rsidR="00E36137" w:rsidRPr="00E36137">
        <w:rPr>
          <w:rFonts w:ascii="Times New Roman" w:eastAsia="SimSun" w:hAnsi="Times New Roman" w:cs="Times New Roman"/>
          <w:lang w:val="en-US"/>
        </w:rPr>
        <w:t xml:space="preserve"> The impact of BRICS trade facilitation on China’s import and export trade in agricultural products // Frontiers in Sustainable Food Systems. – 2024. – Vol. 8.</w:t>
      </w:r>
    </w:p>
    <w:p w:rsidR="002F5A89" w:rsidRPr="00E36137" w:rsidRDefault="002F5A89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E460C5" w:rsidRPr="007005ED" w:rsidRDefault="00E460C5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Страны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E361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считают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путей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приоритетным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направлением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своего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взаимодействия.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Совершенствование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морскими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путями,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железными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дорогами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воздушными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линиями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помогает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увеличить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объемы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повысить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влияние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членов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36137">
        <w:rPr>
          <w:rFonts w:ascii="Times New Roman" w:eastAsia="SimSun" w:hAnsi="Times New Roman" w:cs="Times New Roman"/>
          <w:sz w:val="24"/>
          <w:szCs w:val="24"/>
        </w:rPr>
        <w:t>С</w:t>
      </w:r>
      <w:r w:rsidRPr="007005ED">
        <w:rPr>
          <w:rFonts w:ascii="Times New Roman" w:eastAsia="SimSun" w:hAnsi="Times New Roman" w:cs="Times New Roman"/>
          <w:sz w:val="24"/>
          <w:szCs w:val="24"/>
        </w:rPr>
        <w:t>оюза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международной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арене.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Здесь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особое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место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занимает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благодаря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своей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современной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сети,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играющей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роль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основного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узла,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соединяющего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экономику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Синхронизация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инициативы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«</w:t>
      </w:r>
      <w:r w:rsidR="00A53607" w:rsidRPr="007005ED">
        <w:rPr>
          <w:rFonts w:ascii="Times New Roman" w:eastAsia="SimSun" w:hAnsi="Times New Roman" w:cs="Times New Roman"/>
          <w:sz w:val="24"/>
          <w:szCs w:val="24"/>
        </w:rPr>
        <w:t>Пояса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53607"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53607" w:rsidRPr="007005ED">
        <w:rPr>
          <w:rFonts w:ascii="Times New Roman" w:eastAsia="SimSun" w:hAnsi="Times New Roman" w:cs="Times New Roman"/>
          <w:sz w:val="24"/>
          <w:szCs w:val="24"/>
        </w:rPr>
        <w:t>Пути</w:t>
      </w:r>
      <w:r w:rsidRPr="007005ED">
        <w:rPr>
          <w:rFonts w:ascii="Times New Roman" w:eastAsia="SimSun" w:hAnsi="Times New Roman" w:cs="Times New Roman"/>
          <w:sz w:val="24"/>
          <w:szCs w:val="24"/>
        </w:rPr>
        <w:t>»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проектами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53607"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открывает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перспективы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трансграничных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грузоперевозок,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частности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через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наземные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магистрали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Нового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шелкового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пути.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Наряду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этим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активно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укрепляется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авиационное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сообщение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столичными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городами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участников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организации,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что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играет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ключевую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роль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3F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</w:t>
      </w:r>
      <w:r w:rsidR="00912E3F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высокотехнологических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отраслей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промышленности</w:t>
      </w:r>
      <w:r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5"/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E460C5" w:rsidRPr="007005ED" w:rsidRDefault="00E460C5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Создание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общей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встречает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ряд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трудностей,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вызванных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разнообразием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национальных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участников</w:t>
      </w:r>
      <w:r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6"/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потребностью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согласовывать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крупные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инициативы.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Однако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стремительный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3F">
        <w:rPr>
          <w:rFonts w:ascii="Times New Roman" w:eastAsia="SimSun" w:hAnsi="Times New Roman" w:cs="Times New Roman"/>
          <w:sz w:val="24"/>
          <w:szCs w:val="24"/>
        </w:rPr>
        <w:t>О</w:t>
      </w:r>
      <w:r w:rsidRPr="007005ED">
        <w:rPr>
          <w:rFonts w:ascii="Times New Roman" w:eastAsia="SimSun" w:hAnsi="Times New Roman" w:cs="Times New Roman"/>
          <w:sz w:val="24"/>
          <w:szCs w:val="24"/>
        </w:rPr>
        <w:t>бъединения,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которое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уже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превосходит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суммарный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производства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G7,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формирует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надежную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базу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перспективной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транспортно-инфраструктурной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интеграции.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Реализация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крупных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проектов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способна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обеспечить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существенное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преимущество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странам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условиях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изменения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мировых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схем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укрепить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устойчивость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всего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3F">
        <w:rPr>
          <w:rFonts w:ascii="Times New Roman" w:eastAsia="SimSun" w:hAnsi="Times New Roman" w:cs="Times New Roman"/>
          <w:sz w:val="24"/>
          <w:szCs w:val="24"/>
        </w:rPr>
        <w:t>С</w:t>
      </w:r>
      <w:r w:rsidRPr="007005ED">
        <w:rPr>
          <w:rFonts w:ascii="Times New Roman" w:eastAsia="SimSun" w:hAnsi="Times New Roman" w:cs="Times New Roman"/>
          <w:sz w:val="24"/>
          <w:szCs w:val="24"/>
        </w:rPr>
        <w:t>оюза</w:t>
      </w:r>
      <w:r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7"/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E460C5" w:rsidRPr="007005ED" w:rsidRDefault="00E460C5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Развитие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сетей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странах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отличается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значительной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неравномерностью,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вызванной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различными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уровнями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роста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состоянием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государств-членов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организации.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Согласно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индексу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(Logistics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Performance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Index)</w:t>
      </w:r>
      <w:r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8"/>
      </w:r>
      <w:r w:rsidRPr="007005ED">
        <w:rPr>
          <w:rFonts w:ascii="Times New Roman" w:eastAsia="SimSun" w:hAnsi="Times New Roman" w:cs="Times New Roman"/>
          <w:sz w:val="24"/>
          <w:szCs w:val="24"/>
        </w:rPr>
        <w:t>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существует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заметный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разрыв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показателях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эффективности.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лидеров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выделяются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(общий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показатель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4.0,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особенно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высокий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уровень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Южная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Африка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(равномерное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всех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составляющих,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общий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балл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3.7).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показатели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демонстрируют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(3.4,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наиболее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уязвимая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сфера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3F">
        <w:rPr>
          <w:rFonts w:ascii="Times New Roman" w:eastAsia="SimSun" w:hAnsi="Times New Roman" w:cs="Times New Roman"/>
          <w:sz w:val="24"/>
          <w:szCs w:val="24"/>
        </w:rPr>
        <w:t>–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инфраструктура,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3.2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балла)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Бразилия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(3.6).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Замыкают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рейтинг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аутсайдеры,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которых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Россия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общим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баллом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всего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лишь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2.6.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Основными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факторами,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определяющими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такое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расхождение,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являются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степень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внедрения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цифровых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технологий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таможенные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процедуры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(коэффициент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корреляции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r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=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0.82),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состояние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коммуникаций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(r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=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0.79)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наличие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квалифицированных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кадров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сфере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(r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=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0.75)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618A6"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C46D8D">
        <w:rPr>
          <w:rFonts w:ascii="Times New Roman" w:eastAsia="SimSun" w:hAnsi="Times New Roman" w:cs="Times New Roman"/>
          <w:sz w:val="24"/>
          <w:szCs w:val="24"/>
        </w:rPr>
        <w:t>л</w:t>
      </w:r>
      <w:r w:rsidR="006618A6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618A6" w:rsidRPr="007005ED">
        <w:rPr>
          <w:rFonts w:ascii="Times New Roman" w:eastAsia="SimSun" w:hAnsi="Times New Roman" w:cs="Times New Roman"/>
          <w:sz w:val="24"/>
          <w:szCs w:val="24"/>
        </w:rPr>
        <w:t>3)</w:t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912E3F" w:rsidRPr="00912E3F" w:rsidRDefault="006618A6" w:rsidP="00912E3F">
      <w:pPr>
        <w:spacing w:after="0" w:line="36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Таблица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3</w:t>
      </w:r>
    </w:p>
    <w:p w:rsidR="006618A6" w:rsidRPr="007005ED" w:rsidRDefault="00220655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Эффективность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государств-участников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потенциальных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членов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объединения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согласно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индексу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LPI,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2023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г.</w:t>
      </w:r>
      <w:r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9"/>
      </w:r>
    </w:p>
    <w:tbl>
      <w:tblPr>
        <w:tblW w:w="9286" w:type="dxa"/>
        <w:tblLook w:val="04A0"/>
      </w:tblPr>
      <w:tblGrid>
        <w:gridCol w:w="2006"/>
        <w:gridCol w:w="640"/>
        <w:gridCol w:w="641"/>
        <w:gridCol w:w="640"/>
        <w:gridCol w:w="640"/>
        <w:gridCol w:w="640"/>
        <w:gridCol w:w="640"/>
        <w:gridCol w:w="640"/>
        <w:gridCol w:w="838"/>
        <w:gridCol w:w="640"/>
        <w:gridCol w:w="640"/>
        <w:gridCol w:w="681"/>
      </w:tblGrid>
      <w:tr w:rsidR="00657580" w:rsidRPr="00912E3F" w:rsidTr="00912E3F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655" w:rsidRPr="00912E3F" w:rsidRDefault="007005ED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Члены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БРИКС</w:t>
            </w: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Кандидат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члены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БРИКС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655" w:rsidRPr="00912E3F" w:rsidTr="00912E3F">
        <w:trPr>
          <w:trHeight w:val="135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580" w:rsidRPr="00912E3F" w:rsidRDefault="00220655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Рейтинг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r w:rsidR="00657580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убиндекс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ы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657580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LPI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Россия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Индия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Китай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220655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Бахрейн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Саудовская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Аравия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Алжир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Иран</w:t>
            </w:r>
          </w:p>
        </w:tc>
      </w:tr>
      <w:tr w:rsidR="00220655" w:rsidRPr="00912E3F" w:rsidTr="00912E3F">
        <w:trPr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Рейтинг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LPI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123</w:t>
            </w:r>
          </w:p>
        </w:tc>
      </w:tr>
      <w:tr w:rsidR="00220655" w:rsidRPr="00912E3F" w:rsidTr="00912E3F">
        <w:trPr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LPI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2,3</w:t>
            </w:r>
          </w:p>
        </w:tc>
      </w:tr>
      <w:tr w:rsidR="00220655" w:rsidRPr="00912E3F" w:rsidTr="00912E3F">
        <w:trPr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Таможня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2,2</w:t>
            </w:r>
          </w:p>
        </w:tc>
      </w:tr>
      <w:tr w:rsidR="00220655" w:rsidRPr="00912E3F" w:rsidTr="00912E3F">
        <w:trPr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2,4</w:t>
            </w:r>
          </w:p>
        </w:tc>
      </w:tr>
      <w:tr w:rsidR="00220655" w:rsidRPr="00912E3F" w:rsidTr="00912E3F">
        <w:trPr>
          <w:trHeight w:val="6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Международные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перевозки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2,4</w:t>
            </w:r>
          </w:p>
        </w:tc>
      </w:tr>
      <w:tr w:rsidR="00220655" w:rsidRPr="00912E3F" w:rsidTr="00912E3F">
        <w:trPr>
          <w:trHeight w:val="6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Логистическая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компетентность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2,1</w:t>
            </w:r>
          </w:p>
        </w:tc>
      </w:tr>
      <w:tr w:rsidR="00220655" w:rsidRPr="00912E3F" w:rsidTr="00912E3F">
        <w:trPr>
          <w:trHeight w:val="6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Отслеживание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прослеживание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2,4</w:t>
            </w:r>
          </w:p>
        </w:tc>
      </w:tr>
      <w:tr w:rsidR="00220655" w:rsidRPr="00912E3F" w:rsidTr="00912E3F">
        <w:trPr>
          <w:trHeight w:val="4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Своевременность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580" w:rsidRPr="00912E3F" w:rsidRDefault="0065758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2,7</w:t>
            </w:r>
          </w:p>
        </w:tc>
      </w:tr>
    </w:tbl>
    <w:p w:rsidR="006618A6" w:rsidRPr="00912E3F" w:rsidRDefault="006618A6" w:rsidP="00912E3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912E3F">
        <w:rPr>
          <w:rFonts w:ascii="Times New Roman" w:eastAsia="SimSun" w:hAnsi="Times New Roman" w:cs="Times New Roman"/>
        </w:rPr>
        <w:t>Источник</w:t>
      </w:r>
      <w:r w:rsidRPr="00912E3F">
        <w:rPr>
          <w:rFonts w:ascii="Times New Roman" w:eastAsia="SimSun" w:hAnsi="Times New Roman" w:cs="Times New Roman"/>
          <w:lang w:val="en-US"/>
        </w:rPr>
        <w:t>: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</w:rPr>
        <w:t>составлено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</w:rPr>
        <w:t>автором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</w:rPr>
        <w:t>по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lang w:val="en-US"/>
        </w:rPr>
        <w:t>International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lang w:val="en-US"/>
        </w:rPr>
        <w:t>LPI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lang w:val="en-US"/>
        </w:rPr>
        <w:t>Index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="00220655" w:rsidRPr="00912E3F">
        <w:rPr>
          <w:rFonts w:ascii="Times New Roman" w:eastAsia="SimSun" w:hAnsi="Times New Roman" w:cs="Times New Roman"/>
          <w:lang w:val="en-US"/>
        </w:rPr>
        <w:t>/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lang w:val="en-US"/>
        </w:rPr>
        <w:t>The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lang w:val="en-US"/>
        </w:rPr>
        <w:t>World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lang w:val="en-US"/>
        </w:rPr>
        <w:t>Bank</w:t>
      </w:r>
      <w:r w:rsidR="00912E3F" w:rsidRPr="00912E3F">
        <w:rPr>
          <w:rFonts w:ascii="Times New Roman" w:eastAsia="SimSun" w:hAnsi="Times New Roman" w:cs="Times New Roman"/>
          <w:lang w:val="en-US"/>
        </w:rPr>
        <w:t>.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lang w:val="en-US"/>
        </w:rPr>
        <w:t>2025.</w:t>
      </w:r>
      <w:r w:rsidR="007005ED" w:rsidRPr="00912E3F">
        <w:rPr>
          <w:rFonts w:ascii="Times New Roman" w:eastAsia="SimSun" w:hAnsi="Times New Roman" w:cs="Times New Roman"/>
          <w:lang w:val="en-US"/>
        </w:rPr>
        <w:t xml:space="preserve"> </w:t>
      </w:r>
      <w:r w:rsidR="00912E3F" w:rsidRPr="00912E3F">
        <w:rPr>
          <w:rFonts w:ascii="Times New Roman" w:eastAsia="SimSun" w:hAnsi="Times New Roman" w:cs="Times New Roman"/>
          <w:lang w:val="en-US"/>
        </w:rPr>
        <w:t xml:space="preserve">– </w:t>
      </w:r>
      <w:r w:rsidRPr="00912E3F">
        <w:rPr>
          <w:rFonts w:ascii="Times New Roman" w:eastAsia="SimSun" w:hAnsi="Times New Roman" w:cs="Times New Roman"/>
          <w:lang w:val="en-US"/>
        </w:rPr>
        <w:t>https://lpi.worldbank.org/international/global</w:t>
      </w:r>
    </w:p>
    <w:p w:rsidR="00220655" w:rsidRPr="007005ED" w:rsidRDefault="00220655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220655" w:rsidRPr="007005ED" w:rsidRDefault="00220655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морских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играет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ключевую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роль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повышении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эффективности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10"/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Современные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проекты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странах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912E3F">
        <w:rPr>
          <w:rFonts w:ascii="Times New Roman" w:eastAsia="SimSun" w:hAnsi="Times New Roman" w:cs="Times New Roman"/>
          <w:sz w:val="24"/>
          <w:szCs w:val="24"/>
        </w:rPr>
        <w:t>л</w:t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4)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демонстрируют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сложное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переплетение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выгод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геополитических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рисков.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Здесь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можно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выделить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основных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направления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данного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взаимодействия: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эффект,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структурные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угрозы,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геополитическая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напряженность.</w:t>
      </w:r>
    </w:p>
    <w:p w:rsidR="00220655" w:rsidRPr="007005ED" w:rsidRDefault="00220655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При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этом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стоит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отметить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важный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парадокс: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хотя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индекс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производительности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(LPI)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стран-получателей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увеличился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среднем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0,5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балла,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одновременно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зависимость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технологий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критически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важной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достигает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75%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912E3F">
        <w:rPr>
          <w:rFonts w:ascii="Times New Roman" w:eastAsia="SimSun" w:hAnsi="Times New Roman" w:cs="Times New Roman"/>
          <w:sz w:val="24"/>
          <w:szCs w:val="24"/>
        </w:rPr>
        <w:t>л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4)</w:t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912E3F" w:rsidRDefault="00D87474" w:rsidP="00912E3F">
      <w:pPr>
        <w:spacing w:after="0" w:line="36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Таблица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4</w:t>
      </w:r>
    </w:p>
    <w:p w:rsidR="00D87474" w:rsidRPr="007005ED" w:rsidRDefault="00D87474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Портовые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проекты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государствах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E91605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11"/>
      </w:r>
    </w:p>
    <w:tbl>
      <w:tblPr>
        <w:tblW w:w="9636" w:type="dxa"/>
        <w:tblLook w:val="04A0"/>
      </w:tblPr>
      <w:tblGrid>
        <w:gridCol w:w="3262"/>
        <w:gridCol w:w="776"/>
        <w:gridCol w:w="1523"/>
        <w:gridCol w:w="1366"/>
        <w:gridCol w:w="2709"/>
      </w:tblGrid>
      <w:tr w:rsidR="009F73A0" w:rsidRPr="00912E3F" w:rsidTr="00912E3F">
        <w:trPr>
          <w:trHeight w:val="576"/>
        </w:trPr>
        <w:tc>
          <w:tcPr>
            <w:tcW w:w="3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Государство/проект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7005ED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9F73A0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Инвестиции,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9F73A0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млн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9F73A0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долл.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Форма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участия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Предприятие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инвестор/приобретатель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3A0" w:rsidRPr="00912E3F" w:rsidTr="00912E3F">
        <w:trPr>
          <w:trHeight w:val="57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Россия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универсальная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гавань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Зарубино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2014-2018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China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Merchants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Group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Ltd.(CMG)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F73A0" w:rsidRPr="00912E3F" w:rsidTr="00912E3F">
        <w:trPr>
          <w:trHeight w:val="57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Бразилия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r w:rsid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90%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акций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Паранагуа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(TCP)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China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Merchants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Port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Holdings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3A0" w:rsidRPr="00912E3F" w:rsidTr="00912E3F">
        <w:trPr>
          <w:trHeight w:val="5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Бразилия/проект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Сент-Луис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2018-2021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China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Communications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Construction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Company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(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СССС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)</w:t>
            </w:r>
          </w:p>
        </w:tc>
      </w:tr>
      <w:tr w:rsidR="009F73A0" w:rsidRPr="00912E3F" w:rsidTr="00912E3F">
        <w:trPr>
          <w:trHeight w:val="5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Египет/акционерное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участие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(20%)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терминале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Дамиетта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2007-2011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China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Shipping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(Group)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Company</w:t>
            </w:r>
          </w:p>
        </w:tc>
      </w:tr>
      <w:tr w:rsidR="009F73A0" w:rsidRPr="00C46D8D" w:rsidTr="00912E3F">
        <w:trPr>
          <w:trHeight w:val="61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Египет/контейнерный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терминал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Восточного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Порт-Саида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2008-2011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C46D8D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China</w:t>
            </w:r>
            <w:r w:rsidR="00C46D8D"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Communications</w:t>
            </w:r>
            <w:r w:rsidR="007005ED"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Construction</w:t>
            </w:r>
            <w:r w:rsidR="007005ED"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Group</w:t>
            </w:r>
            <w:r w:rsidR="007005ED"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C46D8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(CCCG)</w:t>
            </w:r>
          </w:p>
        </w:tc>
      </w:tr>
      <w:tr w:rsidR="009F73A0" w:rsidRPr="00912E3F" w:rsidTr="00912E3F">
        <w:trPr>
          <w:trHeight w:val="44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Египет/терминал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Сохне,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China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COSCO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Shipping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3A0" w:rsidRPr="00912E3F" w:rsidTr="00912E3F">
        <w:trPr>
          <w:trHeight w:val="57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Индия/автоматизация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Вижинджам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2017-2023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Shanghai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Zhenhua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Heavy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Industries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(ZPMC)</w:t>
            </w:r>
          </w:p>
        </w:tc>
      </w:tr>
      <w:tr w:rsidR="009F73A0" w:rsidRPr="00912E3F" w:rsidTr="00912E3F">
        <w:trPr>
          <w:trHeight w:val="57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Индонезия/расширение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порту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Танджунг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Приок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Ningbo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Zhoushan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Port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Group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3A0" w:rsidRPr="00912E3F" w:rsidTr="00912E3F">
        <w:trPr>
          <w:trHeight w:val="75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Индонезия/Интегрированный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промышленный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парк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Wilmar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(WIIP),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фаза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2019-2022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China’s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Tsingshan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Group</w:t>
            </w:r>
          </w:p>
        </w:tc>
      </w:tr>
      <w:tr w:rsidR="009F73A0" w:rsidRPr="00912E3F" w:rsidTr="00912E3F">
        <w:trPr>
          <w:trHeight w:val="5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ОАЭ/контейнерный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терминал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Абу-Даби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Халифа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Фаза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II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СССС,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ZPMC,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COSCO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Shipping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3A0" w:rsidRPr="00912E3F" w:rsidTr="00912E3F">
        <w:trPr>
          <w:trHeight w:val="6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ОАЭ/Фаза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I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проекта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портовой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станции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Халифа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Абу-Даби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57,46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China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Harbour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Middle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East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Regional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Management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Center</w:t>
            </w:r>
          </w:p>
        </w:tc>
      </w:tr>
      <w:tr w:rsidR="009F73A0" w:rsidRPr="00912E3F" w:rsidTr="00912E3F">
        <w:trPr>
          <w:trHeight w:val="62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ОАЭ/пирс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волнорез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острове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Канаи,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Абу-Даби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30,42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СССС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First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Navigation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Engineering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Bureau</w:t>
            </w:r>
          </w:p>
        </w:tc>
      </w:tr>
      <w:tr w:rsidR="009F73A0" w:rsidRPr="00912E3F" w:rsidTr="00912E3F">
        <w:trPr>
          <w:trHeight w:val="57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СА/</w:t>
            </w:r>
            <w:r w:rsid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г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ражданское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строительство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машиностроение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Завар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2008-2010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607,99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China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Harbour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Engineering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Company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/>
              </w:rPr>
              <w:t>(CHEC)</w:t>
            </w:r>
          </w:p>
        </w:tc>
      </w:tr>
      <w:tr w:rsidR="009F73A0" w:rsidRPr="00912E3F" w:rsidTr="00912E3F">
        <w:trPr>
          <w:trHeight w:val="57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СА/дренажный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выход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порта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Джизане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JIGCC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511,70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CHEC</w:t>
            </w:r>
          </w:p>
        </w:tc>
      </w:tr>
      <w:tr w:rsidR="009F73A0" w:rsidRPr="00912E3F" w:rsidTr="00912E3F">
        <w:trPr>
          <w:trHeight w:val="57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СА/дноуглубительные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работы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порте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Джизан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389,17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Пдр.С.Д.У.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CHEC</w:t>
            </w:r>
          </w:p>
        </w:tc>
      </w:tr>
      <w:tr w:rsidR="009F73A0" w:rsidRPr="00912E3F" w:rsidTr="00912E3F">
        <w:trPr>
          <w:trHeight w:val="5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СА/порт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Даммам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контейнерный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терминал,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проект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I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Фазы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2012-2014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3A0" w:rsidRPr="00912E3F" w:rsidRDefault="009F73A0" w:rsidP="00912E3F">
            <w:pPr>
              <w:pStyle w:val="af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CCCC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Second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Navigation</w:t>
            </w:r>
            <w:r w:rsidR="007005ED"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912E3F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Bureau</w:t>
            </w:r>
          </w:p>
        </w:tc>
      </w:tr>
    </w:tbl>
    <w:p w:rsidR="009F73A0" w:rsidRPr="00E91605" w:rsidRDefault="009F73A0" w:rsidP="00E9160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 w:rsidRPr="00E91605">
        <w:rPr>
          <w:rFonts w:ascii="Times New Roman" w:eastAsia="SimSun" w:hAnsi="Times New Roman" w:cs="Times New Roman"/>
        </w:rPr>
        <w:t>Условные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обозначения: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ИС</w:t>
      </w:r>
      <w:r w:rsidR="00E91605" w:rsidRPr="00E91605">
        <w:rPr>
          <w:rFonts w:ascii="Times New Roman" w:eastAsia="SimSun" w:hAnsi="Times New Roman" w:cs="Times New Roman"/>
        </w:rPr>
        <w:t xml:space="preserve"> – </w:t>
      </w:r>
      <w:r w:rsidRPr="00E91605">
        <w:rPr>
          <w:rFonts w:ascii="Times New Roman" w:eastAsia="SimSun" w:hAnsi="Times New Roman" w:cs="Times New Roman"/>
        </w:rPr>
        <w:t>инвестиции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в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строительство;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КС</w:t>
      </w:r>
      <w:r w:rsidR="00E91605" w:rsidRPr="00E91605">
        <w:rPr>
          <w:rFonts w:ascii="Times New Roman" w:eastAsia="SimSun" w:hAnsi="Times New Roman" w:cs="Times New Roman"/>
        </w:rPr>
        <w:t xml:space="preserve"> – </w:t>
      </w:r>
      <w:r w:rsidRPr="00E91605">
        <w:rPr>
          <w:rFonts w:ascii="Times New Roman" w:eastAsia="SimSun" w:hAnsi="Times New Roman" w:cs="Times New Roman"/>
        </w:rPr>
        <w:t>контрактное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строительство;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П</w:t>
      </w:r>
      <w:r w:rsidR="00E91605" w:rsidRPr="00E91605">
        <w:rPr>
          <w:rFonts w:ascii="Times New Roman" w:eastAsia="SimSun" w:hAnsi="Times New Roman" w:cs="Times New Roman"/>
        </w:rPr>
        <w:t xml:space="preserve"> – </w:t>
      </w:r>
      <w:r w:rsidRPr="00E91605">
        <w:rPr>
          <w:rFonts w:ascii="Times New Roman" w:eastAsia="SimSun" w:hAnsi="Times New Roman" w:cs="Times New Roman"/>
        </w:rPr>
        <w:t>приобретение;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*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="00E91605" w:rsidRPr="00E91605">
        <w:rPr>
          <w:rFonts w:ascii="Times New Roman" w:eastAsia="SimSun" w:hAnsi="Times New Roman" w:cs="Times New Roman"/>
        </w:rPr>
        <w:t>–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информация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не</w:t>
      </w:r>
      <w:r w:rsidR="007005ED" w:rsidRPr="00E91605"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разглашается.</w:t>
      </w:r>
    </w:p>
    <w:p w:rsidR="00D87474" w:rsidRPr="007005ED" w:rsidRDefault="00D87474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C042B" w:rsidRPr="007005ED" w:rsidRDefault="005C042B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Корреляционный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анализ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выявляет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прямую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зависимость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объемом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инвестиций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ростом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субиндекса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(r=0.73).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Например: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ОАЭ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(инвестиции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257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млн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долл.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терминал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Халифа)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достигли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4.1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инфраструктуре;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Египет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(380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млн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долл.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терминал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Сохна)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улучшил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3.0,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отстает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компетентности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(2.9)</w:t>
      </w:r>
      <w:r w:rsidR="00881133" w:rsidRPr="007005ED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12"/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Однако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Эфиопии,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несмотря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0.5,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сохраняется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долговая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нагрузка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(&gt;20%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ВВП),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что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ограничивает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устойчивость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улучшений.</w:t>
      </w:r>
    </w:p>
    <w:p w:rsidR="005C042B" w:rsidRPr="007005ED" w:rsidRDefault="004C41C8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Анализ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вяз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торгового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потенциала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E91605">
        <w:rPr>
          <w:rFonts w:ascii="Times New Roman" w:eastAsia="SimSun" w:hAnsi="Times New Roman" w:cs="Times New Roman"/>
          <w:sz w:val="24"/>
          <w:szCs w:val="24"/>
        </w:rPr>
        <w:t>л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2),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инвестиций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E91605">
        <w:rPr>
          <w:rFonts w:ascii="Times New Roman" w:eastAsia="SimSun" w:hAnsi="Times New Roman" w:cs="Times New Roman"/>
          <w:sz w:val="24"/>
          <w:szCs w:val="24"/>
        </w:rPr>
        <w:t>л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4)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текущих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показателей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(таб</w:t>
      </w:r>
      <w:r w:rsidR="00E91605">
        <w:rPr>
          <w:rFonts w:ascii="Times New Roman" w:eastAsia="SimSun" w:hAnsi="Times New Roman" w:cs="Times New Roman"/>
          <w:sz w:val="24"/>
          <w:szCs w:val="24"/>
        </w:rPr>
        <w:t>л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1)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показывает,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что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страны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высоким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торговым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потенциалом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(Бразилия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–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72.5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млрд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долл.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Россия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–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16.5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млрд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долл.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привлекают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больше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китайских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инвестиций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(соответственно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1.5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млрд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долл.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1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млрд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долл.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).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Однако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реализация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этого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потенциала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сталкивается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проблемами</w:t>
      </w:r>
      <w:r w:rsidRPr="007005ED">
        <w:rPr>
          <w:rFonts w:ascii="Times New Roman" w:eastAsia="SimSun" w:hAnsi="Times New Roman" w:cs="Times New Roman"/>
          <w:sz w:val="24"/>
          <w:szCs w:val="24"/>
        </w:rPr>
        <w:t>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именно: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б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разил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ьский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потенциал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используется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70%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благодаря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модернизации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портов;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потенциал</w:t>
      </w:r>
      <w:r w:rsidR="007005ED">
        <w:rPr>
          <w:rFonts w:ascii="Times New Roma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ЮАР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20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млрд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долл.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инвестиции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минимальны,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что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объясняется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низкой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эффективностью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торговли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(0.056,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10063" w:rsidRPr="007005ED">
        <w:rPr>
          <w:rFonts w:ascii="Times New Roman" w:eastAsia="SimSun" w:hAnsi="Times New Roman" w:cs="Times New Roman"/>
          <w:sz w:val="24"/>
          <w:szCs w:val="24"/>
        </w:rPr>
        <w:t>т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аб</w:t>
      </w:r>
      <w:r w:rsidR="00E91605">
        <w:rPr>
          <w:rFonts w:ascii="Times New Roman" w:eastAsia="SimSun" w:hAnsi="Times New Roman" w:cs="Times New Roman"/>
          <w:sz w:val="24"/>
          <w:szCs w:val="24"/>
        </w:rPr>
        <w:t>л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2).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Исходя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этого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наблюдается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ключевой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дисбаланс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–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Китай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инвестирует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преимущественно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страны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сырьевой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специализацией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(Россия,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Бразилия),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усиливая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зависимость,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игнорируя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диверсифицированные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экономики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042B" w:rsidRPr="007005ED">
        <w:rPr>
          <w:rFonts w:ascii="Times New Roman" w:eastAsia="SimSun" w:hAnsi="Times New Roman" w:cs="Times New Roman"/>
          <w:sz w:val="24"/>
          <w:szCs w:val="24"/>
        </w:rPr>
        <w:t>(Индия).</w:t>
      </w:r>
    </w:p>
    <w:p w:rsidR="00D87474" w:rsidRPr="007005ED" w:rsidRDefault="005C042B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Под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влиянием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формируется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«центростремительная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модель»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тремя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уровнями: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ядро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–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(хаб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3.7)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ОАЭ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4.0);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полупериферия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–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Бразилия,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Индия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3.2</w:t>
      </w:r>
      <w:r w:rsidR="00E91605">
        <w:rPr>
          <w:rFonts w:ascii="Times New Roman" w:eastAsia="SimSun" w:hAnsi="Times New Roman" w:cs="Times New Roman"/>
          <w:sz w:val="24"/>
          <w:szCs w:val="24"/>
        </w:rPr>
        <w:t>-</w:t>
      </w:r>
      <w:r w:rsidRPr="007005ED">
        <w:rPr>
          <w:rFonts w:ascii="Times New Roman" w:eastAsia="SimSun" w:hAnsi="Times New Roman" w:cs="Times New Roman"/>
          <w:sz w:val="24"/>
          <w:szCs w:val="24"/>
        </w:rPr>
        <w:t>3.6),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зависимые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технологий;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периферия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–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Россия,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Эфиопия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(LPI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&lt;3.0)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сырьевой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специализацией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минимальной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диверсификацией.</w:t>
      </w:r>
    </w:p>
    <w:p w:rsidR="00881133" w:rsidRPr="007005ED" w:rsidRDefault="00881133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Развитие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мощностей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имеет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особое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укрепления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связей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государствами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Анализ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показывает,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что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вложения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обновление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создание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мультимодальных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маршрутов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внедрение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цифровой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логистики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существенно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повышают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объемы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торговли,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сокращают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расходы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укрепляют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положение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стран-участниц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91605">
        <w:rPr>
          <w:rFonts w:ascii="Times New Roman" w:eastAsia="SimSun" w:hAnsi="Times New Roman" w:cs="Times New Roman"/>
          <w:sz w:val="24"/>
          <w:szCs w:val="24"/>
        </w:rPr>
        <w:t>О</w:t>
      </w:r>
      <w:r w:rsidRPr="007005ED">
        <w:rPr>
          <w:rFonts w:ascii="Times New Roman" w:eastAsia="SimSun" w:hAnsi="Times New Roman" w:cs="Times New Roman"/>
          <w:sz w:val="24"/>
          <w:szCs w:val="24"/>
        </w:rPr>
        <w:t>бъединения.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Результативность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такого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взаимодействия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уровня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развития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системы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качества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институтов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каждой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отдельной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страны.</w:t>
      </w:r>
    </w:p>
    <w:p w:rsidR="00881133" w:rsidRPr="007005ED" w:rsidRDefault="00881133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Китайские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порты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являются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одними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крупнейших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мире,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технологии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управления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лидируют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только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среди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государств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мировом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масштабе</w:t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Через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механизм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мягкой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силы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(финансирование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проектов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строительство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объектов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инфраструктуры)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оказывает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значительное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влияние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формирование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региональных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логистических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сетей,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однако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отсутствие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согласованных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действий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внутри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самой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организации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создает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риск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дезинтеграции,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повышает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долговую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нагрузку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отдельных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членов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усиливает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геополитическое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соперничество.</w:t>
      </w:r>
    </w:p>
    <w:p w:rsidR="00881133" w:rsidRPr="007005ED" w:rsidRDefault="00881133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Для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снижения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указанных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рисков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странам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целесообразно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предпринять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ряд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мер:</w:t>
      </w:r>
    </w:p>
    <w:p w:rsidR="00881133" w:rsidRPr="007005ED" w:rsidRDefault="00881133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•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Разнообразить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транспортную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инфраструктуру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путем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строительства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собственных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крупных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хабов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освоения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новых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маршрутов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(таких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как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Международный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Транспортный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Коридор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«Север-Юг»).</w:t>
      </w:r>
    </w:p>
    <w:p w:rsidR="00881133" w:rsidRPr="007005ED" w:rsidRDefault="00881133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•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Улучшить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взаимодействие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синхронизировать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таможенные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процедуры,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внедряя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цифровые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решения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для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упрощения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процессов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перемещения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товаров.</w:t>
      </w:r>
    </w:p>
    <w:p w:rsidR="00881133" w:rsidRPr="007005ED" w:rsidRDefault="00881133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•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Достигнуть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баланса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инвестиционной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деятельности,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чтобы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избежать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излишней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финансовой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зависимости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китайских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капиталовложений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посредством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реализации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совместных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инициатив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привлечением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третьих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сторон.</w:t>
      </w:r>
    </w:p>
    <w:p w:rsidR="005C042B" w:rsidRPr="007005ED" w:rsidRDefault="00881133" w:rsidP="007005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05ED">
        <w:rPr>
          <w:rFonts w:ascii="Times New Roman" w:eastAsia="SimSun" w:hAnsi="Times New Roman" w:cs="Times New Roman"/>
          <w:sz w:val="24"/>
          <w:szCs w:val="24"/>
        </w:rPr>
        <w:t>Эффективность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партнерства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формате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БРИКС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во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многом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зависит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от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прагматичного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баланса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экономической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интеграции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и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национальных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05ED">
        <w:rPr>
          <w:rFonts w:ascii="Times New Roman" w:eastAsia="SimSun" w:hAnsi="Times New Roman" w:cs="Times New Roman"/>
          <w:sz w:val="24"/>
          <w:szCs w:val="24"/>
        </w:rPr>
        <w:t>приоритетов</w:t>
      </w:r>
      <w:r w:rsidR="007005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C41C8" w:rsidRPr="007005ED">
        <w:rPr>
          <w:rFonts w:ascii="Times New Roman" w:eastAsia="SimSun" w:hAnsi="Times New Roman" w:cs="Times New Roman"/>
          <w:sz w:val="24"/>
          <w:szCs w:val="24"/>
        </w:rPr>
        <w:t>стран-участни</w:t>
      </w:r>
      <w:r w:rsidR="007E4A96" w:rsidRPr="007005ED">
        <w:rPr>
          <w:rFonts w:ascii="Times New Roman" w:eastAsia="SimSun" w:hAnsi="Times New Roman" w:cs="Times New Roman"/>
          <w:sz w:val="24"/>
          <w:szCs w:val="24"/>
        </w:rPr>
        <w:t>ц</w:t>
      </w:r>
      <w:r w:rsidRPr="007005ED">
        <w:rPr>
          <w:rFonts w:ascii="Times New Roman" w:eastAsia="SimSun" w:hAnsi="Times New Roman" w:cs="Times New Roman"/>
          <w:sz w:val="24"/>
          <w:szCs w:val="24"/>
        </w:rPr>
        <w:t>.</w:t>
      </w:r>
    </w:p>
    <w:sectPr w:rsidR="005C042B" w:rsidRPr="007005ED" w:rsidSect="007005ED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37" w:rsidRDefault="00E36137" w:rsidP="00AF71F3">
      <w:pPr>
        <w:spacing w:after="0" w:line="240" w:lineRule="auto"/>
      </w:pPr>
      <w:r>
        <w:separator/>
      </w:r>
    </w:p>
  </w:endnote>
  <w:endnote w:type="continuationSeparator" w:id="0">
    <w:p w:rsidR="00E36137" w:rsidRDefault="00E36137" w:rsidP="00A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1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36137" w:rsidRPr="007005ED" w:rsidRDefault="00E36137" w:rsidP="007005E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05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05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05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2D5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005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37" w:rsidRDefault="00E36137" w:rsidP="00AF71F3">
      <w:pPr>
        <w:spacing w:after="0" w:line="240" w:lineRule="auto"/>
      </w:pPr>
      <w:r>
        <w:separator/>
      </w:r>
    </w:p>
  </w:footnote>
  <w:footnote w:type="continuationSeparator" w:id="0">
    <w:p w:rsidR="00E36137" w:rsidRDefault="00E36137" w:rsidP="00AF71F3">
      <w:pPr>
        <w:spacing w:after="0" w:line="240" w:lineRule="auto"/>
      </w:pPr>
      <w:r>
        <w:continuationSeparator/>
      </w:r>
    </w:p>
  </w:footnote>
  <w:footnote w:id="1">
    <w:p w:rsidR="00E36137" w:rsidRPr="007005ED" w:rsidRDefault="00E36137" w:rsidP="007005ED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005ED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05ED">
        <w:rPr>
          <w:rFonts w:ascii="Times New Roman" w:hAnsi="Times New Roman" w:cs="Times New Roman"/>
          <w:iCs/>
        </w:rPr>
        <w:t>Область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научных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интересов: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Китай,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интеграция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в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рамках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ШОС,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ЕАЭС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и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БРИКС,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Центральная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Азия,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политические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аспекты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энергетического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и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транспортного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сотрудничества,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экономика,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энергетика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и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транспорт</w:t>
      </w:r>
      <w:r>
        <w:rPr>
          <w:rFonts w:ascii="Times New Roman" w:hAnsi="Times New Roman" w:cs="Times New Roman"/>
          <w:iCs/>
        </w:rPr>
        <w:t xml:space="preserve"> </w:t>
      </w:r>
      <w:r w:rsidRPr="007005ED">
        <w:rPr>
          <w:rFonts w:ascii="Times New Roman" w:hAnsi="Times New Roman" w:cs="Times New Roman"/>
          <w:iCs/>
        </w:rPr>
        <w:t>Китая.</w:t>
      </w:r>
      <w:r>
        <w:rPr>
          <w:rFonts w:ascii="Times New Roman" w:hAnsi="Times New Roman" w:cs="Times New Roman"/>
          <w:iCs/>
        </w:rPr>
        <w:t xml:space="preserve"> </w:t>
      </w:r>
    </w:p>
  </w:footnote>
  <w:footnote w:id="2">
    <w:p w:rsidR="00E36137" w:rsidRPr="007005ED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 w:rsidRPr="007005ED">
        <w:rPr>
          <w:rFonts w:ascii="Times New Roman" w:eastAsia="SimSun" w:hAnsi="Times New Roman" w:cs="Times New Roman"/>
        </w:rPr>
        <w:t>郭建科</w:t>
      </w:r>
      <w:r w:rsidRPr="007005ED">
        <w:rPr>
          <w:rFonts w:ascii="Times New Roman" w:eastAsia="SimSun" w:hAnsi="Times New Roman" w:cs="Times New Roman"/>
        </w:rPr>
        <w:t>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梁木新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中国与</w:t>
      </w:r>
      <w:r w:rsidRPr="007005ED">
        <w:rPr>
          <w:rFonts w:ascii="Times New Roman" w:eastAsia="SimSun" w:hAnsi="Times New Roman" w:cs="Times New Roman"/>
        </w:rPr>
        <w:t>“21</w:t>
      </w:r>
      <w:r w:rsidRPr="007005ED">
        <w:rPr>
          <w:rFonts w:ascii="Times New Roman" w:eastAsia="SimSun" w:hAnsi="Times New Roman" w:cs="Times New Roman"/>
        </w:rPr>
        <w:t>世纪海上丝绸之路</w:t>
      </w:r>
      <w:r w:rsidRPr="007005ED">
        <w:rPr>
          <w:rFonts w:ascii="Times New Roman" w:eastAsia="SimSun" w:hAnsi="Times New Roman" w:cs="Times New Roman"/>
        </w:rPr>
        <w:t>”</w:t>
      </w:r>
      <w:r w:rsidRPr="007005ED">
        <w:rPr>
          <w:rFonts w:ascii="Times New Roman" w:eastAsia="SimSun" w:hAnsi="Times New Roman" w:cs="Times New Roman"/>
        </w:rPr>
        <w:t>沿线国家航运网络及经贸联系的耦合特征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地理学报</w:t>
      </w:r>
      <w:r w:rsidRPr="007005ED">
        <w:rPr>
          <w:rFonts w:ascii="Times New Roman" w:eastAsia="SimSun" w:hAnsi="Times New Roman" w:cs="Times New Roman"/>
        </w:rPr>
        <w:t>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2022,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77(6):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1531-1545)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</w:t>
      </w:r>
      <w:r w:rsidRPr="00C506C1">
        <w:rPr>
          <w:rFonts w:ascii="Times New Roman" w:eastAsia="SimSun" w:hAnsi="Times New Roman" w:cs="Times New Roman"/>
          <w:i/>
        </w:rPr>
        <w:t>Го Цзянькэ, Лян Мусинь.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Характеристики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сопряжения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судоходных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сетей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экономических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торговых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отношений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между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Китаем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странами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вдоль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Морского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Шелкового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пути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21-го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века</w:t>
      </w:r>
      <w:r>
        <w:rPr>
          <w:rFonts w:ascii="Times New Roman" w:eastAsia="SimSun" w:hAnsi="Times New Roman" w:cs="Times New Roman"/>
        </w:rPr>
        <w:t xml:space="preserve"> // </w:t>
      </w:r>
      <w:r w:rsidRPr="007005ED">
        <w:rPr>
          <w:rFonts w:ascii="Times New Roman" w:eastAsia="SimSun" w:hAnsi="Times New Roman" w:cs="Times New Roman"/>
        </w:rPr>
        <w:t>Acta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Geographica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Sinica.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2022,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№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77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(6).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С.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1531-1545].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DOI: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10.11821/dlxb202206016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(Кит.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яз.).</w:t>
      </w:r>
      <w:r>
        <w:rPr>
          <w:rFonts w:ascii="Times New Roman" w:eastAsia="SimSun" w:hAnsi="Times New Roman" w:cs="Times New Roman"/>
        </w:rPr>
        <w:t xml:space="preserve"> </w:t>
      </w:r>
    </w:p>
  </w:footnote>
  <w:footnote w:id="3">
    <w:p w:rsidR="00E36137" w:rsidRPr="007005ED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Без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учета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Индонезии,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членство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БРИКС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2025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г.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(</w:t>
      </w:r>
      <w:r w:rsidRPr="007005ED">
        <w:rPr>
          <w:rFonts w:ascii="Times New Roman" w:eastAsia="SimSun" w:hAnsi="Times New Roman" w:cs="Times New Roman"/>
          <w:i/>
          <w:iCs/>
        </w:rPr>
        <w:t>прим.</w:t>
      </w:r>
      <w:r>
        <w:rPr>
          <w:rFonts w:ascii="Times New Roman" w:eastAsia="SimSun" w:hAnsi="Times New Roman" w:cs="Times New Roman"/>
          <w:i/>
          <w:iCs/>
        </w:rPr>
        <w:t xml:space="preserve"> </w:t>
      </w:r>
      <w:r w:rsidRPr="007005ED">
        <w:rPr>
          <w:rFonts w:ascii="Times New Roman" w:eastAsia="SimSun" w:hAnsi="Times New Roman" w:cs="Times New Roman"/>
          <w:i/>
          <w:iCs/>
        </w:rPr>
        <w:t>авт</w:t>
      </w:r>
      <w:r w:rsidRPr="007005ED">
        <w:rPr>
          <w:rFonts w:ascii="Times New Roman" w:eastAsia="SimSun" w:hAnsi="Times New Roman" w:cs="Times New Roman"/>
        </w:rPr>
        <w:t>.).</w:t>
      </w:r>
    </w:p>
  </w:footnote>
  <w:footnote w:id="4">
    <w:p w:rsidR="00E36137" w:rsidRPr="00C506C1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C506C1">
        <w:rPr>
          <w:rFonts w:ascii="Times New Roman" w:eastAsia="SimSun" w:hAnsi="Times New Roman" w:cs="Times New Roman"/>
          <w:i/>
          <w:lang w:val="en-US"/>
        </w:rPr>
        <w:t>Xin G., Khan H., Ling X.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The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impact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of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BRICS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trade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facilitation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on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China’s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import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and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export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trade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in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agricultural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products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//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Frontiers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in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Sustainable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Food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Systems.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C506C1">
        <w:rPr>
          <w:rFonts w:ascii="Times New Roman" w:eastAsia="SimSun" w:hAnsi="Times New Roman" w:cs="Times New Roman"/>
          <w:lang w:val="en-US"/>
        </w:rPr>
        <w:t xml:space="preserve">– 2024. – </w:t>
      </w:r>
      <w:r>
        <w:rPr>
          <w:rFonts w:ascii="Times New Roman" w:eastAsia="SimSun" w:hAnsi="Times New Roman" w:cs="Times New Roman"/>
          <w:lang w:val="en-US"/>
        </w:rPr>
        <w:t xml:space="preserve">Vol. </w:t>
      </w:r>
      <w:r w:rsidRPr="00C506C1">
        <w:rPr>
          <w:rFonts w:ascii="Times New Roman" w:eastAsia="SimSun" w:hAnsi="Times New Roman" w:cs="Times New Roman"/>
          <w:lang w:val="en-US"/>
        </w:rPr>
        <w:t>8</w:t>
      </w:r>
      <w:r>
        <w:rPr>
          <w:rFonts w:ascii="Times New Roman" w:eastAsia="SimSun" w:hAnsi="Times New Roman" w:cs="Times New Roman"/>
          <w:lang w:val="en-US"/>
        </w:rPr>
        <w:t xml:space="preserve">. – </w:t>
      </w:r>
      <w:r w:rsidRPr="00C506C1">
        <w:rPr>
          <w:rFonts w:ascii="Times New Roman" w:eastAsia="SimSun" w:hAnsi="Times New Roman" w:cs="Times New Roman"/>
          <w:lang w:val="en-US"/>
        </w:rPr>
        <w:t>https://www.frontiersin.org/journals/sustainable-food-systems/articles/10.3389/fsufs.2024.1397350/full</w:t>
      </w:r>
    </w:p>
  </w:footnote>
  <w:footnote w:id="5">
    <w:p w:rsidR="00E36137" w:rsidRPr="00912E3F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</w:rPr>
        <w:t xml:space="preserve"> </w:t>
      </w:r>
      <w:r w:rsidRPr="00912E3F">
        <w:rPr>
          <w:rFonts w:ascii="Times New Roman" w:eastAsia="SimSun" w:hAnsi="Times New Roman" w:cs="Times New Roman"/>
          <w:i/>
        </w:rPr>
        <w:t>Саламатов В. Ю., Коломин В. О., Тангаева А. В., Сапожникова П. Н., Гришин Е. В., Фесенко Р. С. и др.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Торговый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потенциал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транспортная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взаимосвязанность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стран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БРИКС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после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расширения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2024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года.</w:t>
      </w:r>
      <w:r>
        <w:rPr>
          <w:rFonts w:ascii="Times New Roman" w:eastAsia="SimSun" w:hAnsi="Times New Roman" w:cs="Times New Roman"/>
        </w:rPr>
        <w:t xml:space="preserve"> </w:t>
      </w:r>
      <w:r w:rsidR="00912E3F">
        <w:rPr>
          <w:rFonts w:ascii="Times New Roman" w:eastAsia="SimSun" w:hAnsi="Times New Roman" w:cs="Times New Roman"/>
        </w:rPr>
        <w:t xml:space="preserve">– </w:t>
      </w:r>
      <w:r w:rsidRPr="007005ED">
        <w:rPr>
          <w:rFonts w:ascii="Times New Roman" w:eastAsia="SimSun" w:hAnsi="Times New Roman" w:cs="Times New Roman"/>
        </w:rPr>
        <w:t>М</w:t>
      </w:r>
      <w:r w:rsidR="00912E3F">
        <w:rPr>
          <w:rFonts w:ascii="Times New Roman" w:eastAsia="SimSun" w:hAnsi="Times New Roman" w:cs="Times New Roman"/>
        </w:rPr>
        <w:t>.</w:t>
      </w:r>
      <w:r w:rsidRPr="00912E3F">
        <w:rPr>
          <w:rFonts w:ascii="Times New Roman" w:eastAsia="SimSun" w:hAnsi="Times New Roman" w:cs="Times New Roman"/>
        </w:rPr>
        <w:t xml:space="preserve">: </w:t>
      </w:r>
      <w:r w:rsidRPr="007005ED">
        <w:rPr>
          <w:rFonts w:ascii="Times New Roman" w:eastAsia="SimSun" w:hAnsi="Times New Roman" w:cs="Times New Roman"/>
        </w:rPr>
        <w:t>Исследовательский</w:t>
      </w:r>
      <w:r w:rsidRPr="00912E3F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центр</w:t>
      </w:r>
      <w:r w:rsidRPr="00912E3F">
        <w:rPr>
          <w:rFonts w:ascii="Times New Roman" w:eastAsia="SimSun" w:hAnsi="Times New Roman" w:cs="Times New Roman"/>
        </w:rPr>
        <w:t xml:space="preserve"> «</w:t>
      </w:r>
      <w:r w:rsidRPr="007005ED">
        <w:rPr>
          <w:rFonts w:ascii="Times New Roman" w:eastAsia="SimSun" w:hAnsi="Times New Roman" w:cs="Times New Roman"/>
        </w:rPr>
        <w:t>Международная</w:t>
      </w:r>
      <w:r w:rsidRPr="00912E3F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торговля</w:t>
      </w:r>
      <w:r w:rsidRPr="00912E3F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 w:rsidRPr="00912E3F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интеграция</w:t>
      </w:r>
      <w:r w:rsidRPr="00912E3F">
        <w:rPr>
          <w:rFonts w:ascii="Times New Roman" w:eastAsia="SimSun" w:hAnsi="Times New Roman" w:cs="Times New Roman"/>
        </w:rPr>
        <w:t>», 2024.</w:t>
      </w:r>
    </w:p>
  </w:footnote>
  <w:footnote w:id="6">
    <w:p w:rsidR="00E36137" w:rsidRPr="007005ED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912E3F">
        <w:rPr>
          <w:rFonts w:ascii="Times New Roman" w:eastAsia="SimSun" w:hAnsi="Times New Roman" w:cs="Times New Roman"/>
          <w:i/>
          <w:lang w:val="en-US"/>
        </w:rPr>
        <w:t>Mokhammad, A</w:t>
      </w:r>
      <w:r w:rsidRPr="007005ED">
        <w:rPr>
          <w:rFonts w:ascii="Times New Roman" w:eastAsia="SimSun" w:hAnsi="Times New Roman" w:cs="Times New Roman"/>
          <w:lang w:val="en-US"/>
        </w:rPr>
        <w:t>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The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features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of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logistics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network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structures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and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prospects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for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their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transformation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in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the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BRICS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countries</w:t>
      </w:r>
      <w:r w:rsidR="00912E3F" w:rsidRPr="00912E3F">
        <w:rPr>
          <w:rFonts w:ascii="Times New Roman" w:eastAsia="SimSun" w:hAnsi="Times New Roman" w:cs="Times New Roman"/>
          <w:lang w:val="en-US"/>
        </w:rPr>
        <w:t xml:space="preserve"> //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BRICS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Journal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of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Economics</w:t>
      </w:r>
      <w:r w:rsidR="00912E3F">
        <w:rPr>
          <w:rFonts w:ascii="Times New Roman" w:eastAsia="SimSun" w:hAnsi="Times New Roman" w:cs="Times New Roman"/>
          <w:lang w:val="en-US"/>
        </w:rPr>
        <w:t>. – 2</w:t>
      </w:r>
      <w:r w:rsidR="00912E3F" w:rsidRPr="007005ED">
        <w:rPr>
          <w:rFonts w:ascii="Times New Roman" w:eastAsia="SimSun" w:hAnsi="Times New Roman" w:cs="Times New Roman"/>
          <w:lang w:val="en-US"/>
        </w:rPr>
        <w:t>023</w:t>
      </w:r>
      <w:r w:rsidR="00912E3F">
        <w:rPr>
          <w:rFonts w:ascii="Times New Roman" w:eastAsia="SimSun" w:hAnsi="Times New Roman" w:cs="Times New Roman"/>
          <w:lang w:val="en-US"/>
        </w:rPr>
        <w:t>. – 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3</w:t>
      </w:r>
      <w:r w:rsidR="00912E3F">
        <w:rPr>
          <w:rFonts w:ascii="Times New Roman" w:eastAsia="SimSun" w:hAnsi="Times New Roman" w:cs="Times New Roman"/>
          <w:lang w:val="en-US"/>
        </w:rPr>
        <w:t>. – P.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301</w:t>
      </w:r>
      <w:r w:rsidR="00912E3F">
        <w:rPr>
          <w:rFonts w:ascii="Times New Roman" w:eastAsia="SimSun" w:hAnsi="Times New Roman" w:cs="Times New Roman"/>
          <w:lang w:val="en-US"/>
        </w:rPr>
        <w:t>-</w:t>
      </w:r>
      <w:r w:rsidRPr="007005ED">
        <w:rPr>
          <w:rFonts w:ascii="Times New Roman" w:eastAsia="SimSun" w:hAnsi="Times New Roman" w:cs="Times New Roman"/>
          <w:lang w:val="en-US"/>
        </w:rPr>
        <w:t>319.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EDN: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NFHBIX.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https://doi.org/10.3897/brics-econ.4.e109228</w:t>
      </w:r>
    </w:p>
  </w:footnote>
  <w:footnote w:id="7">
    <w:p w:rsidR="00E36137" w:rsidRPr="007005ED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</w:rPr>
        <w:t xml:space="preserve"> </w:t>
      </w:r>
      <w:r w:rsidRPr="00912E3F">
        <w:rPr>
          <w:rFonts w:ascii="Times New Roman" w:eastAsia="SimSun" w:hAnsi="Times New Roman" w:cs="Times New Roman"/>
          <w:i/>
        </w:rPr>
        <w:t>Саламатов В. Ю., Коломин В. О., Тангаева А. В., Сапожникова П. Н., Гришин Е. В., Фесенко Р. С. и др.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Торговый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потенциал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транспортная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взаимосвязанность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стран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БРИКС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после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расширения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2024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года.</w:t>
      </w:r>
      <w:r>
        <w:rPr>
          <w:rFonts w:ascii="Times New Roman" w:eastAsia="SimSun" w:hAnsi="Times New Roman" w:cs="Times New Roman"/>
        </w:rPr>
        <w:t xml:space="preserve"> </w:t>
      </w:r>
      <w:r w:rsidR="00912E3F">
        <w:rPr>
          <w:rFonts w:ascii="Times New Roman" w:eastAsia="SimSun" w:hAnsi="Times New Roman" w:cs="Times New Roman"/>
        </w:rPr>
        <w:t xml:space="preserve">– </w:t>
      </w:r>
      <w:r w:rsidR="00912E3F" w:rsidRPr="007005ED">
        <w:rPr>
          <w:rFonts w:ascii="Times New Roman" w:eastAsia="SimSun" w:hAnsi="Times New Roman" w:cs="Times New Roman"/>
        </w:rPr>
        <w:t>М</w:t>
      </w:r>
      <w:r w:rsidR="00912E3F">
        <w:rPr>
          <w:rFonts w:ascii="Times New Roman" w:eastAsia="SimSun" w:hAnsi="Times New Roman" w:cs="Times New Roman"/>
        </w:rPr>
        <w:t>.</w:t>
      </w:r>
      <w:r w:rsidR="00912E3F" w:rsidRPr="00912E3F">
        <w:rPr>
          <w:rFonts w:ascii="Times New Roman" w:eastAsia="SimSun" w:hAnsi="Times New Roman" w:cs="Times New Roman"/>
        </w:rPr>
        <w:t xml:space="preserve">: </w:t>
      </w:r>
      <w:r w:rsidR="00912E3F" w:rsidRPr="007005ED">
        <w:rPr>
          <w:rFonts w:ascii="Times New Roman" w:eastAsia="SimSun" w:hAnsi="Times New Roman" w:cs="Times New Roman"/>
        </w:rPr>
        <w:t>Исследовательский</w:t>
      </w:r>
      <w:r w:rsidR="00912E3F" w:rsidRPr="00912E3F">
        <w:rPr>
          <w:rFonts w:ascii="Times New Roman" w:eastAsia="SimSun" w:hAnsi="Times New Roman" w:cs="Times New Roman"/>
        </w:rPr>
        <w:t xml:space="preserve"> </w:t>
      </w:r>
      <w:r w:rsidR="00912E3F" w:rsidRPr="007005ED">
        <w:rPr>
          <w:rFonts w:ascii="Times New Roman" w:eastAsia="SimSun" w:hAnsi="Times New Roman" w:cs="Times New Roman"/>
        </w:rPr>
        <w:t>центр</w:t>
      </w:r>
      <w:r w:rsidR="00912E3F" w:rsidRPr="00912E3F">
        <w:rPr>
          <w:rFonts w:ascii="Times New Roman" w:eastAsia="SimSun" w:hAnsi="Times New Roman" w:cs="Times New Roman"/>
        </w:rPr>
        <w:t xml:space="preserve"> «</w:t>
      </w:r>
      <w:r w:rsidR="00912E3F" w:rsidRPr="007005ED">
        <w:rPr>
          <w:rFonts w:ascii="Times New Roman" w:eastAsia="SimSun" w:hAnsi="Times New Roman" w:cs="Times New Roman"/>
        </w:rPr>
        <w:t>Международная</w:t>
      </w:r>
      <w:r w:rsidR="00912E3F" w:rsidRPr="00912E3F">
        <w:rPr>
          <w:rFonts w:ascii="Times New Roman" w:eastAsia="SimSun" w:hAnsi="Times New Roman" w:cs="Times New Roman"/>
        </w:rPr>
        <w:t xml:space="preserve"> </w:t>
      </w:r>
      <w:r w:rsidR="00912E3F" w:rsidRPr="007005ED">
        <w:rPr>
          <w:rFonts w:ascii="Times New Roman" w:eastAsia="SimSun" w:hAnsi="Times New Roman" w:cs="Times New Roman"/>
        </w:rPr>
        <w:t>торговля</w:t>
      </w:r>
      <w:r w:rsidR="00912E3F" w:rsidRPr="00912E3F">
        <w:rPr>
          <w:rFonts w:ascii="Times New Roman" w:eastAsia="SimSun" w:hAnsi="Times New Roman" w:cs="Times New Roman"/>
        </w:rPr>
        <w:t xml:space="preserve"> </w:t>
      </w:r>
      <w:r w:rsidR="00912E3F" w:rsidRPr="007005ED">
        <w:rPr>
          <w:rFonts w:ascii="Times New Roman" w:eastAsia="SimSun" w:hAnsi="Times New Roman" w:cs="Times New Roman"/>
        </w:rPr>
        <w:t>и</w:t>
      </w:r>
      <w:r w:rsidR="00912E3F" w:rsidRPr="00912E3F">
        <w:rPr>
          <w:rFonts w:ascii="Times New Roman" w:eastAsia="SimSun" w:hAnsi="Times New Roman" w:cs="Times New Roman"/>
        </w:rPr>
        <w:t xml:space="preserve"> </w:t>
      </w:r>
      <w:r w:rsidR="00912E3F" w:rsidRPr="007005ED">
        <w:rPr>
          <w:rFonts w:ascii="Times New Roman" w:eastAsia="SimSun" w:hAnsi="Times New Roman" w:cs="Times New Roman"/>
        </w:rPr>
        <w:t>интеграция</w:t>
      </w:r>
      <w:r w:rsidR="00912E3F" w:rsidRPr="00912E3F">
        <w:rPr>
          <w:rFonts w:ascii="Times New Roman" w:eastAsia="SimSun" w:hAnsi="Times New Roman" w:cs="Times New Roman"/>
        </w:rPr>
        <w:t>», 2024.</w:t>
      </w:r>
    </w:p>
  </w:footnote>
  <w:footnote w:id="8">
    <w:p w:rsidR="00E36137" w:rsidRPr="00912E3F" w:rsidRDefault="00E36137" w:rsidP="007005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</w:pPr>
      <w:r w:rsidRPr="007005ED">
        <w:rPr>
          <w:rStyle w:val="a6"/>
          <w:rFonts w:ascii="Times New Roman" w:eastAsia="SimSun" w:hAnsi="Times New Roman" w:cs="Times New Roman"/>
          <w:sz w:val="20"/>
          <w:szCs w:val="20"/>
        </w:rPr>
        <w:footnoteRef/>
      </w:r>
      <w:r w:rsidRPr="00912E3F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International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LPI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Index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 xml:space="preserve"> / 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The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World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Bank</w:t>
      </w:r>
      <w:r w:rsid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.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 xml:space="preserve"> 2025. </w:t>
      </w:r>
      <w:r w:rsid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 xml:space="preserve">– 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https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://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lpi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.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worldbank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.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org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/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international</w:t>
      </w:r>
      <w:r w:rsidRPr="00912E3F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/</w:t>
      </w:r>
      <w:r w:rsidRPr="007005ED">
        <w:rPr>
          <w:rFonts w:ascii="Times New Roman" w:eastAsia="SimSun" w:hAnsi="Times New Roman" w:cs="Times New Roman"/>
          <w:kern w:val="0"/>
          <w:sz w:val="20"/>
          <w:szCs w:val="20"/>
          <w:lang w:val="en-US"/>
        </w:rPr>
        <w:t>global</w:t>
      </w:r>
    </w:p>
  </w:footnote>
  <w:footnote w:id="9">
    <w:p w:rsidR="00E36137" w:rsidRPr="007005ED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Индекс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эффективности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логистики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(LPI)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Всемирного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Банка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для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Эфиопии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2023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г.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не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рассчитывался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(прим.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авт.).</w:t>
      </w:r>
    </w:p>
  </w:footnote>
  <w:footnote w:id="10">
    <w:p w:rsidR="00E36137" w:rsidRPr="007005ED" w:rsidRDefault="00E36137" w:rsidP="007005ED">
      <w:pPr>
        <w:pStyle w:val="a4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</w:rPr>
        <w:t xml:space="preserve"> </w:t>
      </w:r>
      <w:r w:rsidRPr="00912E3F">
        <w:rPr>
          <w:rFonts w:ascii="Times New Roman" w:eastAsia="SimSun" w:hAnsi="Times New Roman" w:cs="Times New Roman"/>
          <w:i/>
        </w:rPr>
        <w:t>Баваскар Р.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БРИКС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переходный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период: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критический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анализ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возможностей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проблем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рамках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формирующегося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глобального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порядка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//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Современная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мировая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экономика.</w:t>
      </w:r>
      <w:r>
        <w:rPr>
          <w:rFonts w:ascii="Times New Roman" w:eastAsia="SimSun" w:hAnsi="Times New Roman" w:cs="Times New Roman"/>
        </w:rPr>
        <w:t xml:space="preserve"> </w:t>
      </w:r>
      <w:r w:rsidR="00912E3F">
        <w:rPr>
          <w:rFonts w:ascii="Times New Roman" w:eastAsia="SimSun" w:hAnsi="Times New Roman" w:cs="Times New Roman"/>
        </w:rPr>
        <w:t xml:space="preserve">– </w:t>
      </w:r>
      <w:r w:rsidRPr="00912E3F">
        <w:rPr>
          <w:rFonts w:ascii="Times New Roman" w:eastAsia="SimSun" w:hAnsi="Times New Roman" w:cs="Times New Roman"/>
        </w:rPr>
        <w:t xml:space="preserve">2024. </w:t>
      </w:r>
      <w:r w:rsidR="00912E3F">
        <w:rPr>
          <w:rFonts w:ascii="Times New Roman" w:eastAsia="SimSun" w:hAnsi="Times New Roman" w:cs="Times New Roman"/>
        </w:rPr>
        <w:t>–</w:t>
      </w:r>
      <w:r w:rsidRPr="007005ED">
        <w:rPr>
          <w:rFonts w:ascii="Times New Roman" w:eastAsia="SimSun" w:hAnsi="Times New Roman" w:cs="Times New Roman"/>
        </w:rPr>
        <w:t>Т</w:t>
      </w:r>
      <w:r w:rsidR="00912E3F">
        <w:rPr>
          <w:rFonts w:ascii="Times New Roman" w:eastAsia="SimSun" w:hAnsi="Times New Roman" w:cs="Times New Roman"/>
        </w:rPr>
        <w:t>.</w:t>
      </w:r>
      <w:r w:rsidRPr="00912E3F">
        <w:rPr>
          <w:rFonts w:ascii="Times New Roman" w:eastAsia="SimSun" w:hAnsi="Times New Roman" w:cs="Times New Roman"/>
        </w:rPr>
        <w:t xml:space="preserve"> 2, №</w:t>
      </w:r>
      <w:r w:rsidR="00912E3F">
        <w:rPr>
          <w:rFonts w:ascii="Times New Roman" w:eastAsia="SimSun" w:hAnsi="Times New Roman" w:cs="Times New Roman"/>
        </w:rPr>
        <w:t xml:space="preserve"> </w:t>
      </w:r>
      <w:r w:rsidRPr="00912E3F">
        <w:rPr>
          <w:rFonts w:ascii="Times New Roman" w:eastAsia="SimSun" w:hAnsi="Times New Roman" w:cs="Times New Roman"/>
        </w:rPr>
        <w:t>4</w:t>
      </w:r>
      <w:r w:rsidR="00912E3F">
        <w:rPr>
          <w:rFonts w:ascii="Times New Roman" w:eastAsia="SimSun" w:hAnsi="Times New Roman" w:cs="Times New Roman"/>
        </w:rPr>
        <w:t xml:space="preserve"> </w:t>
      </w:r>
      <w:r w:rsidRPr="00912E3F">
        <w:rPr>
          <w:rFonts w:ascii="Times New Roman" w:eastAsia="SimSun" w:hAnsi="Times New Roman" w:cs="Times New Roman"/>
        </w:rPr>
        <w:t xml:space="preserve">(8). </w:t>
      </w:r>
      <w:r w:rsidR="00912E3F">
        <w:rPr>
          <w:rFonts w:ascii="Times New Roman" w:eastAsia="SimSun" w:hAnsi="Times New Roman" w:cs="Times New Roman"/>
        </w:rPr>
        <w:t xml:space="preserve">– </w:t>
      </w:r>
      <w:r w:rsidRPr="007005ED">
        <w:rPr>
          <w:rFonts w:ascii="Times New Roman" w:eastAsia="SimSun" w:hAnsi="Times New Roman" w:cs="Times New Roman"/>
        </w:rPr>
        <w:t>С</w:t>
      </w:r>
      <w:r w:rsidRPr="00912E3F">
        <w:rPr>
          <w:rFonts w:ascii="Times New Roman" w:eastAsia="SimSun" w:hAnsi="Times New Roman" w:cs="Times New Roman"/>
        </w:rPr>
        <w:t xml:space="preserve"> 56-84. </w:t>
      </w:r>
      <w:r w:rsidRPr="007005ED">
        <w:rPr>
          <w:rFonts w:ascii="Times New Roman" w:eastAsia="SimSun" w:hAnsi="Times New Roman" w:cs="Times New Roman"/>
          <w:lang w:val="en-US"/>
        </w:rPr>
        <w:t>DOI: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10.17323/2949-5776-2024-2-4-56-84</w:t>
      </w:r>
    </w:p>
  </w:footnote>
  <w:footnote w:id="11">
    <w:p w:rsidR="00E91605" w:rsidRPr="00E91605" w:rsidRDefault="00E91605" w:rsidP="00E91605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7005ED">
        <w:rPr>
          <w:rFonts w:ascii="Times New Roman" w:eastAsia="SimSun" w:hAnsi="Times New Roman" w:cs="Times New Roman"/>
        </w:rPr>
        <w:t>Составлено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автором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非洲</w:t>
      </w:r>
      <w:r w:rsidRPr="00E91605">
        <w:rPr>
          <w:rFonts w:ascii="Times New Roman" w:eastAsia="SimSun" w:hAnsi="Times New Roman" w:cs="Times New Roman"/>
        </w:rPr>
        <w:t>33</w:t>
      </w:r>
      <w:r w:rsidRPr="007005ED">
        <w:rPr>
          <w:rFonts w:ascii="Times New Roman" w:eastAsia="SimSun" w:hAnsi="Times New Roman" w:cs="Times New Roman"/>
        </w:rPr>
        <w:t>个沿海国家</w:t>
      </w:r>
      <w:r w:rsidRPr="00E91605">
        <w:rPr>
          <w:rFonts w:ascii="Times New Roman" w:eastAsia="SimSun" w:hAnsi="Times New Roman" w:cs="Times New Roman"/>
        </w:rPr>
        <w:t xml:space="preserve">, </w:t>
      </w:r>
      <w:r w:rsidRPr="007005ED">
        <w:rPr>
          <w:rFonts w:ascii="Times New Roman" w:eastAsia="SimSun" w:hAnsi="Times New Roman" w:cs="Times New Roman"/>
        </w:rPr>
        <w:t>中国建设港口的有</w:t>
      </w:r>
      <w:r w:rsidRPr="00E91605">
        <w:rPr>
          <w:rFonts w:ascii="Times New Roman" w:eastAsia="SimSun" w:hAnsi="Times New Roman" w:cs="Times New Roman"/>
        </w:rPr>
        <w:t>20</w:t>
      </w:r>
      <w:r w:rsidRPr="007005ED">
        <w:rPr>
          <w:rFonts w:ascii="Times New Roman" w:eastAsia="SimSun" w:hAnsi="Times New Roman" w:cs="Times New Roman"/>
        </w:rPr>
        <w:t>个</w:t>
      </w:r>
      <w:r w:rsidRPr="00E91605">
        <w:rPr>
          <w:rFonts w:ascii="Times New Roman" w:eastAsia="SimSun" w:hAnsi="Times New Roman" w:cs="Times New Roman"/>
        </w:rPr>
        <w:t>,</w:t>
      </w:r>
      <w:r w:rsidRPr="007005ED">
        <w:rPr>
          <w:rFonts w:ascii="Times New Roman" w:eastAsia="SimSun" w:hAnsi="Times New Roman" w:cs="Times New Roman"/>
        </w:rPr>
        <w:t>包括这</w:t>
      </w:r>
      <w:r w:rsidRPr="00E91605">
        <w:rPr>
          <w:rFonts w:ascii="Times New Roman" w:eastAsia="SimSun" w:hAnsi="Times New Roman" w:cs="Times New Roman"/>
        </w:rPr>
        <w:t>25</w:t>
      </w:r>
      <w:r w:rsidRPr="007005ED">
        <w:rPr>
          <w:rFonts w:ascii="Times New Roman" w:eastAsia="SimSun" w:hAnsi="Times New Roman" w:cs="Times New Roman"/>
        </w:rPr>
        <w:t>个项</w:t>
      </w:r>
      <w:r w:rsidRPr="00E91605">
        <w:rPr>
          <w:rFonts w:ascii="Times New Roman" w:eastAsia="SimSun" w:hAnsi="Times New Roman" w:cs="Times New Roman"/>
        </w:rPr>
        <w:t>. [</w:t>
      </w:r>
      <w:r w:rsidRPr="007005ED">
        <w:rPr>
          <w:rFonts w:ascii="Times New Roman" w:eastAsia="SimSun" w:hAnsi="Times New Roman" w:cs="Times New Roman"/>
        </w:rPr>
        <w:t>В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Африке</w:t>
      </w:r>
      <w:r w:rsidRPr="00E91605">
        <w:rPr>
          <w:rFonts w:ascii="Times New Roman" w:eastAsia="SimSun" w:hAnsi="Times New Roman" w:cs="Times New Roman"/>
        </w:rPr>
        <w:t xml:space="preserve"> 33 </w:t>
      </w:r>
      <w:r w:rsidRPr="007005ED">
        <w:rPr>
          <w:rFonts w:ascii="Times New Roman" w:eastAsia="SimSun" w:hAnsi="Times New Roman" w:cs="Times New Roman"/>
        </w:rPr>
        <w:t>прибрежные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страны</w:t>
      </w:r>
      <w:r w:rsidRPr="00E91605">
        <w:rPr>
          <w:rFonts w:ascii="Times New Roman" w:eastAsia="SimSun" w:hAnsi="Times New Roman" w:cs="Times New Roman"/>
        </w:rPr>
        <w:t xml:space="preserve">, </w:t>
      </w:r>
      <w:r w:rsidRPr="007005ED">
        <w:rPr>
          <w:rFonts w:ascii="Times New Roman" w:eastAsia="SimSun" w:hAnsi="Times New Roman" w:cs="Times New Roman"/>
        </w:rPr>
        <w:t>и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Китай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построил</w:t>
      </w:r>
      <w:r w:rsidRPr="00E91605">
        <w:rPr>
          <w:rFonts w:ascii="Times New Roman" w:eastAsia="SimSun" w:hAnsi="Times New Roman" w:cs="Times New Roman"/>
        </w:rPr>
        <w:t xml:space="preserve"> 20 </w:t>
      </w:r>
      <w:r w:rsidRPr="007005ED">
        <w:rPr>
          <w:rFonts w:ascii="Times New Roman" w:eastAsia="SimSun" w:hAnsi="Times New Roman" w:cs="Times New Roman"/>
        </w:rPr>
        <w:t>портов</w:t>
      </w:r>
      <w:r w:rsidRPr="00E91605">
        <w:rPr>
          <w:rFonts w:ascii="Times New Roman" w:eastAsia="SimSun" w:hAnsi="Times New Roman" w:cs="Times New Roman"/>
        </w:rPr>
        <w:t xml:space="preserve">, </w:t>
      </w:r>
      <w:r w:rsidRPr="007005ED">
        <w:rPr>
          <w:rFonts w:ascii="Times New Roman" w:eastAsia="SimSun" w:hAnsi="Times New Roman" w:cs="Times New Roman"/>
        </w:rPr>
        <w:t>включая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эти</w:t>
      </w:r>
      <w:r w:rsidRPr="00E91605">
        <w:rPr>
          <w:rFonts w:ascii="Times New Roman" w:eastAsia="SimSun" w:hAnsi="Times New Roman" w:cs="Times New Roman"/>
        </w:rPr>
        <w:t xml:space="preserve"> 25 </w:t>
      </w:r>
      <w:r w:rsidRPr="007005ED">
        <w:rPr>
          <w:rFonts w:ascii="Times New Roman" w:eastAsia="SimSun" w:hAnsi="Times New Roman" w:cs="Times New Roman"/>
        </w:rPr>
        <w:t>пунктов</w:t>
      </w:r>
      <w:r w:rsidRPr="00E91605">
        <w:rPr>
          <w:rFonts w:ascii="Times New Roman" w:eastAsia="SimSun" w:hAnsi="Times New Roman" w:cs="Times New Roman"/>
        </w:rPr>
        <w:t xml:space="preserve">]. </w:t>
      </w:r>
      <w:r>
        <w:rPr>
          <w:rFonts w:ascii="Times New Roman" w:eastAsia="SimSun" w:hAnsi="Times New Roman" w:cs="Times New Roman"/>
        </w:rPr>
        <w:t xml:space="preserve">– </w:t>
      </w:r>
      <w:r w:rsidRPr="007005ED">
        <w:rPr>
          <w:rFonts w:ascii="Times New Roman" w:eastAsia="SimSun" w:hAnsi="Times New Roman" w:cs="Times New Roman"/>
          <w:lang w:val="en-US"/>
        </w:rPr>
        <w:t>http</w:t>
      </w:r>
      <w:r w:rsidRPr="00E91605">
        <w:rPr>
          <w:rFonts w:ascii="Times New Roman" w:eastAsia="SimSun" w:hAnsi="Times New Roman" w:cs="Times New Roman"/>
        </w:rPr>
        <w:t>://</w:t>
      </w:r>
      <w:r w:rsidRPr="007005ED">
        <w:rPr>
          <w:rFonts w:ascii="Times New Roman" w:eastAsia="SimSun" w:hAnsi="Times New Roman" w:cs="Times New Roman"/>
          <w:lang w:val="en-US"/>
        </w:rPr>
        <w:t>www</w:t>
      </w:r>
      <w:r w:rsidRPr="00E91605">
        <w:rPr>
          <w:rFonts w:ascii="Times New Roman" w:eastAsia="SimSun" w:hAnsi="Times New Roman" w:cs="Times New Roman"/>
        </w:rPr>
        <w:t>.</w:t>
      </w:r>
      <w:r w:rsidRPr="007005ED">
        <w:rPr>
          <w:rFonts w:ascii="Times New Roman" w:eastAsia="SimSun" w:hAnsi="Times New Roman" w:cs="Times New Roman"/>
          <w:lang w:val="en-US"/>
        </w:rPr>
        <w:t>hqhunt</w:t>
      </w:r>
      <w:r w:rsidRPr="00E91605">
        <w:rPr>
          <w:rFonts w:ascii="Times New Roman" w:eastAsia="SimSun" w:hAnsi="Times New Roman" w:cs="Times New Roman"/>
        </w:rPr>
        <w:t>.</w:t>
      </w:r>
      <w:r w:rsidRPr="007005ED">
        <w:rPr>
          <w:rFonts w:ascii="Times New Roman" w:eastAsia="SimSun" w:hAnsi="Times New Roman" w:cs="Times New Roman"/>
          <w:lang w:val="en-US"/>
        </w:rPr>
        <w:t>com</w:t>
      </w:r>
      <w:r w:rsidRPr="00E91605">
        <w:rPr>
          <w:rFonts w:ascii="Times New Roman" w:eastAsia="SimSun" w:hAnsi="Times New Roman" w:cs="Times New Roman"/>
        </w:rPr>
        <w:t>/</w:t>
      </w:r>
      <w:r w:rsidRPr="007005ED">
        <w:rPr>
          <w:rFonts w:ascii="Times New Roman" w:eastAsia="SimSun" w:hAnsi="Times New Roman" w:cs="Times New Roman"/>
          <w:lang w:val="en-US"/>
        </w:rPr>
        <w:t>energydetail</w:t>
      </w:r>
      <w:r w:rsidRPr="00E91605">
        <w:rPr>
          <w:rFonts w:ascii="Times New Roman" w:eastAsia="SimSun" w:hAnsi="Times New Roman" w:cs="Times New Roman"/>
        </w:rPr>
        <w:t xml:space="preserve"> ?</w:t>
      </w:r>
      <w:r w:rsidRPr="007005ED">
        <w:rPr>
          <w:rFonts w:ascii="Times New Roman" w:eastAsia="SimSun" w:hAnsi="Times New Roman" w:cs="Times New Roman"/>
          <w:lang w:val="en-US"/>
        </w:rPr>
        <w:t>article</w:t>
      </w:r>
      <w:r w:rsidRPr="00E91605">
        <w:rPr>
          <w:rFonts w:ascii="Times New Roman" w:eastAsia="SimSun" w:hAnsi="Times New Roman" w:cs="Times New Roman"/>
        </w:rPr>
        <w:t>_</w:t>
      </w:r>
      <w:r w:rsidRPr="007005ED">
        <w:rPr>
          <w:rFonts w:ascii="Times New Roman" w:eastAsia="SimSun" w:hAnsi="Times New Roman" w:cs="Times New Roman"/>
          <w:lang w:val="en-US"/>
        </w:rPr>
        <w:t>id</w:t>
      </w:r>
      <w:r w:rsidRPr="00E91605">
        <w:rPr>
          <w:rFonts w:ascii="Times New Roman" w:eastAsia="SimSun" w:hAnsi="Times New Roman" w:cs="Times New Roman"/>
        </w:rPr>
        <w:t xml:space="preserve">=3094; </w:t>
      </w:r>
      <w:r w:rsidRPr="007005ED">
        <w:rPr>
          <w:rFonts w:ascii="Times New Roman" w:eastAsia="SimSun" w:hAnsi="Times New Roman" w:cs="Times New Roman"/>
        </w:rPr>
        <w:t>招商局集团将参与俄扎鲁比诺港建设</w:t>
      </w:r>
      <w:r w:rsidRPr="00E91605">
        <w:rPr>
          <w:rFonts w:ascii="Times New Roman" w:eastAsia="SimSun" w:hAnsi="Times New Roman" w:cs="Times New Roman"/>
        </w:rPr>
        <w:t>. [</w:t>
      </w:r>
      <w:r w:rsidRPr="007005ED">
        <w:rPr>
          <w:rFonts w:ascii="Times New Roman" w:eastAsia="SimSun" w:hAnsi="Times New Roman" w:cs="Times New Roman"/>
          <w:lang w:val="en-US"/>
        </w:rPr>
        <w:t>China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Merchants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Group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примет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участие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строительстве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порта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Зарубино</w:t>
      </w:r>
      <w:r w:rsidRPr="00E91605">
        <w:rPr>
          <w:rFonts w:ascii="Times New Roman" w:eastAsia="SimSun" w:hAnsi="Times New Roman" w:cs="Times New Roman"/>
        </w:rPr>
        <w:t xml:space="preserve">]. </w:t>
      </w:r>
      <w:r>
        <w:rPr>
          <w:rFonts w:ascii="Times New Roman" w:eastAsia="SimSun" w:hAnsi="Times New Roman" w:cs="Times New Roman"/>
        </w:rPr>
        <w:t xml:space="preserve">– </w:t>
      </w:r>
      <w:r w:rsidRPr="007005ED">
        <w:rPr>
          <w:rFonts w:ascii="Times New Roman" w:eastAsia="SimSun" w:hAnsi="Times New Roman" w:cs="Times New Roman"/>
          <w:lang w:val="en-US"/>
        </w:rPr>
        <w:t>http</w:t>
      </w:r>
      <w:r w:rsidRPr="00E91605">
        <w:rPr>
          <w:rFonts w:ascii="Times New Roman" w:eastAsia="SimSun" w:hAnsi="Times New Roman" w:cs="Times New Roman"/>
        </w:rPr>
        <w:t>://</w:t>
      </w:r>
      <w:r w:rsidRPr="007005ED">
        <w:rPr>
          <w:rFonts w:ascii="Times New Roman" w:eastAsia="SimSun" w:hAnsi="Times New Roman" w:cs="Times New Roman"/>
          <w:lang w:val="en-US"/>
        </w:rPr>
        <w:t>finance</w:t>
      </w:r>
      <w:r w:rsidRPr="00E91605">
        <w:rPr>
          <w:rFonts w:ascii="Times New Roman" w:eastAsia="SimSun" w:hAnsi="Times New Roman" w:cs="Times New Roman"/>
        </w:rPr>
        <w:t>.</w:t>
      </w:r>
      <w:r w:rsidRPr="007005ED">
        <w:rPr>
          <w:rFonts w:ascii="Times New Roman" w:eastAsia="SimSun" w:hAnsi="Times New Roman" w:cs="Times New Roman"/>
          <w:lang w:val="en-US"/>
        </w:rPr>
        <w:t>sina</w:t>
      </w:r>
      <w:r w:rsidRPr="00E91605">
        <w:rPr>
          <w:rFonts w:ascii="Times New Roman" w:eastAsia="SimSun" w:hAnsi="Times New Roman" w:cs="Times New Roman"/>
        </w:rPr>
        <w:t>.</w:t>
      </w:r>
      <w:r w:rsidRPr="007005ED">
        <w:rPr>
          <w:rFonts w:ascii="Times New Roman" w:eastAsia="SimSun" w:hAnsi="Times New Roman" w:cs="Times New Roman"/>
          <w:lang w:val="en-US"/>
        </w:rPr>
        <w:t>com</w:t>
      </w:r>
      <w:r w:rsidRPr="00E91605">
        <w:rPr>
          <w:rFonts w:ascii="Times New Roman" w:eastAsia="SimSun" w:hAnsi="Times New Roman" w:cs="Times New Roman"/>
        </w:rPr>
        <w:t>.</w:t>
      </w:r>
      <w:r w:rsidRPr="007005ED">
        <w:rPr>
          <w:rFonts w:ascii="Times New Roman" w:eastAsia="SimSun" w:hAnsi="Times New Roman" w:cs="Times New Roman"/>
          <w:lang w:val="en-US"/>
        </w:rPr>
        <w:t>cn</w:t>
      </w:r>
      <w:r w:rsidRPr="00E91605">
        <w:rPr>
          <w:rFonts w:ascii="Times New Roman" w:eastAsia="SimSun" w:hAnsi="Times New Roman" w:cs="Times New Roman"/>
        </w:rPr>
        <w:t xml:space="preserve">/ </w:t>
      </w:r>
      <w:r w:rsidRPr="007005ED">
        <w:rPr>
          <w:rFonts w:ascii="Times New Roman" w:eastAsia="SimSun" w:hAnsi="Times New Roman" w:cs="Times New Roman"/>
          <w:lang w:val="en-US"/>
        </w:rPr>
        <w:t>world</w:t>
      </w:r>
      <w:r w:rsidRPr="00E91605">
        <w:rPr>
          <w:rFonts w:ascii="Times New Roman" w:eastAsia="SimSun" w:hAnsi="Times New Roman" w:cs="Times New Roman"/>
        </w:rPr>
        <w:t>/20151117/233523790613.</w:t>
      </w:r>
      <w:r w:rsidRPr="007005ED">
        <w:rPr>
          <w:rFonts w:ascii="Times New Roman" w:eastAsia="SimSun" w:hAnsi="Times New Roman" w:cs="Times New Roman"/>
          <w:lang w:val="en-US"/>
        </w:rPr>
        <w:t>shtml</w:t>
      </w:r>
      <w:r w:rsidRPr="00E91605">
        <w:rPr>
          <w:rFonts w:ascii="Times New Roman" w:eastAsia="SimSun" w:hAnsi="Times New Roman" w:cs="Times New Roman"/>
        </w:rPr>
        <w:t xml:space="preserve">; </w:t>
      </w:r>
      <w:r w:rsidRPr="007005ED">
        <w:rPr>
          <w:rFonts w:ascii="Times New Roman" w:eastAsia="SimSun" w:hAnsi="Times New Roman" w:cs="Times New Roman"/>
        </w:rPr>
        <w:t>中企参建巴西圣路易斯港</w:t>
      </w:r>
      <w:r w:rsidRPr="00E91605"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项目正式奠基</w:t>
      </w:r>
      <w:r w:rsidRPr="00E91605">
        <w:rPr>
          <w:rFonts w:ascii="Times New Roman" w:eastAsia="SimSun" w:hAnsi="Times New Roman" w:cs="Times New Roman"/>
        </w:rPr>
        <w:t xml:space="preserve">. </w:t>
      </w:r>
      <w:r w:rsidRPr="007005ED">
        <w:rPr>
          <w:rFonts w:ascii="Times New Roman" w:eastAsia="SimSun" w:hAnsi="Times New Roman" w:cs="Times New Roman"/>
        </w:rPr>
        <w:t>[Был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официально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заложен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первый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камень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фундамент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проекта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китайских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предприятий,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участвующих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строительстве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Сент-Луис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Бразилии].</w:t>
      </w:r>
      <w:r w:rsidR="00C46D8D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 xml:space="preserve">– </w:t>
      </w:r>
      <w:r w:rsidRPr="007005ED">
        <w:rPr>
          <w:rFonts w:ascii="Times New Roman" w:eastAsia="SimSun" w:hAnsi="Times New Roman" w:cs="Times New Roman"/>
        </w:rPr>
        <w:t>https://www.yidaiyilu.gov.cn/xwzx/hwxw/50471.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htm;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宁波港：印尼港口项目总投资额</w:t>
      </w:r>
      <w:r w:rsidRPr="007005ED">
        <w:rPr>
          <w:rFonts w:ascii="Times New Roman" w:eastAsia="SimSun" w:hAnsi="Times New Roman" w:cs="Times New Roman"/>
        </w:rPr>
        <w:t>5.9</w:t>
      </w:r>
      <w:r w:rsidRPr="007005ED">
        <w:rPr>
          <w:rFonts w:ascii="Times New Roman" w:eastAsia="SimSun" w:hAnsi="Times New Roman" w:cs="Times New Roman"/>
        </w:rPr>
        <w:t>亿美元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非</w:t>
      </w:r>
      <w:r w:rsidRPr="007005ED">
        <w:rPr>
          <w:rFonts w:ascii="Times New Roman" w:eastAsia="SimSun" w:hAnsi="Times New Roman" w:cs="Times New Roman"/>
        </w:rPr>
        <w:t>59</w:t>
      </w:r>
      <w:r w:rsidRPr="007005ED">
        <w:rPr>
          <w:rFonts w:ascii="Times New Roman" w:eastAsia="SimSun" w:hAnsi="Times New Roman" w:cs="Times New Roman"/>
        </w:rPr>
        <w:t>亿美元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[Порт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Нинбо: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Общий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объем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инвестиций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проект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индонезийского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составляет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5590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миллионов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долларов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США,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не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55,9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миллиарда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долларов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США].</w:t>
      </w:r>
      <w:r>
        <w:rPr>
          <w:rFonts w:ascii="Times New Roman" w:eastAsia="SimSun" w:hAnsi="Times New Roman" w:cs="Times New Roman"/>
        </w:rPr>
        <w:t xml:space="preserve">–  </w:t>
      </w:r>
      <w:r w:rsidRPr="007005ED">
        <w:rPr>
          <w:rFonts w:ascii="Times New Roman" w:eastAsia="SimSun" w:hAnsi="Times New Roman" w:cs="Times New Roman"/>
        </w:rPr>
        <w:t>http://finance.eastmoney.com/news/1354,20170512737930360.html;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沙特扎瓦尔港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土建及机电工程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[Гражданское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строительство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Завар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Саудовской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Аравии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электромеханическое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строительство].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http://www.ccccyhj.com/business_details.aspx?cid=31&amp;id=4047;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中国港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湾工程有限责任公司沙特吉赞项目营地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[China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Port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Engineering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Co.,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Ltd.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Саудовский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проектный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лагерь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Джизане].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http://hwgcyd.chinca.org/projecsix.html;</w:t>
      </w:r>
      <w:r w:rsidRPr="007005ED">
        <w:rPr>
          <w:rFonts w:ascii="Times New Roman" w:eastAsia="SimSun" w:hAnsi="Times New Roman" w:cs="Times New Roman"/>
        </w:rPr>
        <w:t>中国港湾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工程有限责任公司沙特吉赞项目营地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[China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Port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Engineering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Co.,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Ltd.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Саудовский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проектный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лагерь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Джизане].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http://hwgcyd.chinca.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org/projecsix.html;</w:t>
      </w:r>
      <w:r w:rsidRPr="007005ED">
        <w:rPr>
          <w:rFonts w:ascii="Times New Roman" w:eastAsia="SimSun" w:hAnsi="Times New Roman" w:cs="Times New Roman"/>
        </w:rPr>
        <w:t>中国港湾工程有限责任公司承建的塞德港码头项目即将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竣工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[Проект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терминала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Порт-Саиде,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осуществляемый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China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Port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Engineering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Co.,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Ltd.,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близок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завершению].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http://www.mofcom.gov.cn/aarticle/i/jyjl/k/201106/20110607622332.html;</w:t>
      </w:r>
      <w:r w:rsidRPr="007005ED">
        <w:rPr>
          <w:rFonts w:ascii="Times New Roman" w:eastAsia="SimSun" w:hAnsi="Times New Roman" w:cs="Times New Roman"/>
        </w:rPr>
        <w:t>中海码头参股投资埃及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达米埃塔港集装箱码头－国务院国有资产监督管理委员会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[China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Sea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Terminal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участвует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инвестициях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акционерный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капитал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контейнерного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терминала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Дамиетта,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Египет].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http://www.sasac.gov.cn/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n2588025/n2588124/c4156646/content.html;</w:t>
      </w:r>
      <w:r w:rsidRPr="007005ED">
        <w:rPr>
          <w:rFonts w:ascii="Times New Roman" w:eastAsia="SimSun" w:hAnsi="Times New Roman" w:cs="Times New Roman"/>
        </w:rPr>
        <w:t>中国港湾沙特分公司承建的达曼港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集装箱码头举行奠基仪式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[Состоялась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церемония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закладки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фундамента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контейнерного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терминала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порта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Даммам,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построенного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саудовским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филиалом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China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Port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and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Port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Co.,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Ltd.].</w:t>
      </w:r>
      <w:r>
        <w:rPr>
          <w:rFonts w:ascii="Times New Roman" w:eastAsia="SimSun" w:hAnsi="Times New Roman" w:cs="Times New Roman"/>
        </w:rPr>
        <w:t xml:space="preserve"> – </w:t>
      </w:r>
      <w:r w:rsidRPr="007005ED">
        <w:rPr>
          <w:rFonts w:ascii="Times New Roman" w:eastAsia="SimSun" w:hAnsi="Times New Roman" w:cs="Times New Roman"/>
        </w:rPr>
        <w:t>http://www.chinca.org/CICA/info/63194;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中远海运阿布扎比码头动工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计划在</w:t>
      </w:r>
      <w:r w:rsidRPr="007005ED">
        <w:rPr>
          <w:rFonts w:ascii="Times New Roman" w:eastAsia="SimSun" w:hAnsi="Times New Roman" w:cs="Times New Roman"/>
        </w:rPr>
        <w:t>2018</w:t>
      </w:r>
      <w:r w:rsidRPr="007005ED">
        <w:rPr>
          <w:rFonts w:ascii="Times New Roman" w:eastAsia="SimSun" w:hAnsi="Times New Roman" w:cs="Times New Roman"/>
        </w:rPr>
        <w:t>年底试营运</w:t>
      </w:r>
      <w:r w:rsidRPr="007005ED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[Строительство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терминала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Cosco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Shipping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Абу-Даби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планируется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начать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опытной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эксплуатации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конце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2018</w:t>
      </w:r>
      <w:r>
        <w:rPr>
          <w:rFonts w:ascii="Times New Roman" w:eastAsia="SimSun" w:hAnsi="Times New Roman" w:cs="Times New Roman"/>
        </w:rPr>
        <w:t xml:space="preserve"> </w:t>
      </w:r>
      <w:r w:rsidRPr="007005ED">
        <w:rPr>
          <w:rFonts w:ascii="Times New Roman" w:eastAsia="SimSun" w:hAnsi="Times New Roman" w:cs="Times New Roman"/>
        </w:rPr>
        <w:t>года].</w:t>
      </w:r>
      <w:r>
        <w:rPr>
          <w:rFonts w:ascii="Times New Roman" w:eastAsia="SimSun" w:hAnsi="Times New Roman" w:cs="Times New Roman"/>
        </w:rPr>
        <w:t xml:space="preserve"> – </w:t>
      </w:r>
      <w:hyperlink r:id="rId1" w:history="1">
        <w:r w:rsidRPr="007005ED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https://www.yidaiyilu.gov.cn/xwzx/hwxw/33160.htm</w:t>
        </w:r>
      </w:hyperlink>
      <w:r>
        <w:rPr>
          <w:rFonts w:ascii="Times New Roman" w:eastAsia="SimSun" w:hAnsi="Times New Roman" w:cs="Times New Roman"/>
        </w:rPr>
        <w:t xml:space="preserve"> </w:t>
      </w:r>
      <w:r w:rsidRPr="00E91605">
        <w:rPr>
          <w:rFonts w:ascii="Times New Roman" w:eastAsia="SimSun" w:hAnsi="Times New Roman" w:cs="Times New Roman"/>
        </w:rPr>
        <w:t>(</w:t>
      </w:r>
      <w:r w:rsidRPr="007005ED">
        <w:rPr>
          <w:rFonts w:ascii="Times New Roman" w:eastAsia="SimSun" w:hAnsi="Times New Roman" w:cs="Times New Roman"/>
        </w:rPr>
        <w:t>Кит</w:t>
      </w:r>
      <w:r w:rsidRPr="00E91605">
        <w:rPr>
          <w:rFonts w:ascii="Times New Roman" w:eastAsia="SimSun" w:hAnsi="Times New Roman" w:cs="Times New Roman"/>
        </w:rPr>
        <w:t xml:space="preserve">. </w:t>
      </w:r>
      <w:r w:rsidRPr="007005ED">
        <w:rPr>
          <w:rFonts w:ascii="Times New Roman" w:eastAsia="SimSun" w:hAnsi="Times New Roman" w:cs="Times New Roman"/>
        </w:rPr>
        <w:t>яз</w:t>
      </w:r>
      <w:r w:rsidRPr="00E91605">
        <w:rPr>
          <w:rFonts w:ascii="Times New Roman" w:eastAsia="SimSun" w:hAnsi="Times New Roman" w:cs="Times New Roman"/>
        </w:rPr>
        <w:t>.)</w:t>
      </w:r>
    </w:p>
  </w:footnote>
  <w:footnote w:id="12">
    <w:p w:rsidR="00E36137" w:rsidRPr="00E91605" w:rsidRDefault="00E36137" w:rsidP="007005ED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005ED">
        <w:rPr>
          <w:rStyle w:val="a6"/>
          <w:rFonts w:ascii="Times New Roman" w:eastAsia="SimSun" w:hAnsi="Times New Roman" w:cs="Times New Roman"/>
        </w:rPr>
        <w:footnoteRef/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International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LPI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Index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/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The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World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Bank</w:t>
      </w:r>
      <w:r w:rsidR="00E91605">
        <w:rPr>
          <w:rFonts w:ascii="Times New Roman" w:eastAsia="SimSun" w:hAnsi="Times New Roman" w:cs="Times New Roman"/>
          <w:lang w:val="en-US"/>
        </w:rPr>
        <w:t>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7005ED">
        <w:rPr>
          <w:rFonts w:ascii="Times New Roman" w:eastAsia="SimSun" w:hAnsi="Times New Roman" w:cs="Times New Roman"/>
          <w:lang w:val="en-US"/>
        </w:rPr>
        <w:t>2025.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="00E91605">
        <w:rPr>
          <w:rFonts w:ascii="Times New Roman" w:eastAsia="SimSun" w:hAnsi="Times New Roman" w:cs="Times New Roman"/>
          <w:lang w:val="en-US"/>
        </w:rPr>
        <w:t xml:space="preserve">– </w:t>
      </w:r>
      <w:r w:rsidRPr="007005ED">
        <w:rPr>
          <w:rFonts w:ascii="Times New Roman" w:eastAsia="SimSun" w:hAnsi="Times New Roman" w:cs="Times New Roman"/>
          <w:lang w:val="en-US"/>
        </w:rPr>
        <w:t>https://lpi.worldbank.org/international/global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37" w:rsidRPr="007005ED" w:rsidRDefault="00E36137" w:rsidP="007005E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1F00"/>
    <w:multiLevelType w:val="hybridMultilevel"/>
    <w:tmpl w:val="E324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91EC3"/>
    <w:multiLevelType w:val="hybridMultilevel"/>
    <w:tmpl w:val="8C0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1F3"/>
    <w:rsid w:val="000064E2"/>
    <w:rsid w:val="00040600"/>
    <w:rsid w:val="000F14B4"/>
    <w:rsid w:val="00220655"/>
    <w:rsid w:val="002556A3"/>
    <w:rsid w:val="00265BE9"/>
    <w:rsid w:val="002A1BC8"/>
    <w:rsid w:val="002B0ED0"/>
    <w:rsid w:val="002F5A89"/>
    <w:rsid w:val="00343301"/>
    <w:rsid w:val="00370700"/>
    <w:rsid w:val="00382D55"/>
    <w:rsid w:val="00413308"/>
    <w:rsid w:val="00486C47"/>
    <w:rsid w:val="004879A1"/>
    <w:rsid w:val="004A6120"/>
    <w:rsid w:val="004C41C8"/>
    <w:rsid w:val="004E4913"/>
    <w:rsid w:val="00510063"/>
    <w:rsid w:val="00552FA4"/>
    <w:rsid w:val="005C042B"/>
    <w:rsid w:val="005C0FF5"/>
    <w:rsid w:val="00603D70"/>
    <w:rsid w:val="006232F0"/>
    <w:rsid w:val="00657580"/>
    <w:rsid w:val="006618A6"/>
    <w:rsid w:val="006961B9"/>
    <w:rsid w:val="006D55A8"/>
    <w:rsid w:val="006E6681"/>
    <w:rsid w:val="007005ED"/>
    <w:rsid w:val="00775EE2"/>
    <w:rsid w:val="007A2534"/>
    <w:rsid w:val="007A6831"/>
    <w:rsid w:val="007A7A58"/>
    <w:rsid w:val="007E3160"/>
    <w:rsid w:val="007E3437"/>
    <w:rsid w:val="007E4A96"/>
    <w:rsid w:val="008240BB"/>
    <w:rsid w:val="0085748B"/>
    <w:rsid w:val="00881133"/>
    <w:rsid w:val="0088798C"/>
    <w:rsid w:val="00912E3F"/>
    <w:rsid w:val="009434CA"/>
    <w:rsid w:val="009553F3"/>
    <w:rsid w:val="009F07A7"/>
    <w:rsid w:val="009F07B8"/>
    <w:rsid w:val="009F13EC"/>
    <w:rsid w:val="009F420C"/>
    <w:rsid w:val="009F6C27"/>
    <w:rsid w:val="009F73A0"/>
    <w:rsid w:val="00A2403C"/>
    <w:rsid w:val="00A44BC2"/>
    <w:rsid w:val="00A53607"/>
    <w:rsid w:val="00A60942"/>
    <w:rsid w:val="00A92116"/>
    <w:rsid w:val="00AD48E8"/>
    <w:rsid w:val="00AF71F3"/>
    <w:rsid w:val="00B00B04"/>
    <w:rsid w:val="00B05139"/>
    <w:rsid w:val="00B64446"/>
    <w:rsid w:val="00B824FE"/>
    <w:rsid w:val="00C46D8D"/>
    <w:rsid w:val="00C506C1"/>
    <w:rsid w:val="00CF5994"/>
    <w:rsid w:val="00D12736"/>
    <w:rsid w:val="00D30403"/>
    <w:rsid w:val="00D87474"/>
    <w:rsid w:val="00D931F7"/>
    <w:rsid w:val="00E36137"/>
    <w:rsid w:val="00E400E1"/>
    <w:rsid w:val="00E460C5"/>
    <w:rsid w:val="00E91605"/>
    <w:rsid w:val="00EC38AB"/>
    <w:rsid w:val="00F27587"/>
    <w:rsid w:val="00F4272F"/>
    <w:rsid w:val="00F63FDF"/>
    <w:rsid w:val="00F72A90"/>
    <w:rsid w:val="00F74D56"/>
    <w:rsid w:val="00FB2E0F"/>
    <w:rsid w:val="00FE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1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71F3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unhideWhenUsed/>
    <w:rsid w:val="00AF71F3"/>
    <w:pPr>
      <w:spacing w:after="0" w:line="240" w:lineRule="auto"/>
    </w:pPr>
    <w:rPr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F71F3"/>
    <w:rPr>
      <w:kern w:val="0"/>
      <w:sz w:val="20"/>
      <w:szCs w:val="20"/>
    </w:rPr>
  </w:style>
  <w:style w:type="character" w:styleId="a6">
    <w:name w:val="footnote reference"/>
    <w:aliases w:val="Footnote Number,Знак сноски-FN,Ссылка на сноску 45,SUPERS,ftref,BVI fnr,-E Fu?notenzeichen,Numbering - Footnote,RSC_WP (footnote reference),16 Point,Superscript 6 Point"/>
    <w:basedOn w:val="a0"/>
    <w:uiPriority w:val="99"/>
    <w:unhideWhenUsed/>
    <w:rsid w:val="00AF71F3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6961B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6961B9"/>
    <w:pPr>
      <w:ind w:left="720"/>
      <w:contextualSpacing/>
    </w:pPr>
  </w:style>
  <w:style w:type="paragraph" w:customStyle="1" w:styleId="MLSD">
    <w:name w:val="MLSD ключевые слова"/>
    <w:basedOn w:val="a"/>
    <w:autoRedefine/>
    <w:rsid w:val="007005ED"/>
    <w:pPr>
      <w:widowControl w:val="0"/>
      <w:spacing w:after="0" w:line="360" w:lineRule="auto"/>
      <w:ind w:firstLine="709"/>
      <w:jc w:val="both"/>
    </w:pPr>
    <w:rPr>
      <w:rFonts w:ascii="Times New Roman" w:eastAsia="SimSun" w:hAnsi="Times New Roman" w:cs="Times New Roman"/>
      <w:b/>
      <w:i/>
      <w:kern w:val="0"/>
      <w:sz w:val="24"/>
      <w:szCs w:val="24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25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56A3"/>
  </w:style>
  <w:style w:type="paragraph" w:styleId="ab">
    <w:name w:val="footer"/>
    <w:basedOn w:val="a"/>
    <w:link w:val="ac"/>
    <w:uiPriority w:val="99"/>
    <w:unhideWhenUsed/>
    <w:rsid w:val="0025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56A3"/>
  </w:style>
  <w:style w:type="character" w:styleId="ad">
    <w:name w:val="Strong"/>
    <w:basedOn w:val="a0"/>
    <w:uiPriority w:val="22"/>
    <w:qFormat/>
    <w:rsid w:val="009553F3"/>
    <w:rPr>
      <w:b/>
      <w:bCs/>
    </w:rPr>
  </w:style>
  <w:style w:type="paragraph" w:styleId="ae">
    <w:name w:val="Normal (Web)"/>
    <w:basedOn w:val="a"/>
    <w:uiPriority w:val="99"/>
    <w:unhideWhenUsed/>
    <w:rsid w:val="0094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">
    <w:name w:val="No Spacing"/>
    <w:uiPriority w:val="1"/>
    <w:qFormat/>
    <w:rsid w:val="00C506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idaiyilu.gov.cn/xwzx/hwxw/3316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BACD-3A8B-4E98-9B67-344D0F0F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Семенова</dc:creator>
  <cp:lastModifiedBy>Владимир</cp:lastModifiedBy>
  <cp:revision>5</cp:revision>
  <dcterms:created xsi:type="dcterms:W3CDTF">2025-12-03T14:34:00Z</dcterms:created>
  <dcterms:modified xsi:type="dcterms:W3CDTF">2025-12-03T16:51:00Z</dcterms:modified>
</cp:coreProperties>
</file>