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Гуторов</w:t>
      </w:r>
      <w:r w:rsidR="000C02BB" w:rsidRPr="000C0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0C02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В.А.</w:t>
      </w:r>
    </w:p>
    <w:p w:rsidR="000C02BB" w:rsidRPr="000C02BB" w:rsidRDefault="000C02BB" w:rsidP="000C02BB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д.филос.н.,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профессор,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философии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Факультета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политологии,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Санкт-Петербургский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университет</w:t>
      </w:r>
    </w:p>
    <w:p w:rsidR="000C02BB" w:rsidRPr="000C02BB" w:rsidRDefault="000C02BB" w:rsidP="000C02BB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0C02B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gut</w:t>
        </w:r>
        <w:r w:rsidRPr="000C02B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-50@</w:t>
        </w:r>
        <w:r w:rsidRPr="000C02B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0C02B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0C02B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51C" w:rsidRPr="000C02BB" w:rsidRDefault="00B9051C" w:rsidP="000C02B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02BB">
        <w:rPr>
          <w:rFonts w:ascii="Times New Roman" w:hAnsi="Times New Roman"/>
          <w:b/>
          <w:sz w:val="24"/>
          <w:szCs w:val="24"/>
        </w:rPr>
        <w:t>НАУКА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И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ОБРАЗОВАНИЕ: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ТЕОРЕТИЧЕСКИЕ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АСПЕКТЫ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="000C02BB">
        <w:rPr>
          <w:rFonts w:ascii="Times New Roman" w:hAnsi="Times New Roman"/>
          <w:b/>
          <w:sz w:val="24"/>
          <w:szCs w:val="24"/>
        </w:rPr>
        <w:tab/>
      </w:r>
      <w:r w:rsidRPr="000C02BB">
        <w:rPr>
          <w:rFonts w:ascii="Times New Roman" w:hAnsi="Times New Roman"/>
          <w:b/>
          <w:sz w:val="24"/>
          <w:szCs w:val="24"/>
        </w:rPr>
        <w:t>МЕЖКУЛЬТУРНОЙ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ДИНАМИКИ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В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ЕВРАЗИЙСКОМ</w:t>
      </w:r>
      <w:r w:rsidR="000C02BB" w:rsidRP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ПРОСТРАНСТВЕ</w:t>
      </w:r>
    </w:p>
    <w:p w:rsidR="00B9051C" w:rsidRPr="000C02BB" w:rsidRDefault="00B9051C" w:rsidP="000C0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9051C" w:rsidRPr="000C02BB" w:rsidRDefault="00B9051C" w:rsidP="000C0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02BB">
        <w:rPr>
          <w:rFonts w:ascii="Times New Roman" w:hAnsi="Times New Roman"/>
          <w:b/>
          <w:i/>
          <w:sz w:val="24"/>
          <w:szCs w:val="24"/>
        </w:rPr>
        <w:t>Ключевые</w:t>
      </w:r>
      <w:r w:rsidR="000C02B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i/>
          <w:sz w:val="24"/>
          <w:szCs w:val="24"/>
        </w:rPr>
        <w:t>слова</w:t>
      </w:r>
      <w:r w:rsidRPr="000C02BB">
        <w:rPr>
          <w:rFonts w:ascii="Times New Roman" w:hAnsi="Times New Roman"/>
          <w:i/>
          <w:sz w:val="24"/>
          <w:szCs w:val="24"/>
        </w:rPr>
        <w:t>: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евразийское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пространство,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глобализация,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образование,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научные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технологии,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политика,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глобальная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культура,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национальная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идентичность,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реформы,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демократизация.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</w:p>
    <w:p w:rsidR="00B9051C" w:rsidRPr="000C02BB" w:rsidRDefault="00B9051C" w:rsidP="000C02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0C02BB">
        <w:rPr>
          <w:rFonts w:ascii="Times New Roman" w:hAnsi="Times New Roman"/>
          <w:b/>
          <w:i/>
          <w:sz w:val="24"/>
          <w:szCs w:val="24"/>
          <w:lang w:val="en-US"/>
        </w:rPr>
        <w:t>Keywords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: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Eurasian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space,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globalization,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education,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scientific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technolog</w:t>
      </w:r>
      <w:r w:rsidR="00443808" w:rsidRPr="000C02BB">
        <w:rPr>
          <w:rFonts w:ascii="Times New Roman" w:hAnsi="Times New Roman"/>
          <w:i/>
          <w:sz w:val="24"/>
          <w:szCs w:val="24"/>
          <w:lang w:val="en-US"/>
        </w:rPr>
        <w:t>ies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politics,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global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culture,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national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identity,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reforms,</w:t>
      </w:r>
      <w:r w:rsidR="000C02B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  <w:lang w:val="en-US"/>
        </w:rPr>
        <w:t>democratization.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Проблема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взаимодействия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контексте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сложных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экономических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социально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процессов,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развивающихся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одной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наиболее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актуальных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сложных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социально-политических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науках.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свидетельствуют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многочисленные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теоретические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дискуссии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различного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свойства,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постоянно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фиксируются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многочисленных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статьях,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монографиях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материалах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международных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конференций.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различие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подходов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анализу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проблемы,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правило,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имеет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«парадигмальный»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характер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определяется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характером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моделей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интерпретации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обозначенных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выше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процессов.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Например,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еще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начале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нашего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века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статье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«Шелковый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путь,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большая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игра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уязвимое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место?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отношения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США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последствия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Селест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Уолландер,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известный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американский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эксперт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стратегических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исследований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сформулировала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аналитических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модели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CA113F" w:rsidRPr="000C02BB">
        <w:rPr>
          <w:rFonts w:ascii="Times New Roman" w:hAnsi="Times New Roman"/>
          <w:sz w:val="24"/>
          <w:szCs w:val="24"/>
        </w:rPr>
        <w:t>взаимодействия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CA113F" w:rsidRPr="000C02BB">
        <w:rPr>
          <w:rFonts w:ascii="Times New Roman" w:hAnsi="Times New Roman"/>
          <w:sz w:val="24"/>
          <w:szCs w:val="24"/>
        </w:rPr>
        <w:t>государств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регионе.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Первая</w:t>
      </w:r>
      <w:r w:rsid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модель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Евразия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как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«слабое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место»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sz w:val="24"/>
          <w:szCs w:val="24"/>
        </w:rPr>
        <w:t>основана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«одномерном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понимании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источника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нестабильности,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терроризма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угрозы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США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России».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вследствие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географического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положения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постоянным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источником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угрозы.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США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глобальным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источником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уязвимости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вследствие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транснационального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характера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терроризма.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«Именно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переплетение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угроз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создало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улучшения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американо-российских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отношений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следует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приветствовать.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Однако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крайне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ограниченная,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искажающая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потенциально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саморазрушительная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будущей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безопасности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Евразии».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Вторая</w:t>
      </w:r>
      <w:r w:rsid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модель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i/>
          <w:sz w:val="24"/>
          <w:szCs w:val="24"/>
        </w:rPr>
        <w:t>современная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«Большая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игра»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sz w:val="24"/>
          <w:szCs w:val="24"/>
        </w:rPr>
        <w:t>характеризует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геополитическую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конкуренцию,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прошлом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участвовали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Великобритания</w:t>
      </w:r>
      <w:r w:rsidR="000C02BB">
        <w:rPr>
          <w:rFonts w:ascii="Times New Roman" w:hAnsi="Times New Roman"/>
          <w:sz w:val="24"/>
          <w:szCs w:val="24"/>
        </w:rPr>
        <w:t xml:space="preserve">,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периодически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вовлекаться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другие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державы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sz w:val="24"/>
          <w:szCs w:val="24"/>
        </w:rPr>
        <w:t>Индия,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Китай,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Иран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Турция.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«Большая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игра»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означала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бы,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США,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другие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вовлеченные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державы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озабочены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исключительно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продвижением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собственных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экономических,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интересов.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стремиться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доминировать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транспортных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коммуникациях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целью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контроля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над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ресурсами,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сосредотачиваясь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создании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конкурирующих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альянсов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отношений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рассматривая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«успехи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других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держав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поражение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собственных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интересов».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Третья</w:t>
      </w:r>
      <w:r w:rsidR="000C02BB">
        <w:rPr>
          <w:rFonts w:ascii="Times New Roman" w:hAnsi="Times New Roman"/>
          <w:b/>
          <w:sz w:val="24"/>
          <w:szCs w:val="24"/>
        </w:rPr>
        <w:t xml:space="preserve"> </w:t>
      </w:r>
      <w:r w:rsidRPr="000C02BB">
        <w:rPr>
          <w:rFonts w:ascii="Times New Roman" w:hAnsi="Times New Roman"/>
          <w:b/>
          <w:sz w:val="24"/>
          <w:szCs w:val="24"/>
        </w:rPr>
        <w:t>модель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i/>
          <w:sz w:val="24"/>
          <w:szCs w:val="24"/>
        </w:rPr>
        <w:t>Евразийский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Шелковый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Путь</w:t>
      </w:r>
      <w:r w:rsidRPr="000C02BB">
        <w:rPr>
          <w:rFonts w:ascii="Times New Roman" w:hAnsi="Times New Roman"/>
          <w:sz w:val="24"/>
          <w:szCs w:val="24"/>
        </w:rPr>
        <w:t>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фокусируется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региональном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сотрудничестве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средстве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интеграции,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глобализации.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модели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«шелкового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пути»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внутри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пределами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должны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сотрудничать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процветания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обеспечения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безопасности.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пользу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модели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говорит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долгосрочный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подход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экономическому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более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глубокое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понимание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Соединенными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Штатами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многомерных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источников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безопасности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стабильности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поскольку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напрямую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затрагивают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интересы»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1"/>
      </w:r>
      <w:r w:rsidRPr="000C02BB">
        <w:rPr>
          <w:rFonts w:ascii="Times New Roman" w:hAnsi="Times New Roman"/>
          <w:sz w:val="24"/>
          <w:szCs w:val="24"/>
        </w:rPr>
        <w:t>.</w:t>
      </w:r>
      <w:r w:rsidR="000C02BB">
        <w:rPr>
          <w:rFonts w:ascii="Times New Roman" w:hAnsi="Times New Roman"/>
          <w:sz w:val="24"/>
          <w:szCs w:val="24"/>
        </w:rPr>
        <w:t xml:space="preserve"> 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Современный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характер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международных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отношений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отчетливо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свидетельствует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реализация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обозначенной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статье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Уолландер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«сотрудничество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процветания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обеспечения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безопасности»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sz w:val="24"/>
          <w:szCs w:val="24"/>
        </w:rPr>
        <w:t>практически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невозможна,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если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политические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партнеры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склонны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игнорировать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составляющую.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стратегических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исследованиях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занимает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отнюдь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последнее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свидетельствует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многообразие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позиций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прогнозов,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широко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представленных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общественных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гуманитарных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науках.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Возьмем,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примеру,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теоретическую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позицию,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обоснованную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монографии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«Сепаратизм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наций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мире»,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автором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Генри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Хейл,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профессор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политологии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международных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отношений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Университете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Джорджа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Вашингтона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(GW)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директор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Института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европейских,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российских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евразийских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исследований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(IERES).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тезис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состоит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тщательно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разработанная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многих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случаях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может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способствовать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предотвращению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конфликтов.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«Конечно,</w:t>
      </w:r>
      <w:r w:rsidR="000C02BB">
        <w:rPr>
          <w:rFonts w:ascii="Times New Roman" w:hAnsi="Times New Roman"/>
          <w:sz w:val="24"/>
          <w:szCs w:val="24"/>
        </w:rPr>
        <w:t xml:space="preserve"> – </w:t>
      </w:r>
      <w:r w:rsidRPr="000C02BB">
        <w:rPr>
          <w:rFonts w:ascii="Times New Roman" w:hAnsi="Times New Roman"/>
          <w:sz w:val="24"/>
          <w:szCs w:val="24"/>
        </w:rPr>
        <w:t>отмечает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Хейл,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CA2E8D" w:rsidRPr="00CA2E8D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мышление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часто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укореняется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обществе,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даже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когда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формально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признает.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системы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взаимодействия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жизни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могут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быть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построены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вокруг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различий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государственной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поддержки.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может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противодействовать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некоторым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худших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примеров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явления.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Например,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безусловно,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хорошо,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когда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активно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борются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расизмом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другими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шовинизма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посредством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образования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и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продвижения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норм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с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помощью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правовых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санкций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и</w:t>
      </w:r>
      <w:r w:rsidR="000C02BB">
        <w:rPr>
          <w:rFonts w:ascii="Times New Roman" w:hAnsi="Times New Roman"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кампаний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[курсив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CA2E8D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CA2E8D">
        <w:rPr>
          <w:rFonts w:ascii="Times New Roman" w:hAnsi="Times New Roman"/>
          <w:sz w:val="24"/>
          <w:szCs w:val="24"/>
        </w:rPr>
        <w:t>.</w:t>
      </w:r>
      <w:r w:rsidRPr="000C02BB">
        <w:rPr>
          <w:rFonts w:ascii="Times New Roman" w:hAnsi="Times New Roman"/>
          <w:sz w:val="24"/>
          <w:szCs w:val="24"/>
        </w:rPr>
        <w:t>Г</w:t>
      </w:r>
      <w:r w:rsidR="00CA2E8D">
        <w:rPr>
          <w:rFonts w:ascii="Times New Roman" w:hAnsi="Times New Roman"/>
          <w:sz w:val="24"/>
          <w:szCs w:val="24"/>
        </w:rPr>
        <w:t>.</w:t>
      </w:r>
      <w:r w:rsidRPr="000C02BB">
        <w:rPr>
          <w:rFonts w:ascii="Times New Roman" w:hAnsi="Times New Roman"/>
          <w:sz w:val="24"/>
          <w:szCs w:val="24"/>
        </w:rPr>
        <w:t>].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Хотя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людей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может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быть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естественная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склонность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прибегать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этническим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стереотипам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ориентации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социальном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мире,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всегда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инертные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несовершенные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стратегии,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часто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могут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привести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безрассудству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трагедии.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Иногда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людей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нужно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побуждать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осознать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бессознательные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склонности,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чтобы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активно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бороться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ними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конечном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итоге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преодолевать»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2"/>
      </w:r>
      <w:r w:rsidRPr="000C02BB">
        <w:rPr>
          <w:rFonts w:ascii="Times New Roman" w:hAnsi="Times New Roman"/>
          <w:sz w:val="24"/>
          <w:szCs w:val="24"/>
        </w:rPr>
        <w:t>.</w:t>
      </w:r>
    </w:p>
    <w:p w:rsidR="00B9051C" w:rsidRPr="000C02BB" w:rsidRDefault="00B9051C" w:rsidP="000C02B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</w:rPr>
      </w:pPr>
      <w:r w:rsidRPr="000C02BB">
        <w:t>Современный</w:t>
      </w:r>
      <w:r w:rsidR="000C02BB">
        <w:t xml:space="preserve"> </w:t>
      </w:r>
      <w:r w:rsidRPr="000C02BB">
        <w:t>международный</w:t>
      </w:r>
      <w:r w:rsidR="000C02BB">
        <w:t xml:space="preserve"> </w:t>
      </w:r>
      <w:r w:rsidRPr="000C02BB">
        <w:t>опыт</w:t>
      </w:r>
      <w:r w:rsidR="000C02BB">
        <w:t xml:space="preserve"> </w:t>
      </w:r>
      <w:r w:rsidRPr="000C02BB">
        <w:t>отчетливо</w:t>
      </w:r>
      <w:r w:rsidR="000C02BB">
        <w:t xml:space="preserve"> </w:t>
      </w:r>
      <w:r w:rsidRPr="000C02BB">
        <w:t>свидетельствует</w:t>
      </w:r>
      <w:r w:rsidR="000C02BB">
        <w:t xml:space="preserve"> </w:t>
      </w:r>
      <w:r w:rsidRPr="000C02BB">
        <w:t>о</w:t>
      </w:r>
      <w:r w:rsidR="000C02BB">
        <w:t xml:space="preserve"> </w:t>
      </w:r>
      <w:r w:rsidRPr="000C02BB">
        <w:t>том,</w:t>
      </w:r>
      <w:r w:rsidR="000C02BB">
        <w:t xml:space="preserve"> </w:t>
      </w:r>
      <w:r w:rsidRPr="000C02BB">
        <w:t>что</w:t>
      </w:r>
      <w:r w:rsidR="000C02BB">
        <w:t xml:space="preserve"> </w:t>
      </w:r>
      <w:r w:rsidRPr="000C02BB">
        <w:t>одним</w:t>
      </w:r>
      <w:r w:rsidR="000C02BB">
        <w:t xml:space="preserve"> </w:t>
      </w:r>
      <w:r w:rsidRPr="000C02BB">
        <w:t>из</w:t>
      </w:r>
      <w:r w:rsidR="000C02BB">
        <w:t xml:space="preserve"> </w:t>
      </w:r>
      <w:r w:rsidRPr="000C02BB">
        <w:t>наиболее</w:t>
      </w:r>
      <w:r w:rsidR="000C02BB">
        <w:t xml:space="preserve"> </w:t>
      </w:r>
      <w:r w:rsidRPr="000C02BB">
        <w:t>эффективных</w:t>
      </w:r>
      <w:r w:rsidR="000C02BB">
        <w:t xml:space="preserve"> </w:t>
      </w:r>
      <w:r w:rsidRPr="000C02BB">
        <w:t>способов</w:t>
      </w:r>
      <w:r w:rsidR="000C02BB">
        <w:t xml:space="preserve"> </w:t>
      </w:r>
      <w:r w:rsidRPr="000C02BB">
        <w:t>преодоления</w:t>
      </w:r>
      <w:r w:rsidR="000C02BB">
        <w:t xml:space="preserve"> </w:t>
      </w:r>
      <w:r w:rsidRPr="000C02BB">
        <w:t>обозначенных</w:t>
      </w:r>
      <w:r w:rsidR="000C02BB">
        <w:t xml:space="preserve"> </w:t>
      </w:r>
      <w:r w:rsidRPr="000C02BB">
        <w:t>Хейлом</w:t>
      </w:r>
      <w:r w:rsidR="000C02BB">
        <w:t xml:space="preserve"> </w:t>
      </w:r>
      <w:r w:rsidRPr="000C02BB">
        <w:t>«инертных</w:t>
      </w:r>
      <w:r w:rsidR="000C02BB">
        <w:t xml:space="preserve"> </w:t>
      </w:r>
      <w:r w:rsidRPr="000C02BB">
        <w:t>и</w:t>
      </w:r>
      <w:r w:rsidR="000C02BB">
        <w:t xml:space="preserve"> </w:t>
      </w:r>
      <w:r w:rsidRPr="000C02BB">
        <w:t>несовершенных</w:t>
      </w:r>
      <w:r w:rsidR="000C02BB">
        <w:t xml:space="preserve"> </w:t>
      </w:r>
      <w:r w:rsidRPr="000C02BB">
        <w:t>стратегий»</w:t>
      </w:r>
      <w:r w:rsidR="000C02BB">
        <w:t xml:space="preserve"> </w:t>
      </w:r>
      <w:r w:rsidRPr="000C02BB">
        <w:t>является</w:t>
      </w:r>
      <w:r w:rsidR="000C02BB">
        <w:t xml:space="preserve"> </w:t>
      </w:r>
      <w:r w:rsidRPr="000C02BB">
        <w:t>разработка</w:t>
      </w:r>
      <w:r w:rsidR="000C02BB">
        <w:t xml:space="preserve"> </w:t>
      </w:r>
      <w:r w:rsidRPr="000C02BB">
        <w:t>инновационных</w:t>
      </w:r>
      <w:r w:rsidR="000C02BB">
        <w:t xml:space="preserve"> </w:t>
      </w:r>
      <w:r w:rsidRPr="000C02BB">
        <w:t>моделей</w:t>
      </w:r>
      <w:r w:rsidR="000C02BB">
        <w:t xml:space="preserve"> </w:t>
      </w:r>
      <w:r w:rsidRPr="000C02BB">
        <w:t>образования</w:t>
      </w:r>
      <w:r w:rsidR="000C02BB">
        <w:t xml:space="preserve"> </w:t>
      </w:r>
      <w:r w:rsidRPr="000C02BB">
        <w:t>на</w:t>
      </w:r>
      <w:r w:rsidR="000C02BB">
        <w:t xml:space="preserve"> </w:t>
      </w:r>
      <w:r w:rsidRPr="000C02BB">
        <w:t>основе</w:t>
      </w:r>
      <w:r w:rsidR="000C02BB">
        <w:t xml:space="preserve"> </w:t>
      </w:r>
      <w:r w:rsidRPr="000C02BB">
        <w:t>принципиально</w:t>
      </w:r>
      <w:r w:rsidR="000C02BB">
        <w:t xml:space="preserve"> </w:t>
      </w:r>
      <w:r w:rsidRPr="000C02BB">
        <w:t>новых</w:t>
      </w:r>
      <w:r w:rsidR="000C02BB">
        <w:t xml:space="preserve"> </w:t>
      </w:r>
      <w:r w:rsidRPr="000C02BB">
        <w:t>научных</w:t>
      </w:r>
      <w:r w:rsidR="000C02BB">
        <w:t xml:space="preserve"> </w:t>
      </w:r>
      <w:r w:rsidRPr="000C02BB">
        <w:t>технологий,</w:t>
      </w:r>
      <w:r w:rsidR="000C02BB">
        <w:t xml:space="preserve"> </w:t>
      </w:r>
      <w:r w:rsidRPr="000C02BB">
        <w:t>учитывающих</w:t>
      </w:r>
      <w:r w:rsidR="000C02BB">
        <w:t xml:space="preserve"> </w:t>
      </w:r>
      <w:r w:rsidRPr="000C02BB">
        <w:t>сложный</w:t>
      </w:r>
      <w:r w:rsidR="000C02BB">
        <w:t xml:space="preserve"> </w:t>
      </w:r>
      <w:r w:rsidRPr="000C02BB">
        <w:t>характер</w:t>
      </w:r>
      <w:r w:rsidR="000C02BB">
        <w:t xml:space="preserve"> </w:t>
      </w:r>
      <w:r w:rsidRPr="000C02BB">
        <w:t>современного</w:t>
      </w:r>
      <w:r w:rsidR="000C02BB">
        <w:t xml:space="preserve"> </w:t>
      </w:r>
      <w:r w:rsidRPr="000C02BB">
        <w:t>этапа</w:t>
      </w:r>
      <w:r w:rsidR="000C02BB">
        <w:t xml:space="preserve"> </w:t>
      </w:r>
      <w:r w:rsidRPr="000C02BB">
        <w:t>глобализации.</w:t>
      </w:r>
      <w:r w:rsidR="000C02BB">
        <w:t xml:space="preserve"> </w:t>
      </w:r>
      <w:r w:rsidRPr="000C02BB">
        <w:rPr>
          <w:rStyle w:val="a5"/>
          <w:b w:val="0"/>
        </w:rPr>
        <w:t>Влияние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образовательную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политику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всем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мире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стало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стратегически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важным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вопросом,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поскольку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он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связан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одним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самых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распространенных,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далеко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полностью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изученных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явлений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современности,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характеризующих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специфику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политико-экономических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преобразований,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также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продолжающейся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технологической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революции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сфере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информационно-коммуникационных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технологий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(ИКТ).</w:t>
      </w:r>
      <w:r w:rsidR="00CA2E8D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Стремительное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развитие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последних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является</w:t>
      </w:r>
      <w:r w:rsidR="00CA2E8D">
        <w:rPr>
          <w:rStyle w:val="a5"/>
          <w:b w:val="0"/>
        </w:rPr>
        <w:t xml:space="preserve"> </w:t>
      </w:r>
      <w:r w:rsidRPr="000C02BB">
        <w:t>в</w:t>
      </w:r>
      <w:r w:rsidR="000C02BB">
        <w:t xml:space="preserve"> </w:t>
      </w:r>
      <w:r w:rsidRPr="000C02BB">
        <w:t>настоящее</w:t>
      </w:r>
      <w:r w:rsidR="000C02BB">
        <w:t xml:space="preserve"> </w:t>
      </w:r>
      <w:r w:rsidRPr="000C02BB">
        <w:t>время</w:t>
      </w:r>
      <w:r w:rsidR="000C02BB">
        <w:t xml:space="preserve"> </w:t>
      </w:r>
      <w:r w:rsidRPr="000C02BB">
        <w:t>в</w:t>
      </w:r>
      <w:r w:rsidRPr="000C02BB">
        <w:rPr>
          <w:rStyle w:val="a5"/>
          <w:b w:val="0"/>
        </w:rPr>
        <w:t>ажнейшим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стимулом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процесса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глобализации.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Учитывая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данный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фактор,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Дж.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Зайда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определяет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«новую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доминирующую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идеологию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конвергенции,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сопровождающуюся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соответствующими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экономическими,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политическими,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социальными,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технологическими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образовательными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трансформациями.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Этот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процесс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характеризуется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растущей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экономической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политической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взаимозависимостью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странами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конечном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итоге,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трансформирует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этноцентрическое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ядро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национального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экономики»</w:t>
      </w:r>
      <w:r w:rsidRPr="000C02BB">
        <w:rPr>
          <w:rStyle w:val="a8"/>
          <w:bCs/>
        </w:rPr>
        <w:footnoteReference w:id="3"/>
      </w:r>
      <w:r w:rsidRPr="000C02BB">
        <w:t>.</w:t>
      </w:r>
      <w:r w:rsidR="000C02BB">
        <w:t xml:space="preserve"> </w:t>
      </w:r>
      <w:r w:rsidRPr="000C02BB">
        <w:rPr>
          <w:rStyle w:val="a5"/>
          <w:b w:val="0"/>
        </w:rPr>
        <w:t>Переосмысливая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качестве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парадигмы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сравнительном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анализе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образования,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австралийский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политолог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выделяет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четыре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множества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пересекающихся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дискурсов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глобализации: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«региональные/цивилизационные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дискурсы,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Северной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Южной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Америки,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Восточной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Западной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Америки,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Австралазии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Юго-Восточной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Азии;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идеологические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левых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правых,</w:t>
      </w:r>
      <w:r w:rsidR="000C02BB">
        <w:rPr>
          <w:rStyle w:val="a5"/>
          <w:b w:val="0"/>
        </w:rPr>
        <w:t xml:space="preserve"> </w:t>
      </w:r>
      <w:r w:rsidR="00094C0F"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="00094C0F" w:rsidRPr="000C02BB">
        <w:rPr>
          <w:rStyle w:val="a5"/>
          <w:b w:val="0"/>
        </w:rPr>
        <w:t>которых</w:t>
      </w:r>
      <w:r w:rsidR="000C02BB">
        <w:rPr>
          <w:rStyle w:val="a5"/>
          <w:b w:val="0"/>
        </w:rPr>
        <w:t xml:space="preserve"> </w:t>
      </w:r>
      <w:r w:rsidR="00094C0F" w:rsidRPr="000C02BB">
        <w:rPr>
          <w:rStyle w:val="a5"/>
          <w:b w:val="0"/>
        </w:rPr>
        <w:t>про</w:t>
      </w:r>
      <w:r w:rsidRPr="000C02BB">
        <w:rPr>
          <w:rStyle w:val="a5"/>
          <w:b w:val="0"/>
        </w:rPr>
        <w:t>сматриваю</w:t>
      </w:r>
      <w:r w:rsidR="00094C0F" w:rsidRPr="000C02BB">
        <w:rPr>
          <w:rStyle w:val="a5"/>
          <w:b w:val="0"/>
        </w:rPr>
        <w:t>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про-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антиглобализационные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перспективы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(теория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развития);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дисциплинарные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рамках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внутридисциплинарных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теорий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основных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дисциплинах,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включая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политологию,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экономику,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культурологию,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педагогику,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социологию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медиа-исследования;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постструктуралистские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постмодернистские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дискурсы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критикой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“больших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нарративов”…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Все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согласны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тем,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главная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цель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образования</w:t>
      </w:r>
      <w:r w:rsidR="000C02BB">
        <w:rPr>
          <w:rStyle w:val="a5"/>
          <w:b w:val="0"/>
        </w:rPr>
        <w:t xml:space="preserve"> </w:t>
      </w:r>
      <w:r w:rsidR="00CA2E8D" w:rsidRPr="00CA2E8D">
        <w:rPr>
          <w:rStyle w:val="a5"/>
          <w:b w:val="0"/>
        </w:rPr>
        <w:t>–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улучшение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социальных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экономических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перспектив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человека.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Этого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можно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достичь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только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путем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предоставления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качественного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для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всех.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настоящее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время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академические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достижения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учащихся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регулярно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отслеживаются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оцениваются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рамках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“международно</w:t>
      </w:r>
      <w:r w:rsidR="00B61117" w:rsidRPr="000C02BB">
        <w:rPr>
          <w:rStyle w:val="a5"/>
          <w:b w:val="0"/>
        </w:rPr>
        <w:t>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согласованной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системы”</w:t>
      </w:r>
      <w:r w:rsidR="000C02BB">
        <w:rPr>
          <w:rStyle w:val="a5"/>
          <w:b w:val="0"/>
        </w:rPr>
        <w:t xml:space="preserve"> </w:t>
      </w:r>
      <w:r w:rsidR="00CA2E8D" w:rsidRPr="00CA2E8D">
        <w:rPr>
          <w:rStyle w:val="a5"/>
          <w:b w:val="0"/>
        </w:rPr>
        <w:t>–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Программы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международной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оценки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учащихся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(</w:t>
      </w:r>
      <w:r w:rsidRPr="000C02BB">
        <w:rPr>
          <w:rStyle w:val="a5"/>
          <w:b w:val="0"/>
          <w:lang w:val="en-US"/>
        </w:rPr>
        <w:t>PISA</w:t>
      </w:r>
      <w:r w:rsidRPr="000C02BB">
        <w:rPr>
          <w:rStyle w:val="a5"/>
          <w:b w:val="0"/>
        </w:rPr>
        <w:t>)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ОЭСР.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было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сделано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ответ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растущий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спрос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международные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сравнения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результатов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образования.</w:t>
      </w:r>
      <w:r w:rsidR="00CA2E8D" w:rsidRPr="00CA2E8D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Для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измерения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уровня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академической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успеваемости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глобальной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ОЭСР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сотрудничестве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ЮНЕСКО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использует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программу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“Всемирные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показатели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образования”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(WEI),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охватывающую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широкий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спектр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сравнительных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показателей,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которые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отражают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ресурсы,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вложенные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образование,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отдачу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для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отдельных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лиц»</w:t>
      </w:r>
      <w:r w:rsidRPr="000C02BB">
        <w:rPr>
          <w:rStyle w:val="a8"/>
          <w:bCs/>
        </w:rPr>
        <w:footnoteReference w:id="4"/>
      </w:r>
      <w:r w:rsidRPr="000C02BB">
        <w:rPr>
          <w:rStyle w:val="a5"/>
          <w:b w:val="0"/>
        </w:rPr>
        <w:t>.</w:t>
      </w:r>
      <w:r w:rsidR="000C02BB">
        <w:rPr>
          <w:rStyle w:val="a5"/>
          <w:b w:val="0"/>
        </w:rPr>
        <w:t xml:space="preserve"> </w:t>
      </w:r>
    </w:p>
    <w:p w:rsidR="00B9051C" w:rsidRPr="000C02BB" w:rsidRDefault="00B9051C" w:rsidP="000C02B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C02BB">
        <w:t>В</w:t>
      </w:r>
      <w:r w:rsidR="000C02BB">
        <w:t xml:space="preserve"> </w:t>
      </w:r>
      <w:r w:rsidRPr="000C02BB">
        <w:t>своем</w:t>
      </w:r>
      <w:r w:rsidR="000C02BB">
        <w:t xml:space="preserve"> </w:t>
      </w:r>
      <w:r w:rsidRPr="000C02BB">
        <w:t>сравнительном</w:t>
      </w:r>
      <w:r w:rsidR="000C02BB">
        <w:t xml:space="preserve"> </w:t>
      </w:r>
      <w:r w:rsidRPr="000C02BB">
        <w:t>исследовании</w:t>
      </w:r>
      <w:r w:rsidR="000C02BB">
        <w:t xml:space="preserve"> </w:t>
      </w:r>
      <w:r w:rsidRPr="000C02BB">
        <w:t>Э.</w:t>
      </w:r>
      <w:r w:rsidR="000C02BB">
        <w:t xml:space="preserve"> </w:t>
      </w:r>
      <w:r w:rsidRPr="000C02BB">
        <w:t>Реньо,</w:t>
      </w:r>
      <w:r w:rsidR="000C02BB">
        <w:t xml:space="preserve"> </w:t>
      </w:r>
      <w:r w:rsidRPr="000C02BB">
        <w:t>Л.</w:t>
      </w:r>
      <w:r w:rsidR="000C02BB">
        <w:t xml:space="preserve"> </w:t>
      </w:r>
      <w:r w:rsidRPr="000C02BB">
        <w:t>Копро,</w:t>
      </w:r>
      <w:r w:rsidR="000C02BB">
        <w:t xml:space="preserve"> </w:t>
      </w:r>
      <w:r w:rsidRPr="000C02BB">
        <w:t>Б.</w:t>
      </w:r>
      <w:r w:rsidR="000C02BB">
        <w:t xml:space="preserve"> </w:t>
      </w:r>
      <w:r w:rsidRPr="000C02BB">
        <w:t>Ландрие-Гере</w:t>
      </w:r>
      <w:r w:rsidR="000C02BB">
        <w:t xml:space="preserve"> </w:t>
      </w:r>
      <w:r w:rsidRPr="000C02BB">
        <w:t>и</w:t>
      </w:r>
      <w:r w:rsidR="000C02BB">
        <w:t xml:space="preserve"> </w:t>
      </w:r>
      <w:r w:rsidRPr="000C02BB">
        <w:t>Р.-Б.</w:t>
      </w:r>
      <w:r w:rsidR="000C02BB">
        <w:t xml:space="preserve"> </w:t>
      </w:r>
      <w:r w:rsidRPr="000C02BB">
        <w:t>Миньо</w:t>
      </w:r>
      <w:r w:rsidR="000C02BB">
        <w:t xml:space="preserve"> </w:t>
      </w:r>
      <w:r w:rsidRPr="000C02BB">
        <w:t>выделяют</w:t>
      </w:r>
      <w:r w:rsidR="000C02BB">
        <w:t xml:space="preserve"> </w:t>
      </w:r>
      <w:r w:rsidRPr="000C02BB">
        <w:t>пять</w:t>
      </w:r>
      <w:r w:rsidR="000C02BB">
        <w:t xml:space="preserve"> </w:t>
      </w:r>
      <w:r w:rsidRPr="000C02BB">
        <w:t>современных</w:t>
      </w:r>
      <w:r w:rsidR="000C02BB">
        <w:t xml:space="preserve"> </w:t>
      </w:r>
      <w:r w:rsidRPr="000C02BB">
        <w:t>перспективных</w:t>
      </w:r>
      <w:r w:rsidR="000C02BB">
        <w:t xml:space="preserve"> </w:t>
      </w:r>
      <w:r w:rsidRPr="000C02BB">
        <w:t>образовательных</w:t>
      </w:r>
      <w:r w:rsidR="000C02BB">
        <w:t xml:space="preserve"> </w:t>
      </w:r>
      <w:r w:rsidRPr="000C02BB">
        <w:t>моделей: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C02BB">
        <w:rPr>
          <w:rFonts w:ascii="Times New Roman" w:hAnsi="Times New Roman" w:cs="Times New Roman"/>
        </w:rPr>
        <w:t>•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  <w:i/>
        </w:rPr>
        <w:t>Скандинавская</w:t>
      </w:r>
      <w:r w:rsidR="000C02BB">
        <w:rPr>
          <w:rFonts w:ascii="Times New Roman" w:hAnsi="Times New Roman" w:cs="Times New Roman"/>
          <w:i/>
        </w:rPr>
        <w:t xml:space="preserve"> </w:t>
      </w:r>
      <w:r w:rsidRPr="000C02BB">
        <w:rPr>
          <w:rFonts w:ascii="Times New Roman" w:hAnsi="Times New Roman" w:cs="Times New Roman"/>
          <w:i/>
        </w:rPr>
        <w:t>модель</w:t>
      </w:r>
      <w:r w:rsidR="00CA2E8D" w:rsidRPr="00CA2E8D">
        <w:rPr>
          <w:rFonts w:ascii="Times New Roman" w:hAnsi="Times New Roman" w:cs="Times New Roman"/>
          <w:i/>
        </w:rPr>
        <w:t xml:space="preserve"> –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Дания,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Финляндия,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Исландия,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Норвегия,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Швеция.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Недифференцированная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структура,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единая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школьная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система,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одни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те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же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предметы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преподаются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в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средних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школах,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нет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разделения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между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начальной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средней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школой,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академическая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ориентация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16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лет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–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прогресс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развитие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–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сосредоточены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на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общих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навыках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знаниях,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ожидаемых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от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учеников,</w:t>
      </w:r>
      <w:r w:rsidR="000C02BB">
        <w:rPr>
          <w:rFonts w:ascii="Times New Roman" w:hAnsi="Times New Roman" w:cs="Times New Roman"/>
        </w:rPr>
        <w:t xml:space="preserve"> </w:t>
      </w:r>
      <w:r w:rsidR="00E418B1" w:rsidRPr="000C02BB">
        <w:rPr>
          <w:rFonts w:ascii="Times New Roman" w:hAnsi="Times New Roman" w:cs="Times New Roman"/>
        </w:rPr>
        <w:t>а</w:t>
      </w:r>
      <w:r w:rsidR="000C02BB">
        <w:rPr>
          <w:rFonts w:ascii="Times New Roman" w:hAnsi="Times New Roman" w:cs="Times New Roman"/>
        </w:rPr>
        <w:t xml:space="preserve"> </w:t>
      </w:r>
      <w:r w:rsidR="00E418B1" w:rsidRPr="000C02BB">
        <w:rPr>
          <w:rFonts w:ascii="Times New Roman" w:hAnsi="Times New Roman" w:cs="Times New Roman"/>
        </w:rPr>
        <w:t>также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на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развитии</w:t>
      </w:r>
      <w:r w:rsidR="000C02BB">
        <w:rPr>
          <w:rFonts w:ascii="Times New Roman" w:hAnsi="Times New Roman" w:cs="Times New Roman"/>
        </w:rPr>
        <w:t xml:space="preserve"> </w:t>
      </w:r>
      <w:r w:rsidRPr="000C02BB">
        <w:rPr>
          <w:rFonts w:ascii="Times New Roman" w:hAnsi="Times New Roman" w:cs="Times New Roman"/>
        </w:rPr>
        <w:t>личности.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Латинская</w:t>
      </w:r>
      <w:r w:rsidR="000C02BB">
        <w:rPr>
          <w:rFonts w:ascii="Times New Roman" w:hAnsi="Times New Roman" w:cs="Times New Roman"/>
          <w:i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модель</w:t>
      </w:r>
      <w:r w:rsidR="00CA2E8D" w:rsidRPr="00CA2E8D">
        <w:rPr>
          <w:rFonts w:ascii="Times New Roman" w:hAnsi="Times New Roman" w:cs="Times New Roman"/>
          <w:color w:val="auto"/>
        </w:rPr>
        <w:t xml:space="preserve"> –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Бразилия,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Испания,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Франция,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Греция,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Италия,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Румыния,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Турция</w:t>
      </w:r>
      <w:r w:rsidR="00CA2E8D" w:rsidRPr="00CA2E8D">
        <w:rPr>
          <w:rFonts w:ascii="Times New Roman" w:hAnsi="Times New Roman" w:cs="Times New Roman"/>
          <w:color w:val="auto"/>
        </w:rPr>
        <w:t xml:space="preserve"> –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отличается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дифференцированной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структурой,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разделением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начальные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средние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школы,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ориентацией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14-летний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(Турция)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или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16-летний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(Франция)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возраст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академической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структурой,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основанной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национальных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учебных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планах,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разделенных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предметы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многочисленными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оценочными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тестами.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Восточноазиатская</w:t>
      </w:r>
      <w:r w:rsidR="000C02BB">
        <w:rPr>
          <w:rFonts w:ascii="Times New Roman" w:hAnsi="Times New Roman" w:cs="Times New Roman"/>
          <w:i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модель</w:t>
      </w:r>
      <w:r w:rsidR="00FD5BBA" w:rsidRPr="00FD5BBA">
        <w:rPr>
          <w:rFonts w:ascii="Times New Roman" w:hAnsi="Times New Roman" w:cs="Times New Roman"/>
          <w:i/>
          <w:color w:val="auto"/>
        </w:rPr>
        <w:t xml:space="preserve"> –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Корея,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Япония,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Китай,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Россия.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Смешанная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структура,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частично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общая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средних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школах,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разделение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начальной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средней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школы,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[профильная]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ориентация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16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лет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академическая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ориентация.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Германская</w:t>
      </w:r>
      <w:r w:rsidR="000C02BB">
        <w:rPr>
          <w:rFonts w:ascii="Times New Roman" w:hAnsi="Times New Roman" w:cs="Times New Roman"/>
          <w:i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модель</w:t>
      </w:r>
      <w:r w:rsidR="00FD5BBA" w:rsidRPr="00FD5BBA">
        <w:rPr>
          <w:rFonts w:ascii="Times New Roman" w:hAnsi="Times New Roman" w:cs="Times New Roman"/>
          <w:color w:val="auto"/>
        </w:rPr>
        <w:t xml:space="preserve"> –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Германия,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Австрия,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Бельгия,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Люксембург,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Нидерланды,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Швейцария.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Отличается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дифференцированной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академической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направленностью.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Британская</w:t>
      </w:r>
      <w:r w:rsidR="000C02BB">
        <w:rPr>
          <w:rFonts w:ascii="Times New Roman" w:hAnsi="Times New Roman" w:cs="Times New Roman"/>
          <w:i/>
          <w:color w:val="auto"/>
        </w:rPr>
        <w:t xml:space="preserve"> </w:t>
      </w:r>
      <w:r w:rsidRPr="000C02BB">
        <w:rPr>
          <w:rFonts w:ascii="Times New Roman" w:hAnsi="Times New Roman" w:cs="Times New Roman"/>
          <w:i/>
          <w:color w:val="auto"/>
        </w:rPr>
        <w:t>модель</w:t>
      </w:r>
      <w:r w:rsidR="00FD5BBA" w:rsidRPr="00FD5BBA">
        <w:rPr>
          <w:rFonts w:ascii="Times New Roman" w:hAnsi="Times New Roman" w:cs="Times New Roman"/>
          <w:i/>
          <w:color w:val="auto"/>
        </w:rPr>
        <w:t xml:space="preserve"> –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Австралия,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Канада,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США,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Индия,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Ирландия,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Мексика,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Новая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Зеландия,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Соединенное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Королевство.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Смешанная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структура,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ориентированная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прогресс.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</w:rPr>
        <w:t>Французские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исследователи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приводят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также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рекомендации,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полученные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ходе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опросов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ОЭСР,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проведенных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целью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изучения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характера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общих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требований,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периодически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возникающих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процессе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практической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реализации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этих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моделей: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Предоставить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ученику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ведущее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место.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Применить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конструктивный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подход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процессу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обучения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благодаря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активному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преподаванию;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Способствовать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развитию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сотрудничества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между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учениками;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Развивать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дружеские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безопасные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связи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между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учителями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учениками;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Понимать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роль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учителя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как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наставника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помощника;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Выставлять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положительные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оценки;</w:t>
      </w:r>
    </w:p>
    <w:p w:rsidR="00B9051C" w:rsidRPr="000C02BB" w:rsidRDefault="00B9051C" w:rsidP="000C02BB">
      <w:pPr>
        <w:pStyle w:val="Para02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0C02BB">
        <w:rPr>
          <w:rFonts w:ascii="Times New Roman" w:hAnsi="Times New Roman" w:cs="Times New Roman"/>
          <w:color w:val="auto"/>
        </w:rPr>
        <w:t>•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Сочетать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междисциплинарное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и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совместное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обучение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с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освоением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знаний,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необходимых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по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каждому</w:t>
      </w:r>
      <w:r w:rsidR="000C02BB">
        <w:rPr>
          <w:rFonts w:ascii="Times New Roman" w:hAnsi="Times New Roman" w:cs="Times New Roman"/>
          <w:color w:val="auto"/>
        </w:rPr>
        <w:t xml:space="preserve"> </w:t>
      </w:r>
      <w:r w:rsidRPr="000C02BB">
        <w:rPr>
          <w:rFonts w:ascii="Times New Roman" w:hAnsi="Times New Roman" w:cs="Times New Roman"/>
          <w:color w:val="auto"/>
        </w:rPr>
        <w:t>предмету</w:t>
      </w:r>
      <w:r w:rsidRPr="000C02BB">
        <w:rPr>
          <w:rStyle w:val="a8"/>
          <w:rFonts w:ascii="Times New Roman" w:hAnsi="Times New Roman" w:cs="Times New Roman"/>
          <w:color w:val="auto"/>
        </w:rPr>
        <w:footnoteReference w:id="5"/>
      </w:r>
      <w:r w:rsidRPr="000C02BB">
        <w:rPr>
          <w:rFonts w:ascii="Times New Roman" w:hAnsi="Times New Roman" w:cs="Times New Roman"/>
          <w:color w:val="auto"/>
        </w:rPr>
        <w:t>.</w:t>
      </w:r>
    </w:p>
    <w:p w:rsidR="00823B2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Открытость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гибкость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FD5BBA" w:rsidRPr="00FD5BBA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две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тенденции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(особенно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уровне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высшего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образования),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влияют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весь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спектр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учреждений.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Например,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университеты,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практикующие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дистанционное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придерживаются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принципов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открытого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доступа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учебным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ресурсам,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множественности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вариантов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гибкого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особенно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завершающей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стадии.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Традиционные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высшие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учебные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заведения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следуют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примеру,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предоставляя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студентам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бесплатный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контент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виде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открытых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учебных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материалов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the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OCW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movement</w:t>
      </w:r>
      <w:r w:rsidRPr="000C02BB">
        <w:rPr>
          <w:rFonts w:ascii="Times New Roman" w:hAnsi="Times New Roman"/>
          <w:sz w:val="24"/>
          <w:szCs w:val="24"/>
        </w:rPr>
        <w:t>);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предлагая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бесплатно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i/>
          <w:sz w:val="24"/>
          <w:szCs w:val="24"/>
        </w:rPr>
        <w:t>м</w:t>
      </w:r>
      <w:r w:rsidRPr="000C02BB">
        <w:rPr>
          <w:rFonts w:ascii="Times New Roman" w:hAnsi="Times New Roman"/>
          <w:bCs/>
          <w:i/>
          <w:sz w:val="24"/>
          <w:szCs w:val="24"/>
        </w:rPr>
        <w:t>ассовые</w:t>
      </w:r>
      <w:r w:rsidR="000C02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i/>
          <w:sz w:val="24"/>
          <w:szCs w:val="24"/>
        </w:rPr>
        <w:t>открытые</w:t>
      </w:r>
      <w:r w:rsidR="000C02B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i/>
          <w:sz w:val="24"/>
          <w:szCs w:val="24"/>
        </w:rPr>
        <w:t>онлайн-курсы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MOOC</w:t>
      </w:r>
      <w:r w:rsidRPr="000C02BB">
        <w:rPr>
          <w:rFonts w:ascii="Times New Roman" w:hAnsi="Times New Roman"/>
          <w:sz w:val="24"/>
          <w:szCs w:val="24"/>
        </w:rPr>
        <w:t>),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практикуя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смешанное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«перевернутые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классы».</w:t>
      </w:r>
      <w:r w:rsidR="000C02BB">
        <w:rPr>
          <w:rFonts w:ascii="Times New Roman" w:hAnsi="Times New Roman"/>
          <w:sz w:val="24"/>
          <w:szCs w:val="24"/>
        </w:rPr>
        <w:t xml:space="preserve"> 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Все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возможны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благодаря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технологическому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прогрессу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прорывам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информационно-коммуникационных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технологиях.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Ускоряющиеся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инновации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технологические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достижения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приводят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к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кардинальным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изменениям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образовании,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делая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его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более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открытым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повышая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эффективность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обучения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за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счет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возможности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проводить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занятия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любое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время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любом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месте.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гибком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персонализированном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режиме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обучения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перевернутый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класс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(the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flipped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classroom),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использование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социальных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сетей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образовании,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мобильное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обучение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(m-learning),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повсеместное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обучение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(u-learning),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открытые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образовательные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ресурсы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(OER)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массовые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открытые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онлайн-курсы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(MOOC)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являются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примерами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того,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как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преподаватели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применяют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новейшие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технологии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для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удовлетворения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разнообразных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потребностей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различных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учебных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сообществ</w:t>
      </w:r>
      <w:r w:rsidRPr="000C02BB">
        <w:rPr>
          <w:rStyle w:val="a8"/>
          <w:rFonts w:ascii="Times New Roman" w:hAnsi="Times New Roman"/>
          <w:bCs/>
          <w:sz w:val="24"/>
          <w:szCs w:val="24"/>
        </w:rPr>
        <w:footnoteReference w:id="6"/>
      </w:r>
      <w:r w:rsidRPr="000C02BB">
        <w:rPr>
          <w:rFonts w:ascii="Times New Roman" w:hAnsi="Times New Roman"/>
          <w:bCs/>
          <w:sz w:val="24"/>
          <w:szCs w:val="24"/>
        </w:rPr>
        <w:t>.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современной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философии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образования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обозначенные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выше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инновационные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методы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обучения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рассматриваются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рамках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общей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тенденции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демократизации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образовательных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процессов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и</w:t>
      </w:r>
      <w:r w:rsidR="000C02BB">
        <w:rPr>
          <w:rFonts w:ascii="Times New Roman" w:hAnsi="Times New Roman"/>
          <w:bCs/>
          <w:sz w:val="24"/>
          <w:szCs w:val="24"/>
        </w:rPr>
        <w:t xml:space="preserve"> </w:t>
      </w:r>
      <w:r w:rsidRPr="000C02BB">
        <w:rPr>
          <w:rFonts w:ascii="Times New Roman" w:hAnsi="Times New Roman"/>
          <w:bCs/>
          <w:sz w:val="24"/>
          <w:szCs w:val="24"/>
        </w:rPr>
        <w:t>технологий</w:t>
      </w:r>
      <w:r w:rsidRPr="000C02BB">
        <w:rPr>
          <w:rStyle w:val="a8"/>
          <w:rFonts w:ascii="Times New Roman" w:hAnsi="Times New Roman"/>
          <w:bCs/>
          <w:sz w:val="24"/>
          <w:szCs w:val="24"/>
        </w:rPr>
        <w:footnoteReference w:id="7"/>
      </w:r>
      <w:r w:rsidRPr="000C02BB">
        <w:rPr>
          <w:rFonts w:ascii="Times New Roman" w:hAnsi="Times New Roman"/>
          <w:color w:val="212529"/>
          <w:sz w:val="24"/>
          <w:szCs w:val="24"/>
        </w:rPr>
        <w:t>,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способной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в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определенной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степени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противостоять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негативным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тенденциям</w:t>
      </w:r>
      <w:r w:rsidR="00FD5BBA">
        <w:rPr>
          <w:rFonts w:ascii="Times New Roman" w:hAnsi="Times New Roman"/>
          <w:color w:val="212529"/>
          <w:sz w:val="24"/>
          <w:szCs w:val="24"/>
        </w:rPr>
        <w:t>,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характерным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для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постиндустриальной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стадии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развития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современного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капитализма,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отличительной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чертой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которой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является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эрозия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национальной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идентичности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в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рамках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формирующейся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«глобальной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культуры».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Основные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параметры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последней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еще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в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начале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1990-х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гг.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были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весьма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рельефно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обозначены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в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книге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10789">
        <w:rPr>
          <w:rFonts w:ascii="Times New Roman" w:hAnsi="Times New Roman"/>
          <w:color w:val="212529"/>
          <w:sz w:val="24"/>
          <w:szCs w:val="24"/>
        </w:rPr>
        <w:t>Э</w:t>
      </w:r>
      <w:r w:rsidRPr="000C02BB">
        <w:rPr>
          <w:rFonts w:ascii="Times New Roman" w:hAnsi="Times New Roman"/>
          <w:color w:val="212529"/>
          <w:sz w:val="24"/>
          <w:szCs w:val="24"/>
        </w:rPr>
        <w:t>нтони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Д.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Смита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«Национальная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идентичность»: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«</w:t>
      </w:r>
      <w:r w:rsidRPr="000C02BB">
        <w:rPr>
          <w:rFonts w:ascii="Times New Roman" w:hAnsi="Times New Roman"/>
          <w:sz w:val="24"/>
          <w:szCs w:val="24"/>
        </w:rPr>
        <w:t>Однако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именно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сфере,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="00610789">
        <w:rPr>
          <w:rFonts w:ascii="Times New Roman" w:hAnsi="Times New Roman"/>
          <w:sz w:val="24"/>
          <w:szCs w:val="24"/>
        </w:rPr>
        <w:t>–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отмечает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британский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color w:val="212529"/>
          <w:sz w:val="24"/>
          <w:szCs w:val="24"/>
        </w:rPr>
        <w:t>социолог,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10789">
        <w:rPr>
          <w:rFonts w:ascii="Times New Roman" w:hAnsi="Times New Roman"/>
          <w:color w:val="212529"/>
          <w:sz w:val="24"/>
          <w:szCs w:val="24"/>
        </w:rPr>
        <w:t>–</w:t>
      </w:r>
      <w:r w:rsidR="000C02BB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утверждения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теоретиков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капитализма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постиндустриализма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вызывают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наибольшие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сомнения.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Действительно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бесспорно,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сложные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масштабные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телекоммуникационные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компьютеризированные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информационные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системы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объединяют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национальные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крайней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мере,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накладывают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космополитическую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культуру?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каково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содержание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глобальной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культуры?...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состоять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ряда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аналитически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обособленных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элементов: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эффективно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рекламируемых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товаров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массового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потребления,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лоскутного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одеяла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народных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стилей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мотивов,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лишенных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своего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контекста,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некоторых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идеологических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дискурсов,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касающихся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“прав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человека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ценностей”,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стандартизированного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количественного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“научного”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языка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коммуникации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оценки,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подкреплено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информационными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телекоммуникационными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системами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компьютерными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технологиями.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постмодернистская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отличаться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предыдущих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только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своим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всемирным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распространением,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степенью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самосознания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самопародии.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Действительно,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полагая,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“Я”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конкретных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дискурсов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языковых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конвенций,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вовлечен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каждый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человек,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точек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отсчета,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“центра”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пределами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конвенций,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космополитизм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своей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сути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эклектичен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находится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движении.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Её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постоянно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меняется.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Поэтому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её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можно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“описать”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лишь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чертах.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отличие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предыдущих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империализмов,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были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укоренены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этническом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времени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происхождения,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универсальна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вневременна.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Будучи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эклектичной,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безразлична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времени.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изменчива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бесформенна.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Хотя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настоящее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время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более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Западе,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где-либо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ещё,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постмодернистская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космополитическая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распространилась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миру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благодаря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средствам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массовой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информации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телекоммуникациям.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здесь,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сейчас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повсюду.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может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похвастаться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историей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историческими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хрониками;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используемые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народные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мотивы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применяются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поверхностного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украшения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“научно-технической”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культуры,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ориентированной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настоящее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будущее»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8"/>
      </w:r>
      <w:r w:rsidRPr="000C02BB">
        <w:rPr>
          <w:rFonts w:ascii="Times New Roman" w:hAnsi="Times New Roman"/>
          <w:sz w:val="24"/>
          <w:szCs w:val="24"/>
          <w:lang w:eastAsia="ru-RU"/>
        </w:rPr>
        <w:t>.</w:t>
      </w:r>
    </w:p>
    <w:p w:rsidR="00B9051C" w:rsidRPr="000C02BB" w:rsidRDefault="00B9051C" w:rsidP="000C02B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</w:rPr>
      </w:pP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своей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работе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«Национальная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идентичность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глобализация: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молодежь,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общество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постсоветской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Евразии»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Д.У.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Блум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отмечает,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современных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специалистов,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прежде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всего,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интересует</w:t>
      </w:r>
      <w:r w:rsidR="00610789">
        <w:rPr>
          <w:rStyle w:val="a5"/>
          <w:b w:val="0"/>
        </w:rPr>
        <w:t>,</w:t>
      </w:r>
      <w:r w:rsidR="000C02BB">
        <w:t xml:space="preserve"> </w:t>
      </w:r>
      <w:r w:rsidRPr="000C02BB">
        <w:t>к</w:t>
      </w:r>
      <w:r w:rsidRPr="000C02BB">
        <w:rPr>
          <w:rStyle w:val="a5"/>
          <w:b w:val="0"/>
        </w:rPr>
        <w:t>ак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общества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реагируют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иностранные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потоки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почему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они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также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стремятся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«понять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только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последствия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социальные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процессы,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участвующие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её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опосредовании,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также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связи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этими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процессами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конкретными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результатами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формирования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идентичности».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Необходимо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также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ответить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следующие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вопросы</w:t>
      </w:r>
      <w:r w:rsidR="000C02BB">
        <w:rPr>
          <w:rStyle w:val="a5"/>
          <w:b w:val="0"/>
        </w:rPr>
        <w:t xml:space="preserve"> </w:t>
      </w:r>
      <w:r w:rsidR="00610789">
        <w:rPr>
          <w:rStyle w:val="a5"/>
          <w:b w:val="0"/>
        </w:rPr>
        <w:t>–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субъекты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участвуют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конструировании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идентичности;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организационных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структурах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они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находятся;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механизмы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они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используют;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межличностные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сети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они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включены?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Ответы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данные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вопросы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позволяют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выявить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набор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уникальных,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теоретически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важных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выводов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связи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конструированием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идентичности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социально-политическими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реакциями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глобализацию</w:t>
      </w:r>
      <w:r w:rsidRPr="000C02BB">
        <w:rPr>
          <w:rStyle w:val="a8"/>
          <w:bCs/>
        </w:rPr>
        <w:footnoteReference w:id="9"/>
      </w:r>
      <w:r w:rsidRPr="000C02BB">
        <w:rPr>
          <w:rStyle w:val="a5"/>
          <w:b w:val="0"/>
        </w:rPr>
        <w:t>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Однако,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отмечает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Блум,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«чтобы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быстро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разобраться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вопросами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определения,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наших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целях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можно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понимать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как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потоки</w:t>
      </w:r>
      <w:r w:rsidR="000C02BB">
        <w:rPr>
          <w:rStyle w:val="a5"/>
          <w:b w:val="0"/>
        </w:rPr>
        <w:t xml:space="preserve"> </w:t>
      </w:r>
      <w:r w:rsidR="00610789">
        <w:rPr>
          <w:rStyle w:val="a5"/>
          <w:b w:val="0"/>
        </w:rPr>
        <w:t>–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капитала,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людей,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товаров,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информации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идей.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Более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того,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подразумевает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просто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совокупность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потоков,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ускорение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интенсификацию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объема,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также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повышение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степени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проникновения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через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границы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Однако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глобализация</w:t>
      </w:r>
      <w:r w:rsidR="000C02BB">
        <w:rPr>
          <w:rStyle w:val="a5"/>
          <w:b w:val="0"/>
        </w:rPr>
        <w:t xml:space="preserve"> </w:t>
      </w:r>
      <w:r w:rsidR="00610789">
        <w:rPr>
          <w:rStyle w:val="a5"/>
          <w:b w:val="0"/>
        </w:rPr>
        <w:t>–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это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просто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структурное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условие,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а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динамичное,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навязчивое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явление,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постоянно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вносящее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изменения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смыслов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практик,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доступных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субъектам.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Одним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из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последствий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является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то,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что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получило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название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“детерриториализация”,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или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ослабление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связи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между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культурой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местом,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что,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свою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очередь,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осложняет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способность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национальных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осуществлять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свою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важнейшую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деятельность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по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национальному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и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государственному</w:t>
      </w:r>
      <w:r w:rsidR="000C02BB">
        <w:rPr>
          <w:rStyle w:val="a5"/>
          <w:b w:val="0"/>
        </w:rPr>
        <w:t xml:space="preserve"> </w:t>
      </w:r>
      <w:r w:rsidRPr="000C02BB">
        <w:rPr>
          <w:rStyle w:val="a5"/>
          <w:b w:val="0"/>
        </w:rPr>
        <w:t>строительству»</w:t>
      </w:r>
      <w:r w:rsidRPr="000C02BB">
        <w:rPr>
          <w:rStyle w:val="a8"/>
          <w:bCs/>
        </w:rPr>
        <w:footnoteReference w:id="10"/>
      </w:r>
      <w:r w:rsidRPr="000C02BB">
        <w:rPr>
          <w:rStyle w:val="a5"/>
          <w:b w:val="0"/>
        </w:rPr>
        <w:t>.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Обозначенные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выше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занимают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важное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только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дискуссиях,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весьма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активно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влияют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политические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приоритеты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стратегии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международных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организаций,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национальных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больше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приходят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выводу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«эффект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глобализации»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необходимо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учитывать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разработке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научно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обоснованных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программ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преподавания.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Политические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документы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заявления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ЮНЕСКО,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ОЭСР,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Европейского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парламента,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Совета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министров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северных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Азиатско-Тихоокеанского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форума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экономического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сотрудничества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(АТЭС),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заявления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глав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государств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руководителей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специализированных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рабочих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групп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входящих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БРИКС,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свидетельствуют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понимании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необходимости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реформ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сфере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Глобализация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способствовала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формированию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новой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укоренившейся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социальной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стратификации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богатыми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бедными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странами.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Масштабы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социального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неравенства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основном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обусловлены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влиянием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капиталистической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экономики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приватизационных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моделей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рыночной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трансформации,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стимулирующих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неравенство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сфере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богатыми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бедными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регионами.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Региональное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неравенство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финансировании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оказывает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негативное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влияние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доступ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качественному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образованию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11"/>
      </w:r>
      <w:r w:rsidRPr="000C02BB">
        <w:rPr>
          <w:rFonts w:ascii="Times New Roman" w:hAnsi="Times New Roman"/>
          <w:sz w:val="24"/>
          <w:szCs w:val="24"/>
        </w:rPr>
        <w:t>.</w:t>
      </w:r>
      <w:r w:rsidR="000C02BB">
        <w:rPr>
          <w:rFonts w:ascii="Times New Roman" w:hAnsi="Times New Roman"/>
          <w:sz w:val="24"/>
          <w:szCs w:val="24"/>
        </w:rPr>
        <w:t xml:space="preserve"> 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Существенную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роль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сегодня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играет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направление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«Образование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интересах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ESD</w:t>
      </w:r>
      <w:r w:rsidRPr="000C02BB">
        <w:rPr>
          <w:rFonts w:ascii="Times New Roman" w:hAnsi="Times New Roman"/>
          <w:sz w:val="24"/>
          <w:szCs w:val="24"/>
        </w:rPr>
        <w:t>),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занимает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видное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место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целевых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программах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«Повестка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дня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период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2030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года»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«Цели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SDGs</w:t>
      </w:r>
      <w:r w:rsidRPr="000C02BB">
        <w:rPr>
          <w:rFonts w:ascii="Times New Roman" w:hAnsi="Times New Roman"/>
          <w:sz w:val="24"/>
          <w:szCs w:val="24"/>
        </w:rPr>
        <w:t>),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принятых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Организацией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Объединенных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Наций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Education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for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sustainable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development</w:t>
      </w:r>
      <w:r w:rsidRPr="000C02BB">
        <w:rPr>
          <w:rFonts w:ascii="Times New Roman" w:hAnsi="Times New Roman"/>
          <w:sz w:val="24"/>
          <w:szCs w:val="24"/>
        </w:rPr>
        <w:t>: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A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roadmap</w:t>
      </w:r>
      <w:r w:rsidRPr="000C02BB">
        <w:rPr>
          <w:rFonts w:ascii="Times New Roman" w:hAnsi="Times New Roman"/>
          <w:sz w:val="24"/>
          <w:szCs w:val="24"/>
        </w:rPr>
        <w:t>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ESD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for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2030.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UNESCO</w:t>
      </w:r>
      <w:r w:rsidRPr="000C02BB">
        <w:rPr>
          <w:rFonts w:ascii="Times New Roman" w:hAnsi="Times New Roman"/>
          <w:sz w:val="24"/>
          <w:szCs w:val="24"/>
        </w:rPr>
        <w:t>).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отмечают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Хироки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Фудзи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Сон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Гюн: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касается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определения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научного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содержания,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связанного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интересах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темами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являются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климата,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возобновляемая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энергия,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биоразнообразие,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предотвращение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смягчение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последствий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стихийных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бедствий,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потребление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производство,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укрепление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здоровья.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вопросы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распределены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точки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зрения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координации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достоверности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необходимых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доступных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знаний,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согласия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относительно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норм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ценностей.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Например,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климата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находится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крайнем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положении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обеим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координатам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представляет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собой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сложную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проблему.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Поэтому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школьной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следует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учитывать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особенности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каждого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вопросов.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азиатском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контексте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акцент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каждом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этих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вопросов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варьирует.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Японии,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Тайване,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Филиппинах,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Индонезии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других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странах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сильно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пострадавших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вулканической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активности,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землетрясений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тайфунов,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предотвращению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смягчению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последствий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стихийных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бедствий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уделяется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значительное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внимание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проблематике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школьного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преподавания.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Монголии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климата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важной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темой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естественных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географии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школах,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поскольку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страна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уязвима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изменению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климата.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Кроме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того,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некоторые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исследования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изучали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потенциал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(</w:t>
      </w:r>
      <w:r w:rsidRPr="000C02BB">
        <w:rPr>
          <w:rFonts w:ascii="Times New Roman" w:hAnsi="Times New Roman"/>
          <w:sz w:val="24"/>
          <w:szCs w:val="24"/>
          <w:lang w:val="en-US"/>
        </w:rPr>
        <w:t>ESD</w:t>
      </w:r>
      <w:r w:rsidRPr="000C02BB">
        <w:rPr>
          <w:rFonts w:ascii="Times New Roman" w:hAnsi="Times New Roman"/>
          <w:sz w:val="24"/>
          <w:szCs w:val="24"/>
        </w:rPr>
        <w:t>)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школьной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науке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связи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традиционными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видами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знаний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коренных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народов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Востока,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особенно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Индонезии,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является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перспективным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направлением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для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преподавания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как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сохранение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биоразнообразия.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Разработка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соответствующих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педагогических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подходов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естественнонаучному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связанному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  <w:lang w:val="en-US"/>
        </w:rPr>
        <w:t>ESD</w:t>
      </w:r>
      <w:r w:rsidRPr="000C02BB">
        <w:rPr>
          <w:rFonts w:ascii="Times New Roman" w:hAnsi="Times New Roman"/>
          <w:sz w:val="24"/>
          <w:szCs w:val="24"/>
        </w:rPr>
        <w:t>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соответствует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ориентированной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действия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инновационной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педагогике,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которая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призывает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переходу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преподавания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включая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самонаправленное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участие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сотрудничество,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проблемно-ориентированный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подход,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междисциплинарность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трансдисциплинарность,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связь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неформального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обучения»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12"/>
      </w:r>
      <w:r w:rsidRPr="000C02BB">
        <w:rPr>
          <w:rFonts w:ascii="Times New Roman" w:hAnsi="Times New Roman"/>
          <w:sz w:val="24"/>
          <w:szCs w:val="24"/>
        </w:rPr>
        <w:t>.</w:t>
      </w:r>
      <w:r w:rsidR="000C02BB">
        <w:rPr>
          <w:rFonts w:ascii="Times New Roman" w:hAnsi="Times New Roman"/>
          <w:sz w:val="24"/>
          <w:szCs w:val="24"/>
        </w:rPr>
        <w:t xml:space="preserve"> </w:t>
      </w:r>
    </w:p>
    <w:p w:rsidR="00B9051C" w:rsidRPr="000C02BB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BB">
        <w:rPr>
          <w:rFonts w:ascii="Times New Roman" w:hAnsi="Times New Roman"/>
          <w:sz w:val="24"/>
          <w:szCs w:val="24"/>
        </w:rPr>
        <w:t>По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мнению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индийских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теоретиков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Дхуру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Й.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Сунни,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программа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«Цели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устойчивого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развития»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призывает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трансформационной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педагогике,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предполагающей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переход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активному,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самостоятельному,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основанному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участии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сотрудничестве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обучению,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проблемно-ориентированному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подходу,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междисциплинарности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трансдисциплинарности,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также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объединению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формального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неформального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обучения</w:t>
      </w:r>
      <w:r w:rsidRPr="000C02BB">
        <w:rPr>
          <w:rStyle w:val="a8"/>
          <w:rFonts w:ascii="Times New Roman" w:hAnsi="Times New Roman"/>
          <w:sz w:val="24"/>
          <w:szCs w:val="24"/>
        </w:rPr>
        <w:footnoteReference w:id="13"/>
      </w:r>
      <w:r w:rsidRPr="000C02BB">
        <w:rPr>
          <w:rFonts w:ascii="Times New Roman" w:hAnsi="Times New Roman"/>
          <w:sz w:val="24"/>
          <w:szCs w:val="24"/>
        </w:rPr>
        <w:t>.</w:t>
      </w:r>
      <w:r w:rsidR="000C02BB">
        <w:rPr>
          <w:rFonts w:ascii="Times New Roman" w:hAnsi="Times New Roman"/>
          <w:sz w:val="24"/>
          <w:szCs w:val="24"/>
        </w:rPr>
        <w:t xml:space="preserve"> </w:t>
      </w:r>
    </w:p>
    <w:p w:rsidR="00B9051C" w:rsidRPr="009F5AEC" w:rsidRDefault="00B9051C" w:rsidP="000C0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0C02BB">
        <w:rPr>
          <w:rFonts w:ascii="Times New Roman" w:hAnsi="Times New Roman"/>
          <w:sz w:val="24"/>
          <w:szCs w:val="24"/>
        </w:rPr>
        <w:t>Обозначенные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выше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программы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идеи,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наш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взгляд,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отчетливо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свидетельствуют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том,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что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современная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«евразийская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матрица»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настоящее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время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вполне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органично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встраивается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мировое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образовательное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пространство,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оказывая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постоянное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концептуальное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практическое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воздействие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региональные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национальные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проекты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в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области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политики</w:t>
      </w:r>
      <w:r w:rsidR="000C02BB">
        <w:rPr>
          <w:rFonts w:ascii="Times New Roman" w:hAnsi="Times New Roman"/>
          <w:sz w:val="24"/>
          <w:szCs w:val="24"/>
        </w:rPr>
        <w:t xml:space="preserve"> </w:t>
      </w:r>
      <w:r w:rsidRPr="000C02BB">
        <w:rPr>
          <w:rFonts w:ascii="Times New Roman" w:hAnsi="Times New Roman"/>
          <w:sz w:val="24"/>
          <w:szCs w:val="24"/>
        </w:rPr>
        <w:t>образования.</w:t>
      </w:r>
    </w:p>
    <w:sectPr w:rsidR="00B9051C" w:rsidRPr="009F5AEC" w:rsidSect="000C02BB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2BB" w:rsidRDefault="000C02BB" w:rsidP="00B9051C">
      <w:pPr>
        <w:spacing w:after="0" w:line="240" w:lineRule="auto"/>
      </w:pPr>
      <w:r>
        <w:separator/>
      </w:r>
    </w:p>
  </w:endnote>
  <w:endnote w:type="continuationSeparator" w:id="0">
    <w:p w:rsidR="000C02BB" w:rsidRDefault="000C02BB" w:rsidP="00B9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62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02BB" w:rsidRPr="000C02BB" w:rsidRDefault="000C02BB" w:rsidP="000C02BB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0C02BB">
          <w:rPr>
            <w:rFonts w:ascii="Times New Roman" w:hAnsi="Times New Roman"/>
            <w:sz w:val="24"/>
            <w:szCs w:val="24"/>
          </w:rPr>
          <w:fldChar w:fldCharType="begin"/>
        </w:r>
        <w:r w:rsidRPr="000C02B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C02BB">
          <w:rPr>
            <w:rFonts w:ascii="Times New Roman" w:hAnsi="Times New Roman"/>
            <w:sz w:val="24"/>
            <w:szCs w:val="24"/>
          </w:rPr>
          <w:fldChar w:fldCharType="separate"/>
        </w:r>
        <w:r w:rsidR="00D3591C">
          <w:rPr>
            <w:rFonts w:ascii="Times New Roman" w:hAnsi="Times New Roman"/>
            <w:noProof/>
            <w:sz w:val="24"/>
            <w:szCs w:val="24"/>
          </w:rPr>
          <w:t>1</w:t>
        </w:r>
        <w:r w:rsidRPr="000C02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2BB" w:rsidRDefault="000C02BB" w:rsidP="00B9051C">
      <w:pPr>
        <w:spacing w:after="0" w:line="240" w:lineRule="auto"/>
      </w:pPr>
      <w:r>
        <w:separator/>
      </w:r>
    </w:p>
  </w:footnote>
  <w:footnote w:type="continuationSeparator" w:id="0">
    <w:p w:rsidR="000C02BB" w:rsidRDefault="000C02BB" w:rsidP="00B9051C">
      <w:pPr>
        <w:spacing w:after="0" w:line="240" w:lineRule="auto"/>
      </w:pPr>
      <w:r>
        <w:continuationSeparator/>
      </w:r>
    </w:p>
  </w:footnote>
  <w:footnote w:id="1">
    <w:p w:rsidR="000C02BB" w:rsidRPr="000C02BB" w:rsidRDefault="000C02BB" w:rsidP="000C02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0C02BB">
        <w:rPr>
          <w:rStyle w:val="a8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0C02BB">
        <w:rPr>
          <w:i/>
          <w:sz w:val="20"/>
          <w:szCs w:val="20"/>
          <w:lang w:val="en-US"/>
        </w:rPr>
        <w:t>Wallander C.A.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Silk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Road,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Great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Game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or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Soft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Underbelly?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New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US-Russia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Relationship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Implications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for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Eurasia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//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Strategic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Developments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Eurasia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after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11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September /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Ed.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by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Sh</w:t>
      </w:r>
      <w:r>
        <w:rPr>
          <w:sz w:val="20"/>
          <w:szCs w:val="20"/>
          <w:lang w:val="en-US"/>
        </w:rPr>
        <w:t xml:space="preserve">. </w:t>
      </w:r>
      <w:r w:rsidRPr="000C02BB">
        <w:rPr>
          <w:sz w:val="20"/>
          <w:szCs w:val="20"/>
          <w:lang w:val="en-US"/>
        </w:rPr>
        <w:t>Hunter.</w:t>
      </w:r>
      <w:r>
        <w:rPr>
          <w:sz w:val="20"/>
          <w:szCs w:val="20"/>
          <w:lang w:val="en-US"/>
        </w:rPr>
        <w:t xml:space="preserve"> – </w:t>
      </w:r>
      <w:r w:rsidRPr="000C02BB">
        <w:rPr>
          <w:sz w:val="20"/>
          <w:szCs w:val="20"/>
          <w:lang w:val="en-US"/>
        </w:rPr>
        <w:t>London;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New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York: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Routledge,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2004.</w:t>
      </w:r>
      <w:r>
        <w:rPr>
          <w:sz w:val="20"/>
          <w:szCs w:val="20"/>
          <w:lang w:val="en-US"/>
        </w:rPr>
        <w:t xml:space="preserve"> – </w:t>
      </w:r>
      <w:r w:rsidRPr="000C02BB">
        <w:rPr>
          <w:sz w:val="20"/>
          <w:szCs w:val="20"/>
          <w:lang w:val="en-US"/>
        </w:rPr>
        <w:t>P.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103;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</w:rPr>
        <w:t>ср</w:t>
      </w:r>
      <w:r w:rsidRPr="000C02BB">
        <w:rPr>
          <w:sz w:val="20"/>
          <w:szCs w:val="20"/>
          <w:lang w:val="en-US"/>
        </w:rPr>
        <w:t>.:</w:t>
      </w:r>
      <w:r>
        <w:rPr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Routledge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Handbook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of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Chinas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Belt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Road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Initiative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Eurasia</w:t>
      </w:r>
      <w:r>
        <w:rPr>
          <w:color w:val="212529"/>
          <w:sz w:val="20"/>
          <w:szCs w:val="20"/>
          <w:lang w:val="en-US"/>
        </w:rPr>
        <w:t xml:space="preserve"> / </w:t>
      </w:r>
      <w:r w:rsidRPr="000C02BB">
        <w:rPr>
          <w:sz w:val="20"/>
          <w:szCs w:val="20"/>
          <w:lang w:val="en-US"/>
        </w:rPr>
        <w:t>Ed.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by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>.</w:t>
      </w:r>
      <w:r w:rsidRPr="000C02BB">
        <w:rPr>
          <w:sz w:val="20"/>
          <w:szCs w:val="20"/>
          <w:lang w:val="en-US"/>
        </w:rPr>
        <w:t>D.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Sahakyan,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K</w:t>
      </w:r>
      <w:r>
        <w:rPr>
          <w:sz w:val="20"/>
          <w:szCs w:val="20"/>
          <w:lang w:val="en-US"/>
        </w:rPr>
        <w:t xml:space="preserve">. </w:t>
      </w:r>
      <w:r w:rsidRPr="000C02BB">
        <w:rPr>
          <w:sz w:val="20"/>
          <w:szCs w:val="20"/>
          <w:lang w:val="en-US"/>
        </w:rPr>
        <w:t>Lo.</w:t>
      </w:r>
      <w:r>
        <w:rPr>
          <w:color w:val="212529"/>
          <w:sz w:val="20"/>
          <w:szCs w:val="20"/>
          <w:lang w:val="en-US"/>
        </w:rPr>
        <w:t xml:space="preserve"> </w:t>
      </w:r>
      <w:r w:rsidR="00CA2E8D">
        <w:rPr>
          <w:color w:val="212529"/>
          <w:sz w:val="20"/>
          <w:szCs w:val="20"/>
          <w:lang w:val="en-US"/>
        </w:rPr>
        <w:t xml:space="preserve">– </w:t>
      </w:r>
      <w:r w:rsidRPr="000C02BB">
        <w:rPr>
          <w:color w:val="212529"/>
          <w:sz w:val="20"/>
          <w:szCs w:val="20"/>
          <w:lang w:val="en-US"/>
        </w:rPr>
        <w:t>London;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New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York: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Routledge,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2026.</w:t>
      </w:r>
    </w:p>
  </w:footnote>
  <w:footnote w:id="2">
    <w:p w:rsidR="000C02BB" w:rsidRPr="000C02BB" w:rsidRDefault="000C02BB" w:rsidP="00CA2E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0C02BB">
        <w:rPr>
          <w:rStyle w:val="a8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CA2E8D">
        <w:rPr>
          <w:i/>
          <w:sz w:val="20"/>
          <w:szCs w:val="20"/>
          <w:lang w:val="en-US"/>
        </w:rPr>
        <w:t>Hale H.E.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Separatism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States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Nations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Eurasia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the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World.</w:t>
      </w:r>
      <w:r>
        <w:rPr>
          <w:sz w:val="20"/>
          <w:szCs w:val="20"/>
          <w:lang w:val="en-US"/>
        </w:rPr>
        <w:t xml:space="preserve"> </w:t>
      </w:r>
      <w:r w:rsidR="00CA2E8D" w:rsidRPr="00CA2E8D">
        <w:rPr>
          <w:sz w:val="20"/>
          <w:szCs w:val="20"/>
          <w:lang w:val="en-US"/>
        </w:rPr>
        <w:t xml:space="preserve">– </w:t>
      </w:r>
      <w:r w:rsidRPr="000C02BB">
        <w:rPr>
          <w:sz w:val="20"/>
          <w:szCs w:val="20"/>
          <w:lang w:val="en-US"/>
        </w:rPr>
        <w:t>Cambridge;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New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York: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Cambridge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University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Press,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2008.</w:t>
      </w:r>
      <w:r>
        <w:rPr>
          <w:sz w:val="20"/>
          <w:szCs w:val="20"/>
          <w:lang w:val="en-US"/>
        </w:rPr>
        <w:t xml:space="preserve"> </w:t>
      </w:r>
      <w:r w:rsidR="00CA2E8D" w:rsidRPr="00CA2E8D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263;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</w:rPr>
        <w:t>ср</w:t>
      </w:r>
      <w:r w:rsidRPr="000C02BB">
        <w:rPr>
          <w:sz w:val="20"/>
          <w:szCs w:val="20"/>
          <w:lang w:val="en-US"/>
        </w:rPr>
        <w:t>.:</w:t>
      </w:r>
      <w:r>
        <w:rPr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Global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Migration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Illiberalism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Russia,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Eurasia,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Eastern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Europe</w:t>
      </w:r>
      <w:r w:rsidR="00CA2E8D" w:rsidRPr="00CA2E8D">
        <w:rPr>
          <w:color w:val="212529"/>
          <w:sz w:val="20"/>
          <w:szCs w:val="20"/>
          <w:lang w:val="en-US"/>
        </w:rPr>
        <w:t xml:space="preserve"> /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</w:t>
      </w:r>
      <w:r w:rsidR="00CA2E8D">
        <w:rPr>
          <w:color w:val="212529"/>
          <w:sz w:val="20"/>
          <w:szCs w:val="20"/>
          <w:lang w:val="en-US"/>
        </w:rPr>
        <w:t>.-L.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Heusala,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K</w:t>
      </w:r>
      <w:r w:rsidR="00CA2E8D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Aitamurto,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Sh</w:t>
      </w:r>
      <w:r w:rsidR="00CA2E8D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Eraliev.</w:t>
      </w:r>
      <w:r>
        <w:rPr>
          <w:color w:val="212529"/>
          <w:sz w:val="20"/>
          <w:szCs w:val="20"/>
          <w:lang w:val="en-US"/>
        </w:rPr>
        <w:t xml:space="preserve"> </w:t>
      </w:r>
      <w:r w:rsidR="00CA2E8D">
        <w:rPr>
          <w:color w:val="212529"/>
          <w:sz w:val="20"/>
          <w:szCs w:val="20"/>
          <w:lang w:val="en-US"/>
        </w:rPr>
        <w:t>–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Helsinki: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Helsinki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University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Press,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2024.</w:t>
      </w:r>
    </w:p>
  </w:footnote>
  <w:footnote w:id="3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CA2E8D">
        <w:rPr>
          <w:rFonts w:ascii="Times New Roman" w:hAnsi="Times New Roman"/>
          <w:i/>
          <w:lang w:val="en-US"/>
        </w:rPr>
        <w:t>Zajda J.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Globalisation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Its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Impact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  <w:lang w:val="en-US"/>
        </w:rPr>
        <w:t xml:space="preserve"> </w:t>
      </w:r>
      <w:hyperlink r:id="rId1" w:history="1"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Educational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Practice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and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Theory.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="00CA2E8D"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–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2008.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</w:hyperlink>
      <w:r w:rsidR="00CA2E8D">
        <w:rPr>
          <w:rFonts w:ascii="Times New Roman" w:hAnsi="Times New Roman"/>
          <w:lang w:val="en-US"/>
        </w:rPr>
        <w:t xml:space="preserve">– </w:t>
      </w:r>
      <w:r w:rsidRPr="000C02BB">
        <w:rPr>
          <w:rStyle w:val="a3"/>
          <w:rFonts w:ascii="Times New Roman" w:hAnsi="Times New Roman"/>
          <w:color w:val="auto"/>
          <w:u w:val="none"/>
          <w:lang w:val="en-US"/>
        </w:rPr>
        <w:t>V</w:t>
      </w:r>
      <w:r w:rsidRPr="000C02BB">
        <w:rPr>
          <w:rFonts w:ascii="Times New Roman" w:hAnsi="Times New Roman"/>
          <w:iCs/>
          <w:lang w:val="en-US"/>
        </w:rPr>
        <w:t>ol.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30</w:t>
      </w:r>
      <w:r w:rsidR="00CA2E8D">
        <w:rPr>
          <w:rFonts w:ascii="Times New Roman" w:hAnsi="Times New Roman"/>
          <w:iCs/>
          <w:lang w:val="en-US"/>
        </w:rPr>
        <w:t xml:space="preserve">, </w:t>
      </w:r>
      <w:r w:rsidRPr="000C02BB">
        <w:rPr>
          <w:rFonts w:ascii="Times New Roman" w:hAnsi="Times New Roman"/>
          <w:iCs/>
          <w:lang w:val="en-US"/>
        </w:rPr>
        <w:t>N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2.</w:t>
      </w:r>
      <w:r>
        <w:rPr>
          <w:rFonts w:ascii="Times New Roman" w:hAnsi="Times New Roman"/>
          <w:iCs/>
          <w:lang w:val="en-US"/>
        </w:rPr>
        <w:t xml:space="preserve"> </w:t>
      </w:r>
      <w:r w:rsidR="00CA2E8D">
        <w:rPr>
          <w:rFonts w:ascii="Times New Roman" w:hAnsi="Times New Roman"/>
          <w:iCs/>
          <w:lang w:val="en-US"/>
        </w:rPr>
        <w:t>–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P.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35;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</w:rPr>
        <w:t>см</w:t>
      </w:r>
      <w:r w:rsidRPr="000C02BB">
        <w:rPr>
          <w:rStyle w:val="a5"/>
          <w:rFonts w:ascii="Times New Roman" w:hAnsi="Times New Roman"/>
          <w:b w:val="0"/>
          <w:lang w:val="en-US"/>
        </w:rPr>
        <w:t>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</w:rPr>
        <w:t>также</w:t>
      </w:r>
      <w:r w:rsidRPr="000C02BB">
        <w:rPr>
          <w:rStyle w:val="a5"/>
          <w:rFonts w:ascii="Times New Roman" w:hAnsi="Times New Roman"/>
          <w:b w:val="0"/>
          <w:lang w:val="en-US"/>
        </w:rPr>
        <w:t>:</w:t>
      </w:r>
      <w:r>
        <w:rPr>
          <w:rStyle w:val="a5"/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International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Handbook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Globalisation,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Research</w:t>
      </w:r>
      <w:r w:rsidR="00CA2E8D">
        <w:rPr>
          <w:rFonts w:ascii="Times New Roman" w:hAnsi="Times New Roman"/>
          <w:lang w:val="en-US"/>
        </w:rPr>
        <w:t xml:space="preserve"> /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by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J</w:t>
      </w:r>
      <w:r w:rsidR="00CA2E8D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Zajda.</w:t>
      </w:r>
      <w:r>
        <w:rPr>
          <w:rFonts w:ascii="Times New Roman" w:hAnsi="Times New Roman"/>
          <w:lang w:val="en-US"/>
        </w:rPr>
        <w:t xml:space="preserve"> </w:t>
      </w:r>
      <w:r w:rsidR="00CA2E8D">
        <w:rPr>
          <w:rFonts w:ascii="Times New Roman" w:hAnsi="Times New Roman"/>
          <w:lang w:val="en-US"/>
        </w:rPr>
        <w:t xml:space="preserve">– </w:t>
      </w:r>
      <w:r w:rsidRPr="000C02BB">
        <w:rPr>
          <w:rFonts w:ascii="Times New Roman" w:hAnsi="Times New Roman"/>
          <w:lang w:val="en-US"/>
        </w:rPr>
        <w:t>Dordrecht: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Springer,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2005.</w:t>
      </w:r>
      <w:r>
        <w:rPr>
          <w:rFonts w:ascii="Times New Roman" w:hAnsi="Times New Roman"/>
          <w:lang w:val="en-US"/>
        </w:rPr>
        <w:t xml:space="preserve"> </w:t>
      </w:r>
      <w:r w:rsidR="00CA2E8D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1-109;</w:t>
      </w:r>
      <w:r>
        <w:rPr>
          <w:rFonts w:ascii="Times New Roman" w:hAnsi="Times New Roman"/>
          <w:lang w:val="en-US"/>
        </w:rPr>
        <w:t xml:space="preserve"> </w:t>
      </w:r>
      <w:r w:rsidRPr="00CA2E8D">
        <w:rPr>
          <w:rFonts w:ascii="Times New Roman" w:hAnsi="Times New Roman"/>
          <w:i/>
          <w:color w:val="212529"/>
          <w:lang w:val="en-US"/>
        </w:rPr>
        <w:t>Zajda J.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Globalisation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and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Dominant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Models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of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Motivation.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Theories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in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Education.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="00CA2E8D">
        <w:rPr>
          <w:rFonts w:ascii="Times New Roman" w:hAnsi="Times New Roman"/>
          <w:color w:val="212529"/>
          <w:lang w:val="en-US"/>
        </w:rPr>
        <w:t xml:space="preserve">– </w:t>
      </w:r>
      <w:r w:rsidRPr="000C02BB">
        <w:rPr>
          <w:rFonts w:ascii="Times New Roman" w:hAnsi="Times New Roman"/>
          <w:color w:val="212529"/>
          <w:lang w:val="en-US"/>
        </w:rPr>
        <w:t>Cham</w:t>
      </w:r>
      <w:r w:rsidR="00CA2E8D">
        <w:rPr>
          <w:rFonts w:ascii="Times New Roman" w:hAnsi="Times New Roman"/>
          <w:color w:val="212529"/>
          <w:lang w:val="en-US"/>
        </w:rPr>
        <w:t>: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Springer,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2024;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bCs/>
          <w:lang w:val="en-US" w:eastAsia="ru-RU"/>
        </w:rPr>
        <w:t>Globalisation,</w:t>
      </w:r>
      <w:r>
        <w:rPr>
          <w:rFonts w:ascii="Times New Roman" w:hAnsi="Times New Roman"/>
          <w:bCs/>
          <w:lang w:val="en-US" w:eastAsia="ru-RU"/>
        </w:rPr>
        <w:t xml:space="preserve"> </w:t>
      </w:r>
      <w:r w:rsidRPr="000C02BB">
        <w:rPr>
          <w:rFonts w:ascii="Times New Roman" w:hAnsi="Times New Roman"/>
          <w:bCs/>
          <w:lang w:val="en-US" w:eastAsia="ru-RU"/>
        </w:rPr>
        <w:t>Cultural</w:t>
      </w:r>
      <w:r>
        <w:rPr>
          <w:rFonts w:ascii="Times New Roman" w:hAnsi="Times New Roman"/>
          <w:bCs/>
          <w:lang w:val="en-US" w:eastAsia="ru-RU"/>
        </w:rPr>
        <w:t xml:space="preserve"> </w:t>
      </w:r>
      <w:r w:rsidRPr="000C02BB">
        <w:rPr>
          <w:rFonts w:ascii="Times New Roman" w:hAnsi="Times New Roman"/>
          <w:bCs/>
          <w:lang w:val="en-US" w:eastAsia="ru-RU"/>
        </w:rPr>
        <w:t>Diversity</w:t>
      </w:r>
      <w:r>
        <w:rPr>
          <w:rFonts w:ascii="Times New Roman" w:hAnsi="Times New Roman"/>
          <w:bCs/>
          <w:lang w:val="en-US" w:eastAsia="ru-RU"/>
        </w:rPr>
        <w:t xml:space="preserve"> </w:t>
      </w:r>
      <w:r w:rsidRPr="000C02BB">
        <w:rPr>
          <w:rFonts w:ascii="Times New Roman" w:hAnsi="Times New Roman"/>
          <w:bCs/>
          <w:lang w:val="en-US" w:eastAsia="ru-RU"/>
        </w:rPr>
        <w:t>and</w:t>
      </w:r>
      <w:r>
        <w:rPr>
          <w:rFonts w:ascii="Times New Roman" w:hAnsi="Times New Roman"/>
          <w:bCs/>
          <w:lang w:val="en-US" w:eastAsia="ru-RU"/>
        </w:rPr>
        <w:t xml:space="preserve"> </w:t>
      </w:r>
      <w:r w:rsidRPr="000C02BB">
        <w:rPr>
          <w:rFonts w:ascii="Times New Roman" w:hAnsi="Times New Roman"/>
          <w:bCs/>
          <w:lang w:val="en-US" w:eastAsia="ru-RU"/>
        </w:rPr>
        <w:t>Schooling</w:t>
      </w:r>
      <w:r w:rsidR="00CA2E8D">
        <w:rPr>
          <w:rFonts w:ascii="Times New Roman" w:hAnsi="Times New Roman"/>
          <w:bCs/>
          <w:lang w:val="en-US" w:eastAsia="ru-RU"/>
        </w:rPr>
        <w:t xml:space="preserve"> / Ed. by</w:t>
      </w:r>
      <w:r>
        <w:rPr>
          <w:rFonts w:ascii="Times New Roman" w:hAnsi="Times New Roman"/>
          <w:i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J</w:t>
      </w:r>
      <w:r w:rsidR="00CA2E8D">
        <w:rPr>
          <w:rFonts w:ascii="Times New Roman" w:hAnsi="Times New Roman"/>
          <w:lang w:val="en-US" w:eastAsia="ru-RU"/>
        </w:rPr>
        <w:t>.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Zajda,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S</w:t>
      </w:r>
      <w:r w:rsidR="00CA2E8D">
        <w:rPr>
          <w:rFonts w:ascii="Times New Roman" w:hAnsi="Times New Roman"/>
          <w:lang w:val="en-US" w:eastAsia="ru-RU"/>
        </w:rPr>
        <w:t>.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Majhanovich.</w:t>
      </w:r>
      <w:r>
        <w:rPr>
          <w:rFonts w:ascii="Times New Roman" w:hAnsi="Times New Roman"/>
          <w:lang w:val="en-US" w:eastAsia="ru-RU"/>
        </w:rPr>
        <w:t xml:space="preserve"> </w:t>
      </w:r>
      <w:r w:rsidR="00CA2E8D">
        <w:rPr>
          <w:rFonts w:ascii="Times New Roman" w:hAnsi="Times New Roman"/>
          <w:lang w:val="en-US" w:eastAsia="ru-RU"/>
        </w:rPr>
        <w:t xml:space="preserve">– </w:t>
      </w:r>
      <w:r w:rsidRPr="000C02BB">
        <w:rPr>
          <w:rFonts w:ascii="Times New Roman" w:hAnsi="Times New Roman"/>
          <w:color w:val="212529"/>
          <w:lang w:val="en-US"/>
        </w:rPr>
        <w:t>Cham: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Springer,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2024.</w:t>
      </w:r>
    </w:p>
  </w:footnote>
  <w:footnote w:id="4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CA2E8D">
        <w:rPr>
          <w:rFonts w:ascii="Times New Roman" w:hAnsi="Times New Roman"/>
          <w:i/>
          <w:lang w:val="en-US"/>
        </w:rPr>
        <w:t>Zajda J.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Globalisation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Its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Impact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  <w:lang w:val="en-US"/>
        </w:rPr>
        <w:t xml:space="preserve"> </w:t>
      </w:r>
      <w:hyperlink r:id="rId2" w:history="1"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Educational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Practice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and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Theory.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  <w:r w:rsidR="00CA2E8D"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– </w:t>
        </w:r>
        <w:r w:rsidRPr="000C02BB">
          <w:rPr>
            <w:rStyle w:val="a3"/>
            <w:rFonts w:ascii="Times New Roman" w:hAnsi="Times New Roman"/>
            <w:color w:val="auto"/>
            <w:u w:val="none"/>
            <w:lang w:val="en-US"/>
          </w:rPr>
          <w:t>2008.</w:t>
        </w:r>
        <w:r>
          <w:rPr>
            <w:rStyle w:val="a3"/>
            <w:rFonts w:ascii="Times New Roman" w:hAnsi="Times New Roman"/>
            <w:color w:val="auto"/>
            <w:u w:val="none"/>
            <w:lang w:val="en-US"/>
          </w:rPr>
          <w:t xml:space="preserve"> </w:t>
        </w:r>
      </w:hyperlink>
      <w:r w:rsidR="00CA2E8D">
        <w:rPr>
          <w:rFonts w:ascii="Times New Roman" w:hAnsi="Times New Roman"/>
          <w:lang w:val="en-US"/>
        </w:rPr>
        <w:t xml:space="preserve">– </w:t>
      </w:r>
      <w:r w:rsidRPr="000C02BB">
        <w:rPr>
          <w:rStyle w:val="a3"/>
          <w:rFonts w:ascii="Times New Roman" w:hAnsi="Times New Roman"/>
          <w:color w:val="auto"/>
          <w:u w:val="none"/>
          <w:lang w:val="en-US"/>
        </w:rPr>
        <w:t>V</w:t>
      </w:r>
      <w:r w:rsidRPr="000C02BB">
        <w:rPr>
          <w:rFonts w:ascii="Times New Roman" w:hAnsi="Times New Roman"/>
          <w:iCs/>
          <w:lang w:val="en-US"/>
        </w:rPr>
        <w:t>ol.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30</w:t>
      </w:r>
      <w:r w:rsidR="00CA2E8D">
        <w:rPr>
          <w:rFonts w:ascii="Times New Roman" w:hAnsi="Times New Roman"/>
          <w:iCs/>
          <w:lang w:val="en-US"/>
        </w:rPr>
        <w:t>,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N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2.</w:t>
      </w:r>
      <w:r>
        <w:rPr>
          <w:rFonts w:ascii="Times New Roman" w:hAnsi="Times New Roman"/>
          <w:iCs/>
          <w:lang w:val="en-US"/>
        </w:rPr>
        <w:t xml:space="preserve"> </w:t>
      </w:r>
      <w:r w:rsidR="00CA2E8D">
        <w:rPr>
          <w:rFonts w:ascii="Times New Roman" w:hAnsi="Times New Roman"/>
          <w:iCs/>
          <w:lang w:val="en-US"/>
        </w:rPr>
        <w:t>–</w:t>
      </w:r>
      <w:r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P.</w:t>
      </w:r>
      <w:r w:rsidR="00CA2E8D">
        <w:rPr>
          <w:rFonts w:ascii="Times New Roman" w:hAnsi="Times New Roman"/>
          <w:iCs/>
          <w:lang w:val="en-US"/>
        </w:rPr>
        <w:t xml:space="preserve"> </w:t>
      </w:r>
      <w:r w:rsidRPr="000C02BB">
        <w:rPr>
          <w:rFonts w:ascii="Times New Roman" w:hAnsi="Times New Roman"/>
          <w:iCs/>
          <w:lang w:val="en-US"/>
        </w:rPr>
        <w:t>41</w:t>
      </w:r>
      <w:r w:rsidRPr="000C02BB">
        <w:rPr>
          <w:rStyle w:val="a5"/>
          <w:rFonts w:ascii="Times New Roman" w:hAnsi="Times New Roman"/>
          <w:b w:val="0"/>
          <w:lang w:val="en-US"/>
        </w:rPr>
        <w:t>,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50-51.</w:t>
      </w:r>
    </w:p>
  </w:footnote>
  <w:footnote w:id="5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FD5BBA">
        <w:rPr>
          <w:rFonts w:ascii="Times New Roman" w:hAnsi="Times New Roman"/>
          <w:i/>
          <w:lang w:val="en-US"/>
        </w:rPr>
        <w:t>Regnault E., Copreaux L., Landrier-Guéret B., Mignot R.-B.</w:t>
      </w:r>
      <w:r>
        <w:rPr>
          <w:rFonts w:ascii="Times New Roman" w:hAnsi="Times New Roman"/>
          <w:lang w:val="en-US"/>
        </w:rPr>
        <w:t xml:space="preserve"> </w:t>
      </w:r>
      <w:hyperlink w:anchor="Top_of_512041_1_En_3_Chapter_xht">
        <w:r w:rsidRPr="000C02BB">
          <w:rPr>
            <w:rFonts w:ascii="Times New Roman" w:hAnsi="Times New Roman"/>
            <w:lang w:val="en-US"/>
          </w:rPr>
          <w:t>The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PISA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Effect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on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Education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Reforms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in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Finland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and</w:t>
        </w:r>
        <w:r>
          <w:rPr>
            <w:rFonts w:ascii="Times New Roman" w:hAnsi="Times New Roman"/>
            <w:lang w:val="en-US"/>
          </w:rPr>
          <w:t xml:space="preserve"> </w:t>
        </w:r>
        <w:r w:rsidRPr="000C02BB">
          <w:rPr>
            <w:rFonts w:ascii="Times New Roman" w:hAnsi="Times New Roman"/>
            <w:lang w:val="en-US"/>
          </w:rPr>
          <w:t>France</w:t>
        </w:r>
      </w:hyperlink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b/>
          <w:lang w:val="en-US"/>
        </w:rPr>
        <w:t>//</w:t>
      </w:r>
      <w:r>
        <w:rPr>
          <w:rFonts w:ascii="Times New Roman" w:hAnsi="Times New Roman"/>
          <w:b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Discourses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Globalisation,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Ideology,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Reforms</w:t>
      </w:r>
      <w:r w:rsidR="00FD5BBA">
        <w:rPr>
          <w:rFonts w:ascii="Times New Roman" w:hAnsi="Times New Roman"/>
          <w:lang w:val="en-US"/>
        </w:rPr>
        <w:t xml:space="preserve"> /</w:t>
      </w:r>
      <w:r>
        <w:rPr>
          <w:rFonts w:ascii="Times New Roman" w:hAnsi="Times New Roman"/>
          <w:lang w:val="en-US"/>
        </w:rPr>
        <w:t xml:space="preserve"> </w:t>
      </w:r>
      <w:r w:rsidR="00FD5BBA">
        <w:rPr>
          <w:rFonts w:ascii="Times New Roman" w:hAnsi="Times New Roman"/>
          <w:lang w:val="en-US"/>
        </w:rPr>
        <w:t xml:space="preserve">Ed. by </w:t>
      </w:r>
      <w:r w:rsidRPr="000C02BB">
        <w:rPr>
          <w:rFonts w:ascii="Times New Roman" w:hAnsi="Times New Roman"/>
          <w:lang w:val="en-US"/>
        </w:rPr>
        <w:t>J</w:t>
      </w:r>
      <w:r w:rsidR="00FD5BBA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Zajda,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S</w:t>
      </w:r>
      <w:r w:rsidR="00FD5BBA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Majhanovich</w:t>
      </w:r>
      <w:r w:rsidR="00FD5BBA">
        <w:rPr>
          <w:rFonts w:ascii="Times New Roman" w:hAnsi="Times New Roman"/>
          <w:lang w:val="en-US"/>
        </w:rPr>
        <w:t xml:space="preserve">. – </w:t>
      </w:r>
      <w:r w:rsidRPr="000C02BB">
        <w:rPr>
          <w:rFonts w:ascii="Times New Roman" w:hAnsi="Times New Roman"/>
          <w:lang w:val="en-US"/>
        </w:rPr>
        <w:t>Cham: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Springer,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2022.</w:t>
      </w:r>
      <w:r>
        <w:rPr>
          <w:rFonts w:ascii="Times New Roman" w:hAnsi="Times New Roman"/>
          <w:lang w:val="en-US"/>
        </w:rPr>
        <w:t xml:space="preserve"> </w:t>
      </w:r>
      <w:r w:rsidR="00FD5BBA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49-50.</w:t>
      </w:r>
    </w:p>
  </w:footnote>
  <w:footnote w:id="6">
    <w:p w:rsidR="000C02BB" w:rsidRPr="000C02BB" w:rsidRDefault="000C02BB" w:rsidP="00FD5BBA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bCs/>
          <w:sz w:val="20"/>
          <w:szCs w:val="20"/>
        </w:rPr>
        <w:t>См</w:t>
      </w:r>
      <w:r w:rsidRPr="000C02BB">
        <w:rPr>
          <w:rFonts w:ascii="Times New Roman" w:hAnsi="Times New Roman"/>
          <w:bCs/>
          <w:sz w:val="20"/>
          <w:szCs w:val="20"/>
          <w:lang w:val="en-US"/>
        </w:rPr>
        <w:t>.: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Innovations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in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Open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and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Flexible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Education</w:t>
      </w:r>
      <w:r w:rsidR="00610789" w:rsidRPr="00610789">
        <w:rPr>
          <w:rFonts w:ascii="Times New Roman" w:hAnsi="Times New Roman"/>
          <w:color w:val="212529"/>
          <w:sz w:val="20"/>
          <w:szCs w:val="20"/>
          <w:lang w:val="en-US"/>
        </w:rPr>
        <w:t xml:space="preserve"> / </w:t>
      </w:r>
      <w:r w:rsidR="00610789">
        <w:rPr>
          <w:rFonts w:ascii="Times New Roman" w:hAnsi="Times New Roman"/>
          <w:color w:val="212529"/>
          <w:sz w:val="20"/>
          <w:szCs w:val="20"/>
          <w:lang w:val="en-US"/>
        </w:rPr>
        <w:t>Ed. by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Kam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Cheong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Li,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Kin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Sun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Yuen,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Billy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Tak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Ming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Wong</w:t>
      </w:r>
      <w:r w:rsidR="00610789">
        <w:rPr>
          <w:rFonts w:ascii="Times New Roman" w:hAnsi="Times New Roman"/>
          <w:color w:val="212529"/>
          <w:sz w:val="20"/>
          <w:szCs w:val="20"/>
          <w:lang w:val="en-US"/>
        </w:rPr>
        <w:t xml:space="preserve">. –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Singapore: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Springer,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2018.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="00610789">
        <w:rPr>
          <w:rFonts w:ascii="Times New Roman" w:hAnsi="Times New Roman"/>
          <w:color w:val="212529"/>
          <w:sz w:val="20"/>
          <w:szCs w:val="20"/>
          <w:lang w:val="en-US"/>
        </w:rPr>
        <w:t>–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P.</w:t>
      </w:r>
      <w:r>
        <w:rPr>
          <w:rFonts w:ascii="Times New Roman" w:hAnsi="Times New Roman"/>
          <w:color w:val="212529"/>
          <w:sz w:val="20"/>
          <w:szCs w:val="20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IX</w:t>
      </w:r>
      <w:r w:rsidR="00FD5BBA" w:rsidRPr="00FD5BBA">
        <w:rPr>
          <w:rFonts w:ascii="Times New Roman" w:hAnsi="Times New Roman"/>
          <w:color w:val="212529"/>
          <w:sz w:val="20"/>
          <w:szCs w:val="20"/>
          <w:lang w:val="en-US"/>
        </w:rPr>
        <w:t>-</w:t>
      </w:r>
      <w:r w:rsidRPr="000C02BB">
        <w:rPr>
          <w:rFonts w:ascii="Times New Roman" w:hAnsi="Times New Roman"/>
          <w:color w:val="212529"/>
          <w:sz w:val="20"/>
          <w:szCs w:val="20"/>
          <w:lang w:val="en-US"/>
        </w:rPr>
        <w:t>X.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</w:p>
  </w:footnote>
  <w:footnote w:id="7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bCs/>
        </w:rPr>
        <w:t>См</w:t>
      </w:r>
      <w:r w:rsidRPr="000C02BB">
        <w:rPr>
          <w:rFonts w:ascii="Times New Roman" w:hAnsi="Times New Roman"/>
          <w:bCs/>
          <w:lang w:val="en-US"/>
        </w:rPr>
        <w:t>.:</w:t>
      </w:r>
      <w:r>
        <w:rPr>
          <w:rFonts w:ascii="Times New Roman" w:hAnsi="Times New Roman"/>
          <w:bCs/>
          <w:lang w:val="en-US"/>
        </w:rPr>
        <w:t xml:space="preserve"> </w:t>
      </w:r>
      <w:r w:rsidRPr="00FD5BBA">
        <w:rPr>
          <w:rFonts w:ascii="Times New Roman" w:hAnsi="Times New Roman"/>
          <w:i/>
          <w:lang w:val="en-US"/>
        </w:rPr>
        <w:t>Muega M.A.G., Acido-Muega M.B.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Role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Philosophy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Democratic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Cultivating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Reasonableness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in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Education: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Community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of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Philosophical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Inquiry</w:t>
      </w:r>
      <w:r w:rsidR="00610789">
        <w:rPr>
          <w:rFonts w:ascii="Times New Roman" w:hAnsi="Times New Roman"/>
          <w:color w:val="212529"/>
          <w:lang w:val="en-US"/>
        </w:rPr>
        <w:t>. –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Singapore: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Springer,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2023.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="00610789">
        <w:rPr>
          <w:rFonts w:ascii="Times New Roman" w:hAnsi="Times New Roman"/>
          <w:color w:val="212529"/>
          <w:lang w:val="en-US"/>
        </w:rPr>
        <w:t>–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P.</w:t>
      </w:r>
      <w:r>
        <w:rPr>
          <w:rFonts w:ascii="Times New Roman" w:hAnsi="Times New Roman"/>
          <w:color w:val="212529"/>
          <w:lang w:val="en-US"/>
        </w:rPr>
        <w:t xml:space="preserve"> </w:t>
      </w:r>
      <w:r w:rsidRPr="000C02BB">
        <w:rPr>
          <w:rFonts w:ascii="Times New Roman" w:hAnsi="Times New Roman"/>
          <w:color w:val="212529"/>
          <w:lang w:val="en-US"/>
        </w:rPr>
        <w:t>3</w:t>
      </w:r>
      <w:r w:rsidR="00610789">
        <w:rPr>
          <w:rFonts w:ascii="Times New Roman" w:hAnsi="Times New Roman"/>
          <w:color w:val="212529"/>
          <w:lang w:val="en-US"/>
        </w:rPr>
        <w:t>-</w:t>
      </w:r>
      <w:r w:rsidRPr="000C02BB">
        <w:rPr>
          <w:rFonts w:ascii="Times New Roman" w:hAnsi="Times New Roman"/>
          <w:color w:val="212529"/>
          <w:lang w:val="en-US"/>
        </w:rPr>
        <w:t>20.</w:t>
      </w:r>
    </w:p>
  </w:footnote>
  <w:footnote w:id="8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610789">
        <w:rPr>
          <w:rFonts w:ascii="Times New Roman" w:hAnsi="Times New Roman"/>
          <w:i/>
          <w:lang w:val="en-US" w:eastAsia="ru-RU"/>
        </w:rPr>
        <w:t>Smith A.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National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Identity.</w:t>
      </w:r>
      <w:r>
        <w:rPr>
          <w:rFonts w:ascii="Times New Roman" w:hAnsi="Times New Roman"/>
          <w:lang w:val="en-US" w:eastAsia="ru-RU"/>
        </w:rPr>
        <w:t xml:space="preserve"> </w:t>
      </w:r>
      <w:r w:rsidR="00610789" w:rsidRPr="00610789">
        <w:rPr>
          <w:rFonts w:ascii="Times New Roman" w:hAnsi="Times New Roman"/>
          <w:lang w:val="en-US" w:eastAsia="ru-RU"/>
        </w:rPr>
        <w:t xml:space="preserve">– </w:t>
      </w:r>
      <w:r w:rsidRPr="000C02BB">
        <w:rPr>
          <w:rFonts w:ascii="Times New Roman" w:hAnsi="Times New Roman"/>
          <w:lang w:val="en-US" w:eastAsia="ru-RU"/>
        </w:rPr>
        <w:t>London: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Penguin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Books,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1991.</w:t>
      </w:r>
      <w:r>
        <w:rPr>
          <w:rFonts w:ascii="Times New Roman" w:hAnsi="Times New Roman"/>
          <w:lang w:val="en-US" w:eastAsia="ru-RU"/>
        </w:rPr>
        <w:t xml:space="preserve"> </w:t>
      </w:r>
      <w:r w:rsidR="00610789" w:rsidRPr="00610789">
        <w:rPr>
          <w:rFonts w:ascii="Times New Roman" w:hAnsi="Times New Roman"/>
          <w:lang w:val="en-US" w:eastAsia="ru-RU"/>
        </w:rPr>
        <w:t>–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P.</w:t>
      </w:r>
      <w:r>
        <w:rPr>
          <w:rFonts w:ascii="Times New Roman" w:hAnsi="Times New Roman"/>
          <w:lang w:val="en-US" w:eastAsia="ru-RU"/>
        </w:rPr>
        <w:t xml:space="preserve"> </w:t>
      </w:r>
      <w:r w:rsidRPr="000C02BB">
        <w:rPr>
          <w:rFonts w:ascii="Times New Roman" w:hAnsi="Times New Roman"/>
          <w:lang w:val="en-US" w:eastAsia="ru-RU"/>
        </w:rPr>
        <w:t>157</w:t>
      </w:r>
      <w:r w:rsidR="00610789" w:rsidRPr="00610789">
        <w:rPr>
          <w:rFonts w:ascii="Times New Roman" w:hAnsi="Times New Roman"/>
          <w:lang w:val="en-US" w:eastAsia="ru-RU"/>
        </w:rPr>
        <w:t>-</w:t>
      </w:r>
      <w:r w:rsidRPr="000C02BB">
        <w:rPr>
          <w:rFonts w:ascii="Times New Roman" w:hAnsi="Times New Roman"/>
          <w:lang w:val="en-US" w:eastAsia="ru-RU"/>
        </w:rPr>
        <w:t>158.</w:t>
      </w:r>
    </w:p>
  </w:footnote>
  <w:footnote w:id="9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610789">
        <w:rPr>
          <w:rStyle w:val="a5"/>
          <w:rFonts w:ascii="Times New Roman" w:hAnsi="Times New Roman"/>
          <w:b w:val="0"/>
          <w:i/>
          <w:lang w:val="en-US"/>
        </w:rPr>
        <w:t>Blum D.W.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National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Identity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and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Globalization: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Youth,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State,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and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Society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in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Post-Soviet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Eurasia.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="00610789" w:rsidRPr="00610789">
        <w:rPr>
          <w:rStyle w:val="a5"/>
          <w:rFonts w:ascii="Times New Roman" w:hAnsi="Times New Roman"/>
          <w:b w:val="0"/>
          <w:lang w:val="en-US"/>
        </w:rPr>
        <w:t xml:space="preserve">– </w:t>
      </w:r>
      <w:r w:rsidRPr="000C02BB">
        <w:rPr>
          <w:rStyle w:val="a5"/>
          <w:rFonts w:ascii="Times New Roman" w:hAnsi="Times New Roman"/>
          <w:b w:val="0"/>
          <w:lang w:val="en-US"/>
        </w:rPr>
        <w:t>Cambridge</w:t>
      </w:r>
      <w:r w:rsidR="00610789">
        <w:rPr>
          <w:rStyle w:val="a5"/>
          <w:rFonts w:ascii="Times New Roman" w:hAnsi="Times New Roman"/>
          <w:b w:val="0"/>
          <w:lang w:val="en-US"/>
        </w:rPr>
        <w:t>;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New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York</w:t>
      </w:r>
      <w:r w:rsidR="00610789">
        <w:rPr>
          <w:rStyle w:val="a5"/>
          <w:rFonts w:ascii="Times New Roman" w:hAnsi="Times New Roman"/>
          <w:b w:val="0"/>
          <w:lang w:val="en-US"/>
        </w:rPr>
        <w:t>;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Melbourne</w:t>
      </w:r>
      <w:r w:rsidR="00610789" w:rsidRPr="00610789">
        <w:rPr>
          <w:rStyle w:val="a5"/>
          <w:rFonts w:ascii="Times New Roman" w:hAnsi="Times New Roman"/>
          <w:b w:val="0"/>
          <w:lang w:val="en-US"/>
        </w:rPr>
        <w:t xml:space="preserve"> </w:t>
      </w:r>
      <w:r w:rsidR="00610789">
        <w:rPr>
          <w:rStyle w:val="a5"/>
          <w:rFonts w:ascii="Times New Roman" w:hAnsi="Times New Roman"/>
          <w:b w:val="0"/>
          <w:lang w:val="en-US"/>
        </w:rPr>
        <w:t>etc.</w:t>
      </w:r>
      <w:r w:rsidRPr="000C02BB">
        <w:rPr>
          <w:rStyle w:val="a5"/>
          <w:rFonts w:ascii="Times New Roman" w:hAnsi="Times New Roman"/>
          <w:b w:val="0"/>
          <w:lang w:val="en-US"/>
        </w:rPr>
        <w:t>: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Cambridge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University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Press,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2007.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="00610789">
        <w:rPr>
          <w:rStyle w:val="a5"/>
          <w:rFonts w:ascii="Times New Roman" w:hAnsi="Times New Roman"/>
          <w:b w:val="0"/>
          <w:lang w:val="en-US"/>
        </w:rPr>
        <w:t>–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P.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3.</w:t>
      </w:r>
    </w:p>
  </w:footnote>
  <w:footnote w:id="10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Ibid.</w:t>
      </w:r>
      <w:r w:rsidR="00610789">
        <w:rPr>
          <w:rStyle w:val="a5"/>
          <w:rFonts w:ascii="Times New Roman" w:hAnsi="Times New Roman"/>
          <w:b w:val="0"/>
          <w:lang w:val="en-US"/>
        </w:rPr>
        <w:t>,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="00610789">
        <w:rPr>
          <w:rStyle w:val="a5"/>
          <w:rFonts w:ascii="Times New Roman" w:hAnsi="Times New Roman"/>
          <w:b w:val="0"/>
          <w:lang w:val="en-US"/>
        </w:rPr>
        <w:t>p</w:t>
      </w:r>
      <w:r w:rsidRPr="000C02BB">
        <w:rPr>
          <w:rStyle w:val="a5"/>
          <w:rFonts w:ascii="Times New Roman" w:hAnsi="Times New Roman"/>
          <w:b w:val="0"/>
          <w:lang w:val="en-US"/>
        </w:rPr>
        <w:t>.</w:t>
      </w:r>
      <w:r>
        <w:rPr>
          <w:rStyle w:val="a5"/>
          <w:rFonts w:ascii="Times New Roman" w:hAnsi="Times New Roman"/>
          <w:b w:val="0"/>
          <w:lang w:val="en-US"/>
        </w:rPr>
        <w:t xml:space="preserve"> </w:t>
      </w:r>
      <w:r w:rsidRPr="000C02BB">
        <w:rPr>
          <w:rStyle w:val="a5"/>
          <w:rFonts w:ascii="Times New Roman" w:hAnsi="Times New Roman"/>
          <w:b w:val="0"/>
          <w:lang w:val="en-US"/>
        </w:rPr>
        <w:t>5.</w:t>
      </w:r>
    </w:p>
  </w:footnote>
  <w:footnote w:id="11">
    <w:p w:rsidR="000C02BB" w:rsidRPr="000C02BB" w:rsidRDefault="000C02BB" w:rsidP="000C02BB">
      <w:pPr>
        <w:pStyle w:val="a6"/>
        <w:ind w:firstLine="709"/>
        <w:jc w:val="both"/>
        <w:rPr>
          <w:rFonts w:ascii="Times New Roman" w:hAnsi="Times New Roman"/>
          <w:lang w:val="en-US"/>
        </w:rPr>
      </w:pPr>
      <w:r w:rsidRPr="000C02BB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</w:rPr>
        <w:t>См</w:t>
      </w:r>
      <w:r w:rsidRPr="000C02BB">
        <w:rPr>
          <w:rFonts w:ascii="Times New Roman" w:hAnsi="Times New Roman"/>
          <w:lang w:val="en-US"/>
        </w:rPr>
        <w:t>.: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Discourses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Globalisation,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Ideology,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Education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Policy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Reforms</w:t>
      </w:r>
      <w:r w:rsidR="00610789">
        <w:rPr>
          <w:rFonts w:ascii="Times New Roman" w:hAnsi="Times New Roman"/>
          <w:lang w:val="en-US"/>
        </w:rPr>
        <w:t xml:space="preserve"> / Ed. by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J</w:t>
      </w:r>
      <w:r w:rsidR="00610789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Zajda,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S</w:t>
      </w:r>
      <w:r w:rsidR="00610789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Majhanovich.</w:t>
      </w:r>
      <w:r>
        <w:rPr>
          <w:rFonts w:ascii="Times New Roman" w:hAnsi="Times New Roman"/>
          <w:lang w:val="en-US"/>
        </w:rPr>
        <w:t xml:space="preserve"> </w:t>
      </w:r>
      <w:r w:rsidR="00610789">
        <w:rPr>
          <w:rFonts w:ascii="Times New Roman" w:hAnsi="Times New Roman"/>
          <w:lang w:val="en-US"/>
        </w:rPr>
        <w:t xml:space="preserve">– </w:t>
      </w:r>
      <w:r w:rsidRPr="000C02BB">
        <w:rPr>
          <w:rFonts w:ascii="Times New Roman" w:hAnsi="Times New Roman"/>
          <w:lang w:val="en-US"/>
        </w:rPr>
        <w:t>Cham: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Springer,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2022.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P.</w:t>
      </w:r>
      <w:r>
        <w:rPr>
          <w:rFonts w:ascii="Times New Roman" w:hAnsi="Times New Roman"/>
          <w:lang w:val="en-US"/>
        </w:rPr>
        <w:t xml:space="preserve"> </w:t>
      </w:r>
      <w:r w:rsidRPr="000C02BB">
        <w:rPr>
          <w:rFonts w:ascii="Times New Roman" w:hAnsi="Times New Roman"/>
          <w:lang w:val="en-US"/>
        </w:rPr>
        <w:t>213</w:t>
      </w:r>
      <w:r w:rsidR="00610789">
        <w:rPr>
          <w:rFonts w:ascii="Times New Roman" w:hAnsi="Times New Roman"/>
          <w:lang w:val="en-US"/>
        </w:rPr>
        <w:t>-</w:t>
      </w:r>
      <w:r w:rsidRPr="000C02BB">
        <w:rPr>
          <w:rFonts w:ascii="Times New Roman" w:hAnsi="Times New Roman"/>
          <w:lang w:val="en-US"/>
        </w:rPr>
        <w:t>214.</w:t>
      </w:r>
    </w:p>
  </w:footnote>
  <w:footnote w:id="12">
    <w:p w:rsidR="000C02BB" w:rsidRPr="000C02BB" w:rsidRDefault="000C02BB" w:rsidP="009F5A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0C02BB">
        <w:rPr>
          <w:rStyle w:val="a8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Science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Education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for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Sustainable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Development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Asia</w:t>
      </w:r>
      <w:r w:rsidR="009F5AEC">
        <w:rPr>
          <w:sz w:val="20"/>
          <w:szCs w:val="20"/>
          <w:lang w:val="en-US"/>
        </w:rPr>
        <w:t xml:space="preserve"> / Ed. by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Hiroki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Fujii,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Sun-Kyung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Lee</w:t>
      </w:r>
      <w:r w:rsidR="009F5AEC">
        <w:rPr>
          <w:sz w:val="20"/>
          <w:szCs w:val="20"/>
          <w:lang w:val="en-US"/>
        </w:rPr>
        <w:t xml:space="preserve">. – </w:t>
      </w:r>
      <w:r w:rsidRPr="000C02BB">
        <w:rPr>
          <w:sz w:val="20"/>
          <w:szCs w:val="20"/>
          <w:lang w:val="en-US"/>
        </w:rPr>
        <w:t>Singapore: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Springer,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2024.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4;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</w:rPr>
        <w:t>см</w:t>
      </w:r>
      <w:r w:rsidRPr="000C02BB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</w:rPr>
        <w:t>также</w:t>
      </w:r>
      <w:r w:rsidRPr="000C02BB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Science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Identities: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Theory,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Method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Research</w:t>
      </w:r>
      <w:r w:rsidR="009F5AEC">
        <w:rPr>
          <w:color w:val="212529"/>
          <w:sz w:val="20"/>
          <w:szCs w:val="20"/>
          <w:lang w:val="en-US"/>
        </w:rPr>
        <w:t xml:space="preserve"> / Ed. 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</w:t>
      </w:r>
      <w:r w:rsidR="009F5AEC">
        <w:rPr>
          <w:color w:val="212529"/>
          <w:sz w:val="20"/>
          <w:szCs w:val="20"/>
          <w:lang w:val="en-US"/>
        </w:rPr>
        <w:t>.</w:t>
      </w:r>
      <w:r w:rsidRPr="000C02BB">
        <w:rPr>
          <w:color w:val="212529"/>
          <w:sz w:val="20"/>
          <w:szCs w:val="20"/>
          <w:lang w:val="en-US"/>
        </w:rPr>
        <w:t>T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Holmegaard,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Archer</w:t>
      </w:r>
      <w:r w:rsidR="003F15FF">
        <w:rPr>
          <w:color w:val="212529"/>
          <w:sz w:val="20"/>
          <w:szCs w:val="20"/>
          <w:lang w:val="en-US"/>
        </w:rPr>
        <w:t>.</w:t>
      </w:r>
      <w:r w:rsidR="009F5AEC">
        <w:rPr>
          <w:color w:val="212529"/>
          <w:sz w:val="20"/>
          <w:szCs w:val="20"/>
          <w:lang w:val="en-US"/>
        </w:rPr>
        <w:t xml:space="preserve"> – </w:t>
      </w:r>
      <w:r w:rsidRPr="000C02BB">
        <w:rPr>
          <w:color w:val="212529"/>
          <w:sz w:val="20"/>
          <w:szCs w:val="20"/>
          <w:lang w:val="en-US"/>
        </w:rPr>
        <w:t>Cham: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Springer,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2023;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Adaptivity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as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Transformative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Disposition: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For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Learning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the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21st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Century</w:t>
      </w:r>
      <w:r w:rsidR="009F5AEC">
        <w:rPr>
          <w:color w:val="212529"/>
          <w:sz w:val="20"/>
          <w:szCs w:val="20"/>
          <w:lang w:val="en-US"/>
        </w:rPr>
        <w:t xml:space="preserve"> / Ed. 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D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Hung,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K</w:t>
      </w:r>
      <w:r w:rsidR="009F5AEC">
        <w:rPr>
          <w:color w:val="212529"/>
          <w:sz w:val="20"/>
          <w:szCs w:val="20"/>
          <w:lang w:val="en-US"/>
        </w:rPr>
        <w:t>.</w:t>
      </w:r>
      <w:r w:rsidRPr="000C02BB">
        <w:rPr>
          <w:color w:val="212529"/>
          <w:sz w:val="20"/>
          <w:szCs w:val="20"/>
          <w:lang w:val="en-US"/>
        </w:rPr>
        <w:t>Y.T.</w:t>
      </w:r>
      <w:r w:rsidR="003F15FF"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Lim,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Shu-Shing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Lee</w:t>
      </w:r>
      <w:r w:rsidR="009F5AEC">
        <w:rPr>
          <w:color w:val="212529"/>
          <w:sz w:val="20"/>
          <w:szCs w:val="20"/>
          <w:lang w:val="en-US"/>
        </w:rPr>
        <w:t xml:space="preserve">. – </w:t>
      </w:r>
      <w:r w:rsidRPr="000C02BB">
        <w:rPr>
          <w:color w:val="212529"/>
          <w:sz w:val="20"/>
          <w:szCs w:val="20"/>
          <w:lang w:val="en-US"/>
        </w:rPr>
        <w:t>Singapore;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Heidelberg;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New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York</w:t>
      </w:r>
      <w:r w:rsidR="009F5AEC">
        <w:rPr>
          <w:color w:val="212529"/>
          <w:sz w:val="20"/>
          <w:szCs w:val="20"/>
          <w:lang w:val="en-US"/>
        </w:rPr>
        <w:t xml:space="preserve"> etc.: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Springer,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2014;</w:t>
      </w:r>
      <w:r>
        <w:rPr>
          <w:color w:val="212529"/>
          <w:sz w:val="20"/>
          <w:szCs w:val="20"/>
          <w:lang w:val="en-US"/>
        </w:rPr>
        <w:t xml:space="preserve"> </w:t>
      </w:r>
      <w:r w:rsidRPr="009F5AEC">
        <w:rPr>
          <w:i/>
          <w:color w:val="212529"/>
          <w:sz w:val="20"/>
          <w:szCs w:val="20"/>
          <w:lang w:val="en-US"/>
        </w:rPr>
        <w:t>Grek S.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The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New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Production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of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Expert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Knowledge: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Education,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Quantification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Utopia.</w:t>
      </w:r>
      <w:r>
        <w:rPr>
          <w:color w:val="212529"/>
          <w:sz w:val="20"/>
          <w:szCs w:val="20"/>
          <w:lang w:val="en-US"/>
        </w:rPr>
        <w:t xml:space="preserve"> </w:t>
      </w:r>
      <w:r w:rsidR="009F5AEC">
        <w:rPr>
          <w:color w:val="212529"/>
          <w:sz w:val="20"/>
          <w:szCs w:val="20"/>
          <w:lang w:val="en-US"/>
        </w:rPr>
        <w:t xml:space="preserve">– </w:t>
      </w:r>
      <w:r w:rsidRPr="000C02BB">
        <w:rPr>
          <w:color w:val="212529"/>
          <w:sz w:val="20"/>
          <w:szCs w:val="20"/>
          <w:lang w:val="en-US"/>
        </w:rPr>
        <w:t>Cham: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Palgrave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Macmillan,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2023;</w:t>
      </w:r>
      <w:r>
        <w:rPr>
          <w:color w:val="212529"/>
          <w:sz w:val="20"/>
          <w:szCs w:val="20"/>
          <w:lang w:val="en-US"/>
        </w:rPr>
        <w:t xml:space="preserve"> </w:t>
      </w:r>
      <w:r w:rsidRPr="009F5AEC">
        <w:rPr>
          <w:i/>
          <w:sz w:val="20"/>
          <w:szCs w:val="20"/>
          <w:lang w:val="en-US"/>
        </w:rPr>
        <w:t>Hayes S.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Postdigital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Positionality: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Developing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Powerful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Inclusive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Narratives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for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Teaching,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Learning,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Research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Policy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Higher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Education.</w:t>
      </w:r>
      <w:r>
        <w:rPr>
          <w:sz w:val="20"/>
          <w:szCs w:val="20"/>
          <w:lang w:val="en-US"/>
        </w:rPr>
        <w:t xml:space="preserve"> </w:t>
      </w:r>
      <w:r w:rsidR="009F5AEC">
        <w:rPr>
          <w:sz w:val="20"/>
          <w:szCs w:val="20"/>
          <w:lang w:val="en-US"/>
        </w:rPr>
        <w:t xml:space="preserve">– </w:t>
      </w:r>
      <w:r w:rsidRPr="000C02BB">
        <w:rPr>
          <w:sz w:val="20"/>
          <w:szCs w:val="20"/>
          <w:lang w:val="en-US"/>
        </w:rPr>
        <w:t>Leiden: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Brill,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2021;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Postdigital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Research: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Genealogies,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Challenges,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Future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Perspectives</w:t>
      </w:r>
      <w:r w:rsidR="009F5AEC">
        <w:rPr>
          <w:color w:val="212529"/>
          <w:sz w:val="20"/>
          <w:szCs w:val="20"/>
          <w:lang w:val="en-US"/>
        </w:rPr>
        <w:t xml:space="preserve"> / Ed. 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Jandrić,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MacKenzie,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J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Knox</w:t>
      </w:r>
      <w:r w:rsidR="009F5AEC">
        <w:rPr>
          <w:color w:val="212529"/>
          <w:sz w:val="20"/>
          <w:szCs w:val="20"/>
          <w:lang w:val="en-US"/>
        </w:rPr>
        <w:t xml:space="preserve">. – </w:t>
      </w:r>
      <w:r w:rsidRPr="000C02BB">
        <w:rPr>
          <w:color w:val="212529"/>
          <w:sz w:val="20"/>
          <w:szCs w:val="20"/>
          <w:lang w:val="en-US"/>
        </w:rPr>
        <w:t>Cham: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Springer,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2023.</w:t>
      </w:r>
    </w:p>
  </w:footnote>
  <w:footnote w:id="13">
    <w:p w:rsidR="000C02BB" w:rsidRPr="000C02BB" w:rsidRDefault="000C02BB" w:rsidP="009F5A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0C02BB">
        <w:rPr>
          <w:rStyle w:val="a8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C</w:t>
      </w:r>
      <w:r w:rsidRPr="000C02BB">
        <w:rPr>
          <w:sz w:val="20"/>
          <w:szCs w:val="20"/>
        </w:rPr>
        <w:t>м</w:t>
      </w:r>
      <w:r w:rsidRPr="000C02BB">
        <w:rPr>
          <w:sz w:val="20"/>
          <w:szCs w:val="20"/>
          <w:lang w:val="en-US"/>
        </w:rPr>
        <w:t>.:</w:t>
      </w:r>
      <w:r>
        <w:rPr>
          <w:sz w:val="20"/>
          <w:szCs w:val="20"/>
          <w:lang w:val="en-US"/>
        </w:rPr>
        <w:t xml:space="preserve"> </w:t>
      </w:r>
      <w:r w:rsidRPr="009F5AEC">
        <w:rPr>
          <w:i/>
          <w:color w:val="212529"/>
          <w:sz w:val="20"/>
          <w:szCs w:val="20"/>
          <w:lang w:val="en-US"/>
        </w:rPr>
        <w:t>Dhuru S., Sunny Y.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Social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Science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Education: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Developing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Social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Scientific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Perspective.</w:t>
      </w:r>
      <w:r>
        <w:rPr>
          <w:color w:val="212529"/>
          <w:sz w:val="20"/>
          <w:szCs w:val="20"/>
          <w:lang w:val="en-US"/>
        </w:rPr>
        <w:t xml:space="preserve"> </w:t>
      </w:r>
      <w:r w:rsidR="009F5AEC">
        <w:rPr>
          <w:color w:val="212529"/>
          <w:sz w:val="20"/>
          <w:szCs w:val="20"/>
          <w:lang w:val="en-US"/>
        </w:rPr>
        <w:t xml:space="preserve">– </w:t>
      </w:r>
      <w:r w:rsidRPr="000C02BB">
        <w:rPr>
          <w:color w:val="212529"/>
          <w:sz w:val="20"/>
          <w:szCs w:val="20"/>
          <w:lang w:val="en-US"/>
        </w:rPr>
        <w:t>London;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New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York: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Routledge,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2025.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–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193-194,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XIII</w:t>
      </w:r>
      <w:r w:rsidR="009F5AEC">
        <w:rPr>
          <w:color w:val="212529"/>
          <w:sz w:val="20"/>
          <w:szCs w:val="20"/>
          <w:lang w:val="en-US"/>
        </w:rPr>
        <w:t>-</w:t>
      </w:r>
      <w:r w:rsidRPr="000C02BB">
        <w:rPr>
          <w:color w:val="212529"/>
          <w:sz w:val="20"/>
          <w:szCs w:val="20"/>
          <w:lang w:val="en-US"/>
        </w:rPr>
        <w:t>XIV;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</w:rPr>
        <w:t>см</w:t>
      </w:r>
      <w:r w:rsidRPr="000C02BB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</w:rPr>
        <w:t>также</w:t>
      </w:r>
      <w:r w:rsidRPr="000C02BB">
        <w:rPr>
          <w:color w:val="212529"/>
          <w:sz w:val="20"/>
          <w:szCs w:val="20"/>
          <w:lang w:val="en-US"/>
        </w:rPr>
        <w:t>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The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Future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of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Innovation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Technology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Education: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Policies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Practices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for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Teaching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Learning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Excellence</w:t>
      </w:r>
      <w:r w:rsidR="009F5AEC">
        <w:rPr>
          <w:color w:val="212529"/>
          <w:sz w:val="20"/>
          <w:szCs w:val="20"/>
          <w:lang w:val="en-US"/>
        </w:rPr>
        <w:t xml:space="preserve"> /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Visvizi,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M</w:t>
      </w:r>
      <w:r w:rsidR="009F5AEC">
        <w:rPr>
          <w:color w:val="212529"/>
          <w:sz w:val="20"/>
          <w:szCs w:val="20"/>
          <w:lang w:val="en-US"/>
        </w:rPr>
        <w:t>.</w:t>
      </w:r>
      <w:r w:rsidRPr="000C02BB">
        <w:rPr>
          <w:color w:val="212529"/>
          <w:sz w:val="20"/>
          <w:szCs w:val="20"/>
          <w:lang w:val="en-US"/>
        </w:rPr>
        <w:t>D.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Lytras,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Daniela.</w:t>
      </w:r>
      <w:r>
        <w:rPr>
          <w:color w:val="212529"/>
          <w:sz w:val="20"/>
          <w:szCs w:val="20"/>
          <w:lang w:val="en-US"/>
        </w:rPr>
        <w:t xml:space="preserve"> </w:t>
      </w:r>
      <w:r w:rsidR="009F5AEC">
        <w:rPr>
          <w:color w:val="212529"/>
          <w:sz w:val="20"/>
          <w:szCs w:val="20"/>
          <w:lang w:val="en-US"/>
        </w:rPr>
        <w:t xml:space="preserve">– </w:t>
      </w:r>
      <w:r w:rsidRPr="000C02BB">
        <w:rPr>
          <w:color w:val="212529"/>
          <w:sz w:val="20"/>
          <w:szCs w:val="20"/>
          <w:lang w:val="en-US"/>
        </w:rPr>
        <w:t>Bingley</w:t>
      </w:r>
      <w:r>
        <w:rPr>
          <w:color w:val="212529"/>
          <w:sz w:val="20"/>
          <w:szCs w:val="20"/>
          <w:lang w:val="en-US"/>
        </w:rPr>
        <w:t xml:space="preserve"> </w:t>
      </w:r>
      <w:r w:rsidR="009F5AEC">
        <w:rPr>
          <w:color w:val="212529"/>
          <w:sz w:val="20"/>
          <w:szCs w:val="20"/>
          <w:lang w:val="en-US"/>
        </w:rPr>
        <w:t>(</w:t>
      </w:r>
      <w:r w:rsidRPr="000C02BB">
        <w:rPr>
          <w:color w:val="212529"/>
          <w:sz w:val="20"/>
          <w:szCs w:val="20"/>
          <w:lang w:val="en-US"/>
        </w:rPr>
        <w:t>UK</w:t>
      </w:r>
      <w:r w:rsidR="009F5AEC">
        <w:rPr>
          <w:color w:val="212529"/>
          <w:sz w:val="20"/>
          <w:szCs w:val="20"/>
          <w:lang w:val="en-US"/>
        </w:rPr>
        <w:t>)</w:t>
      </w:r>
      <w:r w:rsidRPr="000C02BB">
        <w:rPr>
          <w:color w:val="212529"/>
          <w:sz w:val="20"/>
          <w:szCs w:val="20"/>
          <w:lang w:val="en-US"/>
        </w:rPr>
        <w:t>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Emerald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Publishing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Limited,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2018</w:t>
      </w:r>
      <w:r w:rsidRPr="000C02BB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r w:rsidRPr="009F5AEC">
        <w:rPr>
          <w:i/>
          <w:sz w:val="20"/>
          <w:szCs w:val="20"/>
          <w:lang w:val="en-US"/>
        </w:rPr>
        <w:t>Akpan B</w:t>
      </w:r>
      <w:r w:rsidRPr="000C02BB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Introduction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Reflection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on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Contemporary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Issues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in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Science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and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Technology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Education</w:t>
      </w:r>
      <w:r>
        <w:rPr>
          <w:sz w:val="20"/>
          <w:szCs w:val="20"/>
          <w:lang w:val="en-US"/>
        </w:rPr>
        <w:t xml:space="preserve"> </w:t>
      </w:r>
      <w:r w:rsidRPr="000C02BB">
        <w:rPr>
          <w:sz w:val="20"/>
          <w:szCs w:val="20"/>
          <w:lang w:val="en-US"/>
        </w:rPr>
        <w:t>//</w:t>
      </w:r>
      <w:r>
        <w:rPr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Contemporary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Issues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in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Science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and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Technology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Education</w:t>
      </w:r>
      <w:r w:rsidR="009F5AEC">
        <w:rPr>
          <w:color w:val="212529"/>
          <w:sz w:val="20"/>
          <w:szCs w:val="20"/>
          <w:lang w:val="en-US"/>
        </w:rPr>
        <w:t xml:space="preserve"> / Ed. by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B</w:t>
      </w:r>
      <w:r w:rsidR="009F5AEC">
        <w:rPr>
          <w:color w:val="212529"/>
          <w:sz w:val="20"/>
          <w:szCs w:val="20"/>
          <w:lang w:val="en-US"/>
        </w:rPr>
        <w:t xml:space="preserve">. </w:t>
      </w:r>
      <w:r w:rsidRPr="000C02BB">
        <w:rPr>
          <w:color w:val="212529"/>
          <w:sz w:val="20"/>
          <w:szCs w:val="20"/>
          <w:lang w:val="en-US"/>
        </w:rPr>
        <w:t>Akpan,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B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Cavas,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T</w:t>
      </w:r>
      <w:r w:rsidR="009F5AEC">
        <w:rPr>
          <w:color w:val="212529"/>
          <w:sz w:val="20"/>
          <w:szCs w:val="20"/>
          <w:lang w:val="en-US"/>
        </w:rPr>
        <w:t>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Kennedy</w:t>
      </w:r>
      <w:r w:rsidR="009F5AEC">
        <w:rPr>
          <w:color w:val="212529"/>
          <w:sz w:val="20"/>
          <w:szCs w:val="20"/>
          <w:lang w:val="en-US"/>
        </w:rPr>
        <w:t xml:space="preserve">. – </w:t>
      </w:r>
      <w:r w:rsidRPr="000C02BB">
        <w:rPr>
          <w:color w:val="212529"/>
          <w:sz w:val="20"/>
          <w:szCs w:val="20"/>
          <w:lang w:val="en-US"/>
        </w:rPr>
        <w:t>Cham: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Springer,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2023.</w:t>
      </w:r>
      <w:r>
        <w:rPr>
          <w:color w:val="212529"/>
          <w:sz w:val="20"/>
          <w:szCs w:val="20"/>
          <w:lang w:val="en-US"/>
        </w:rPr>
        <w:t xml:space="preserve"> </w:t>
      </w:r>
      <w:r w:rsidR="009F5AEC">
        <w:rPr>
          <w:color w:val="212529"/>
          <w:sz w:val="20"/>
          <w:szCs w:val="20"/>
          <w:lang w:val="en-US"/>
        </w:rPr>
        <w:t>–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P.</w:t>
      </w:r>
      <w:r>
        <w:rPr>
          <w:color w:val="212529"/>
          <w:sz w:val="20"/>
          <w:szCs w:val="20"/>
          <w:lang w:val="en-US"/>
        </w:rPr>
        <w:t xml:space="preserve"> </w:t>
      </w:r>
      <w:r w:rsidRPr="000C02BB">
        <w:rPr>
          <w:color w:val="212529"/>
          <w:sz w:val="20"/>
          <w:szCs w:val="20"/>
          <w:lang w:val="en-US"/>
        </w:rPr>
        <w:t>1-10.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BB" w:rsidRPr="000C02BB" w:rsidRDefault="000C02BB" w:rsidP="000C02BB">
    <w:pPr>
      <w:pStyle w:val="aa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4F9B"/>
    <w:multiLevelType w:val="hybridMultilevel"/>
    <w:tmpl w:val="CA967C38"/>
    <w:lvl w:ilvl="0" w:tplc="F09076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51C"/>
    <w:rsid w:val="00094C0F"/>
    <w:rsid w:val="000C02BB"/>
    <w:rsid w:val="002130FB"/>
    <w:rsid w:val="002E427F"/>
    <w:rsid w:val="002F52CA"/>
    <w:rsid w:val="003272DA"/>
    <w:rsid w:val="0035209D"/>
    <w:rsid w:val="00382C0E"/>
    <w:rsid w:val="003F15FF"/>
    <w:rsid w:val="00443808"/>
    <w:rsid w:val="004649F5"/>
    <w:rsid w:val="00485D1E"/>
    <w:rsid w:val="0049136E"/>
    <w:rsid w:val="00550228"/>
    <w:rsid w:val="005A50D3"/>
    <w:rsid w:val="00610789"/>
    <w:rsid w:val="00632E0D"/>
    <w:rsid w:val="0064797E"/>
    <w:rsid w:val="00755F86"/>
    <w:rsid w:val="007668D8"/>
    <w:rsid w:val="007C49CF"/>
    <w:rsid w:val="007D0245"/>
    <w:rsid w:val="00823B2C"/>
    <w:rsid w:val="009F5AEC"/>
    <w:rsid w:val="00B31009"/>
    <w:rsid w:val="00B61117"/>
    <w:rsid w:val="00B71169"/>
    <w:rsid w:val="00B9051C"/>
    <w:rsid w:val="00C01C3F"/>
    <w:rsid w:val="00CA113F"/>
    <w:rsid w:val="00CA2E8D"/>
    <w:rsid w:val="00D24AB0"/>
    <w:rsid w:val="00D3591C"/>
    <w:rsid w:val="00E07D80"/>
    <w:rsid w:val="00E418B1"/>
    <w:rsid w:val="00E93ACC"/>
    <w:rsid w:val="00EC5B36"/>
    <w:rsid w:val="00ED0893"/>
    <w:rsid w:val="00FC5A08"/>
    <w:rsid w:val="00FD5BBA"/>
    <w:rsid w:val="00FE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5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0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051C"/>
    <w:rPr>
      <w:b/>
      <w:bCs/>
    </w:rPr>
  </w:style>
  <w:style w:type="paragraph" w:customStyle="1" w:styleId="Para02">
    <w:name w:val="Para 02"/>
    <w:basedOn w:val="a"/>
    <w:qFormat/>
    <w:rsid w:val="00B9051C"/>
    <w:pPr>
      <w:spacing w:after="0" w:line="288" w:lineRule="atLeast"/>
      <w:ind w:firstLineChars="150" w:firstLine="15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Para16">
    <w:name w:val="Para 16"/>
    <w:basedOn w:val="a"/>
    <w:qFormat/>
    <w:rsid w:val="00B9051C"/>
    <w:pPr>
      <w:spacing w:after="0" w:line="288" w:lineRule="atLeast"/>
    </w:pPr>
    <w:rPr>
      <w:rFonts w:ascii="Cambria" w:eastAsia="Cambria" w:hAnsi="Cambria"/>
      <w:color w:val="0000FF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B905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05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9051C"/>
    <w:rPr>
      <w:vertAlign w:val="superscript"/>
    </w:rPr>
  </w:style>
  <w:style w:type="paragraph" w:customStyle="1" w:styleId="Para05">
    <w:name w:val="Para 05"/>
    <w:basedOn w:val="a"/>
    <w:qFormat/>
    <w:rsid w:val="00B9051C"/>
    <w:pPr>
      <w:spacing w:after="0" w:line="288" w:lineRule="atLeast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Para25">
    <w:name w:val="Para 25"/>
    <w:basedOn w:val="a"/>
    <w:qFormat/>
    <w:rsid w:val="00B9051C"/>
    <w:pPr>
      <w:pBdr>
        <w:left w:val="none" w:sz="0" w:space="18" w:color="auto"/>
      </w:pBdr>
      <w:spacing w:after="0" w:line="288" w:lineRule="atLeast"/>
    </w:pPr>
    <w:rPr>
      <w:rFonts w:ascii="Cambria" w:eastAsia="Cambria" w:hAnsi="Cambria" w:cs="Cambri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90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semiHidden/>
    <w:unhideWhenUsed/>
    <w:rsid w:val="000C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02B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C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02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t-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gen.vg/series.php?id=36089" TargetMode="External"/><Relationship Id="rId1" Type="http://schemas.openxmlformats.org/officeDocument/2006/relationships/hyperlink" Target="https://libgen.vg/series.php?id=36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38F7-AB79-4788-B770-AB0C51CE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4</cp:revision>
  <dcterms:created xsi:type="dcterms:W3CDTF">2025-12-26T12:04:00Z</dcterms:created>
  <dcterms:modified xsi:type="dcterms:W3CDTF">2025-12-26T13:32:00Z</dcterms:modified>
</cp:coreProperties>
</file>