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47" w:rsidRPr="00B72D6E" w:rsidRDefault="00E45795" w:rsidP="00B72D6E">
      <w:pPr>
        <w:rPr>
          <w:rFonts w:cs="Times New Roman"/>
          <w:b/>
          <w:i/>
          <w:sz w:val="24"/>
          <w:szCs w:val="24"/>
        </w:rPr>
      </w:pPr>
      <w:r w:rsidRPr="00B72D6E">
        <w:rPr>
          <w:rFonts w:cs="Times New Roman"/>
          <w:b/>
          <w:i/>
          <w:sz w:val="24"/>
          <w:szCs w:val="24"/>
        </w:rPr>
        <w:t>Гаврилко</w:t>
      </w:r>
      <w:r w:rsidR="00B72D6E">
        <w:rPr>
          <w:rFonts w:cs="Times New Roman"/>
          <w:b/>
          <w:i/>
          <w:sz w:val="24"/>
          <w:szCs w:val="24"/>
        </w:rPr>
        <w:t xml:space="preserve"> </w:t>
      </w:r>
      <w:r w:rsidR="00F63947" w:rsidRPr="00B72D6E">
        <w:rPr>
          <w:rFonts w:cs="Times New Roman"/>
          <w:b/>
          <w:i/>
          <w:sz w:val="24"/>
          <w:szCs w:val="24"/>
        </w:rPr>
        <w:t>Н.Н.</w:t>
      </w:r>
    </w:p>
    <w:p w:rsidR="00F63947" w:rsidRPr="00B72D6E" w:rsidRDefault="00F63947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к.э.н.,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доцент,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доцент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кафедры</w:t>
      </w:r>
      <w:r w:rsidR="00B72D6E" w:rsidRPr="00B72D6E">
        <w:rPr>
          <w:rFonts w:cs="Times New Roman"/>
          <w:sz w:val="24"/>
          <w:szCs w:val="24"/>
        </w:rPr>
        <w:t xml:space="preserve"> «</w:t>
      </w:r>
      <w:r w:rsidRPr="00B72D6E">
        <w:rPr>
          <w:rFonts w:cs="Times New Roman"/>
          <w:sz w:val="24"/>
          <w:szCs w:val="24"/>
        </w:rPr>
        <w:t>Мировая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экономика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международные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отношения</w:t>
      </w:r>
      <w:r w:rsidR="00B72D6E" w:rsidRPr="00B72D6E">
        <w:rPr>
          <w:rFonts w:cs="Times New Roman"/>
          <w:sz w:val="24"/>
          <w:szCs w:val="24"/>
        </w:rPr>
        <w:t xml:space="preserve">» </w:t>
      </w:r>
      <w:r w:rsidRPr="00B72D6E">
        <w:rPr>
          <w:rFonts w:cs="Times New Roman"/>
          <w:sz w:val="24"/>
          <w:szCs w:val="24"/>
        </w:rPr>
        <w:t>Ростовского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государственн</w:t>
      </w:r>
      <w:r w:rsidR="00B72D6E" w:rsidRPr="00B72D6E">
        <w:rPr>
          <w:rFonts w:cs="Times New Roman"/>
          <w:sz w:val="24"/>
          <w:szCs w:val="24"/>
        </w:rPr>
        <w:t>ого экономического университета</w:t>
      </w:r>
    </w:p>
    <w:p w:rsidR="00612ECC" w:rsidRPr="00B72D6E" w:rsidRDefault="00BC16F2" w:rsidP="00B72D6E">
      <w:pPr>
        <w:rPr>
          <w:rFonts w:cs="Times New Roman"/>
          <w:b/>
          <w:i/>
          <w:sz w:val="24"/>
          <w:szCs w:val="24"/>
        </w:rPr>
      </w:pPr>
      <w:r w:rsidRPr="00B72D6E">
        <w:rPr>
          <w:rFonts w:cs="Times New Roman"/>
          <w:b/>
          <w:i/>
          <w:sz w:val="24"/>
          <w:szCs w:val="24"/>
        </w:rPr>
        <w:t>Кованова</w:t>
      </w:r>
      <w:r w:rsidR="00B72D6E">
        <w:rPr>
          <w:rFonts w:cs="Times New Roman"/>
          <w:b/>
          <w:i/>
          <w:sz w:val="24"/>
          <w:szCs w:val="24"/>
        </w:rPr>
        <w:t xml:space="preserve"> </w:t>
      </w:r>
      <w:r w:rsidR="00F63947" w:rsidRPr="00B72D6E">
        <w:rPr>
          <w:rFonts w:cs="Times New Roman"/>
          <w:b/>
          <w:i/>
          <w:sz w:val="24"/>
          <w:szCs w:val="24"/>
        </w:rPr>
        <w:t>А.Е.</w:t>
      </w:r>
    </w:p>
    <w:p w:rsidR="00F63947" w:rsidRPr="00B72D6E" w:rsidRDefault="00F63947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магистрант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Ростовского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государственного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экономического</w:t>
      </w:r>
      <w:r w:rsidR="00B72D6E" w:rsidRP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университета</w:t>
      </w:r>
      <w:r w:rsidR="00B72D6E" w:rsidRPr="00B72D6E">
        <w:rPr>
          <w:rFonts w:cs="Times New Roman"/>
          <w:sz w:val="24"/>
          <w:szCs w:val="24"/>
        </w:rPr>
        <w:t xml:space="preserve"> </w:t>
      </w:r>
    </w:p>
    <w:p w:rsidR="002D56FA" w:rsidRPr="00B72D6E" w:rsidRDefault="002D56FA" w:rsidP="00B72D6E">
      <w:pPr>
        <w:rPr>
          <w:rFonts w:cs="Times New Roman"/>
          <w:b/>
          <w:sz w:val="24"/>
          <w:szCs w:val="24"/>
        </w:rPr>
      </w:pPr>
    </w:p>
    <w:p w:rsidR="008D3772" w:rsidRPr="00B72D6E" w:rsidRDefault="008D3772" w:rsidP="00B72D6E">
      <w:pPr>
        <w:jc w:val="center"/>
        <w:rPr>
          <w:rFonts w:cs="Times New Roman"/>
          <w:b/>
          <w:sz w:val="24"/>
          <w:szCs w:val="24"/>
        </w:rPr>
      </w:pPr>
      <w:r w:rsidRPr="00B72D6E">
        <w:rPr>
          <w:rFonts w:cs="Times New Roman"/>
          <w:b/>
          <w:sz w:val="24"/>
          <w:szCs w:val="24"/>
        </w:rPr>
        <w:t>РЕГИОНАЛЬНЫЕ</w:t>
      </w:r>
      <w:r w:rsidR="00B72D6E">
        <w:rPr>
          <w:rFonts w:cs="Times New Roman"/>
          <w:b/>
          <w:sz w:val="24"/>
          <w:szCs w:val="24"/>
        </w:rPr>
        <w:t xml:space="preserve"> </w:t>
      </w:r>
      <w:r w:rsidRPr="00B72D6E">
        <w:rPr>
          <w:rFonts w:cs="Times New Roman"/>
          <w:b/>
          <w:sz w:val="24"/>
          <w:szCs w:val="24"/>
        </w:rPr>
        <w:t>ТОРГОВЫЕ</w:t>
      </w:r>
      <w:r w:rsidR="00B72D6E">
        <w:rPr>
          <w:rFonts w:cs="Times New Roman"/>
          <w:b/>
          <w:sz w:val="24"/>
          <w:szCs w:val="24"/>
        </w:rPr>
        <w:t xml:space="preserve"> </w:t>
      </w:r>
      <w:r w:rsidRPr="00B72D6E">
        <w:rPr>
          <w:rFonts w:cs="Times New Roman"/>
          <w:b/>
          <w:sz w:val="24"/>
          <w:szCs w:val="24"/>
        </w:rPr>
        <w:t>СОГЛАШЕНИЯ</w:t>
      </w:r>
      <w:r w:rsidR="00B72D6E">
        <w:rPr>
          <w:rFonts w:cs="Times New Roman"/>
          <w:b/>
          <w:sz w:val="24"/>
          <w:szCs w:val="24"/>
        </w:rPr>
        <w:t xml:space="preserve"> </w:t>
      </w:r>
      <w:r w:rsidR="006B6F19" w:rsidRPr="00B72D6E">
        <w:rPr>
          <w:rFonts w:cs="Times New Roman"/>
          <w:b/>
          <w:sz w:val="24"/>
          <w:szCs w:val="24"/>
        </w:rPr>
        <w:t>В</w:t>
      </w:r>
      <w:r w:rsidR="00B72D6E">
        <w:rPr>
          <w:rFonts w:cs="Times New Roman"/>
          <w:b/>
          <w:sz w:val="24"/>
          <w:szCs w:val="24"/>
        </w:rPr>
        <w:t xml:space="preserve"> </w:t>
      </w:r>
      <w:r w:rsidR="00B72D6E">
        <w:rPr>
          <w:rFonts w:cs="Times New Roman"/>
          <w:b/>
          <w:sz w:val="24"/>
          <w:szCs w:val="24"/>
        </w:rPr>
        <w:tab/>
      </w:r>
      <w:r w:rsidR="006B6F19" w:rsidRPr="00B72D6E">
        <w:rPr>
          <w:rFonts w:cs="Times New Roman"/>
          <w:b/>
          <w:sz w:val="24"/>
          <w:szCs w:val="24"/>
        </w:rPr>
        <w:t>МНОГОФОРМАТНОМ</w:t>
      </w:r>
      <w:r w:rsidR="00B72D6E">
        <w:rPr>
          <w:rFonts w:cs="Times New Roman"/>
          <w:b/>
          <w:sz w:val="24"/>
          <w:szCs w:val="24"/>
        </w:rPr>
        <w:t xml:space="preserve"> </w:t>
      </w:r>
      <w:r w:rsidR="006B6F19" w:rsidRPr="00B72D6E">
        <w:rPr>
          <w:rFonts w:cs="Times New Roman"/>
          <w:b/>
          <w:sz w:val="24"/>
          <w:szCs w:val="24"/>
        </w:rPr>
        <w:t>МЕЖДУНАРОДНОМ</w:t>
      </w:r>
      <w:r w:rsidR="00B72D6E">
        <w:rPr>
          <w:rFonts w:cs="Times New Roman"/>
          <w:b/>
          <w:sz w:val="24"/>
          <w:szCs w:val="24"/>
        </w:rPr>
        <w:t xml:space="preserve"> </w:t>
      </w:r>
      <w:r w:rsidR="006B6F19" w:rsidRPr="00B72D6E">
        <w:rPr>
          <w:rFonts w:cs="Times New Roman"/>
          <w:b/>
          <w:sz w:val="24"/>
          <w:szCs w:val="24"/>
        </w:rPr>
        <w:t>СОТРУДНИЧЕСТВЕ</w:t>
      </w:r>
      <w:r w:rsidR="00B72D6E">
        <w:rPr>
          <w:rFonts w:cs="Times New Roman"/>
          <w:sz w:val="24"/>
          <w:szCs w:val="24"/>
        </w:rPr>
        <w:t xml:space="preserve"> </w:t>
      </w:r>
      <w:r w:rsidR="006B6F19" w:rsidRPr="00B72D6E">
        <w:rPr>
          <w:rFonts w:cs="Times New Roman"/>
          <w:b/>
          <w:sz w:val="24"/>
          <w:szCs w:val="24"/>
        </w:rPr>
        <w:t>ЕАЭС</w:t>
      </w:r>
    </w:p>
    <w:p w:rsidR="007E4830" w:rsidRPr="00B72D6E" w:rsidRDefault="007E4830" w:rsidP="00B72D6E">
      <w:pPr>
        <w:rPr>
          <w:rFonts w:cs="Times New Roman"/>
          <w:b/>
          <w:sz w:val="24"/>
          <w:szCs w:val="24"/>
        </w:rPr>
      </w:pPr>
    </w:p>
    <w:p w:rsidR="007E4830" w:rsidRPr="00B72D6E" w:rsidRDefault="007E4830" w:rsidP="00B72D6E">
      <w:pPr>
        <w:rPr>
          <w:rFonts w:cs="Times New Roman"/>
          <w:i/>
          <w:sz w:val="24"/>
          <w:szCs w:val="24"/>
        </w:rPr>
      </w:pPr>
      <w:r w:rsidRPr="00B72D6E">
        <w:rPr>
          <w:rFonts w:cs="Times New Roman"/>
          <w:b/>
          <w:i/>
          <w:sz w:val="24"/>
          <w:szCs w:val="24"/>
        </w:rPr>
        <w:t>Ключевые</w:t>
      </w:r>
      <w:r w:rsidR="00B72D6E" w:rsidRPr="00B72D6E">
        <w:rPr>
          <w:rFonts w:cs="Times New Roman"/>
          <w:b/>
          <w:i/>
          <w:sz w:val="24"/>
          <w:szCs w:val="24"/>
        </w:rPr>
        <w:t xml:space="preserve"> </w:t>
      </w:r>
      <w:r w:rsidRPr="00B72D6E">
        <w:rPr>
          <w:rFonts w:cs="Times New Roman"/>
          <w:b/>
          <w:i/>
          <w:sz w:val="24"/>
          <w:szCs w:val="24"/>
        </w:rPr>
        <w:t>слова:</w:t>
      </w:r>
      <w:r w:rsidR="00B72D6E" w:rsidRPr="00B72D6E">
        <w:rPr>
          <w:rFonts w:cs="Times New Roman"/>
          <w:b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внутрирегиональное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партнерство,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2B0701" w:rsidRPr="00B72D6E">
        <w:rPr>
          <w:rFonts w:cs="Times New Roman"/>
          <w:i/>
          <w:sz w:val="24"/>
          <w:szCs w:val="24"/>
        </w:rPr>
        <w:t>ЕАЭС,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многоформатное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сотрудничество,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региональное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торговое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соглашение,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экономическая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  <w:r w:rsidR="0092408F" w:rsidRPr="00B72D6E">
        <w:rPr>
          <w:rFonts w:cs="Times New Roman"/>
          <w:i/>
          <w:sz w:val="24"/>
          <w:szCs w:val="24"/>
        </w:rPr>
        <w:t>интеграция</w:t>
      </w:r>
      <w:r w:rsidR="002B0701" w:rsidRPr="00B72D6E">
        <w:rPr>
          <w:rFonts w:cs="Times New Roman"/>
          <w:i/>
          <w:sz w:val="24"/>
          <w:szCs w:val="24"/>
        </w:rPr>
        <w:t>.</w:t>
      </w:r>
      <w:r w:rsidR="00B72D6E" w:rsidRPr="00B72D6E">
        <w:rPr>
          <w:rFonts w:cs="Times New Roman"/>
          <w:i/>
          <w:sz w:val="24"/>
          <w:szCs w:val="24"/>
        </w:rPr>
        <w:t xml:space="preserve"> </w:t>
      </w:r>
    </w:p>
    <w:p w:rsidR="007E4830" w:rsidRPr="00B72D6E" w:rsidRDefault="002B0701" w:rsidP="00B72D6E">
      <w:pPr>
        <w:rPr>
          <w:rFonts w:cs="Times New Roman"/>
          <w:i/>
          <w:sz w:val="24"/>
          <w:szCs w:val="24"/>
          <w:lang w:val="en-US"/>
        </w:rPr>
      </w:pPr>
      <w:r w:rsidRPr="00B72D6E">
        <w:rPr>
          <w:rFonts w:cs="Times New Roman"/>
          <w:b/>
          <w:i/>
          <w:sz w:val="24"/>
          <w:szCs w:val="24"/>
          <w:lang w:val="en-US"/>
        </w:rPr>
        <w:t>Keywords: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intraregional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partnership,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EAEU,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multi-format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cooperation,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regional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trade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agreement,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economic</w:t>
      </w:r>
      <w:r w:rsidR="00B72D6E" w:rsidRPr="00B72D6E">
        <w:rPr>
          <w:rFonts w:cs="Times New Roman"/>
          <w:i/>
          <w:sz w:val="24"/>
          <w:szCs w:val="24"/>
          <w:lang w:val="en-US"/>
        </w:rPr>
        <w:t xml:space="preserve"> </w:t>
      </w:r>
      <w:r w:rsidRPr="00B72D6E">
        <w:rPr>
          <w:rFonts w:cs="Times New Roman"/>
          <w:i/>
          <w:sz w:val="24"/>
          <w:szCs w:val="24"/>
          <w:lang w:val="en-US"/>
        </w:rPr>
        <w:t>integration.</w:t>
      </w:r>
    </w:p>
    <w:p w:rsidR="002B0701" w:rsidRPr="00B72D6E" w:rsidRDefault="002B0701" w:rsidP="00B72D6E">
      <w:pPr>
        <w:rPr>
          <w:rFonts w:cs="Times New Roman"/>
          <w:sz w:val="24"/>
          <w:szCs w:val="24"/>
          <w:lang w:val="en-US"/>
        </w:rPr>
      </w:pPr>
    </w:p>
    <w:p w:rsidR="00C03A99" w:rsidRPr="00B72D6E" w:rsidRDefault="00C03A99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Многоформатное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партнерство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представляется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концепци</w:t>
      </w:r>
      <w:r w:rsidR="00A34776" w:rsidRPr="00B72D6E">
        <w:rPr>
          <w:rFonts w:cs="Times New Roman"/>
          <w:sz w:val="24"/>
          <w:szCs w:val="24"/>
        </w:rPr>
        <w:t>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«Большого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евразийского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партнерства»,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которая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объединяет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различные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региональные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интеграционные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проекты</w:t>
      </w:r>
      <w:r w:rsidR="00AD7B7A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уже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существующие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Евразии.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Потенциально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партнерство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могут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войти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ШОС,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АСЕА</w:t>
      </w:r>
      <w:r w:rsidR="001415F9" w:rsidRPr="00B72D6E">
        <w:rPr>
          <w:rFonts w:cs="Times New Roman"/>
          <w:sz w:val="24"/>
          <w:szCs w:val="24"/>
        </w:rPr>
        <w:t>Н</w:t>
      </w:r>
      <w:r w:rsidR="00A34776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китайск</w:t>
      </w:r>
      <w:r w:rsidR="00AD7B7A" w:rsidRPr="00B72D6E">
        <w:rPr>
          <w:rFonts w:cs="Times New Roman"/>
          <w:sz w:val="24"/>
          <w:szCs w:val="24"/>
        </w:rPr>
        <w:t>ая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инициатив</w:t>
      </w:r>
      <w:r w:rsidR="00AD7B7A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«Один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пояс,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один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путь».</w:t>
      </w:r>
      <w:r w:rsidR="003B1BC8" w:rsidRPr="00B72D6E">
        <w:rPr>
          <w:rStyle w:val="a5"/>
          <w:sz w:val="24"/>
          <w:szCs w:val="24"/>
        </w:rPr>
        <w:footnoteReference w:id="1"/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результате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создается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новый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формат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международного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взаимодействия,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которы</w:t>
      </w:r>
      <w:r w:rsidR="001415F9" w:rsidRPr="00B72D6E">
        <w:rPr>
          <w:rFonts w:cs="Times New Roman"/>
          <w:sz w:val="24"/>
          <w:szCs w:val="24"/>
        </w:rPr>
        <w:t>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часто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представля</w:t>
      </w:r>
      <w:r w:rsidR="001415F9" w:rsidRPr="00B72D6E">
        <w:rPr>
          <w:rFonts w:cs="Times New Roman"/>
          <w:sz w:val="24"/>
          <w:szCs w:val="24"/>
        </w:rPr>
        <w:t>е</w:t>
      </w:r>
      <w:r w:rsidR="00AD7B7A" w:rsidRPr="00B72D6E">
        <w:rPr>
          <w:rFonts w:cs="Times New Roman"/>
          <w:sz w:val="24"/>
          <w:szCs w:val="24"/>
        </w:rPr>
        <w:t>т</w:t>
      </w:r>
      <w:r w:rsidR="001415F9" w:rsidRPr="00B72D6E">
        <w:rPr>
          <w:rFonts w:cs="Times New Roman"/>
          <w:sz w:val="24"/>
          <w:szCs w:val="24"/>
        </w:rPr>
        <w:t>ся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«интеграци</w:t>
      </w:r>
      <w:r w:rsidR="001415F9" w:rsidRPr="00B72D6E">
        <w:rPr>
          <w:rFonts w:cs="Times New Roman"/>
          <w:sz w:val="24"/>
          <w:szCs w:val="24"/>
        </w:rPr>
        <w:t>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интеграций»</w:t>
      </w:r>
      <w:r w:rsidR="00AD7B7A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Международные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экономические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связи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формируются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уровне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наднациональных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институтов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региональных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интеграционных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объединений,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о</w:t>
      </w:r>
      <w:r w:rsidR="00AD7B7A" w:rsidRPr="00B72D6E">
        <w:rPr>
          <w:rFonts w:cs="Times New Roman"/>
          <w:sz w:val="24"/>
          <w:szCs w:val="24"/>
        </w:rPr>
        <w:t>днако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это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не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предполагает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создания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новой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международной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структуры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или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международного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института.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Гла</w:t>
      </w:r>
      <w:r w:rsidR="00AD7B7A" w:rsidRPr="00B72D6E">
        <w:rPr>
          <w:rFonts w:cs="Times New Roman"/>
          <w:sz w:val="24"/>
          <w:szCs w:val="24"/>
        </w:rPr>
        <w:t>вной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задачей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многоформатного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партнерства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явл</w:t>
      </w:r>
      <w:r w:rsidRPr="00B72D6E">
        <w:rPr>
          <w:rFonts w:cs="Times New Roman"/>
          <w:sz w:val="24"/>
          <w:szCs w:val="24"/>
        </w:rPr>
        <w:t>яется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формирование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нового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уровня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активн</w:t>
      </w:r>
      <w:r w:rsidRPr="00B72D6E">
        <w:rPr>
          <w:rFonts w:cs="Times New Roman"/>
          <w:sz w:val="24"/>
          <w:szCs w:val="24"/>
        </w:rPr>
        <w:t>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регион</w:t>
      </w:r>
      <w:r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без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строгих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институциональных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рамок.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Основные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направления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партнерства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включают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углубление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торгового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AD7B7A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р</w:t>
      </w:r>
      <w:r w:rsidR="00C316AD" w:rsidRPr="00B72D6E">
        <w:rPr>
          <w:rFonts w:cs="Times New Roman"/>
          <w:sz w:val="24"/>
          <w:szCs w:val="24"/>
        </w:rPr>
        <w:t>ост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международных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расчетов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национальны</w:t>
      </w:r>
      <w:r w:rsidR="00AD7B7A" w:rsidRPr="00B72D6E">
        <w:rPr>
          <w:rFonts w:cs="Times New Roman"/>
          <w:sz w:val="24"/>
          <w:szCs w:val="24"/>
        </w:rPr>
        <w:t>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валют</w:t>
      </w:r>
      <w:r w:rsidR="00AD7B7A" w:rsidRPr="00B72D6E">
        <w:rPr>
          <w:rFonts w:cs="Times New Roman"/>
          <w:sz w:val="24"/>
          <w:szCs w:val="24"/>
        </w:rPr>
        <w:t>ах</w:t>
      </w:r>
      <w:r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развитие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промышленн</w:t>
      </w:r>
      <w:r w:rsidR="00AD7B7A" w:rsidRPr="00B72D6E">
        <w:rPr>
          <w:rFonts w:cs="Times New Roman"/>
          <w:sz w:val="24"/>
          <w:szCs w:val="24"/>
        </w:rPr>
        <w:t>ой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кооперации</w:t>
      </w:r>
      <w:r w:rsidR="00B72D6E">
        <w:rPr>
          <w:rFonts w:cs="Times New Roman"/>
          <w:sz w:val="24"/>
          <w:szCs w:val="24"/>
        </w:rPr>
        <w:t xml:space="preserve"> </w:t>
      </w:r>
      <w:r w:rsidR="00C316AD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инновационн</w:t>
      </w:r>
      <w:r w:rsidR="00AD7B7A" w:rsidRPr="00B72D6E">
        <w:rPr>
          <w:rFonts w:cs="Times New Roman"/>
          <w:sz w:val="24"/>
          <w:szCs w:val="24"/>
        </w:rPr>
        <w:t>ого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партнерства</w:t>
      </w:r>
      <w:r w:rsidR="00A34776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A34776" w:rsidRPr="00B72D6E">
        <w:rPr>
          <w:rFonts w:cs="Times New Roman"/>
          <w:sz w:val="24"/>
          <w:szCs w:val="24"/>
        </w:rPr>
        <w:t>формирование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единой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цифров</w:t>
      </w:r>
      <w:r w:rsidR="00AD7B7A" w:rsidRPr="00B72D6E">
        <w:rPr>
          <w:rFonts w:cs="Times New Roman"/>
          <w:sz w:val="24"/>
          <w:szCs w:val="24"/>
        </w:rPr>
        <w:t>ой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системы,</w:t>
      </w:r>
      <w:r w:rsidR="00B72D6E">
        <w:rPr>
          <w:rFonts w:cs="Times New Roman"/>
          <w:sz w:val="24"/>
          <w:szCs w:val="24"/>
        </w:rPr>
        <w:t xml:space="preserve"> </w:t>
      </w:r>
      <w:r w:rsidR="00C316AD" w:rsidRPr="00B72D6E">
        <w:rPr>
          <w:rFonts w:cs="Times New Roman"/>
          <w:sz w:val="24"/>
          <w:szCs w:val="24"/>
        </w:rPr>
        <w:t>расширение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транспортных</w:t>
      </w:r>
      <w:r w:rsidR="00B72D6E">
        <w:rPr>
          <w:rFonts w:cs="Times New Roman"/>
          <w:sz w:val="24"/>
          <w:szCs w:val="24"/>
        </w:rPr>
        <w:t xml:space="preserve"> </w:t>
      </w:r>
      <w:r w:rsidR="00AD7B7A" w:rsidRPr="00B72D6E">
        <w:rPr>
          <w:rFonts w:cs="Times New Roman"/>
          <w:sz w:val="24"/>
          <w:szCs w:val="24"/>
        </w:rPr>
        <w:t>коридоров</w:t>
      </w:r>
      <w:r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</w:p>
    <w:p w:rsidR="00D62671" w:rsidRPr="00B72D6E" w:rsidRDefault="00C316AD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качестве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специфических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</w:t>
      </w:r>
      <w:r w:rsidR="00E20340" w:rsidRPr="00B72D6E">
        <w:rPr>
          <w:rFonts w:cs="Times New Roman"/>
          <w:sz w:val="24"/>
          <w:szCs w:val="24"/>
        </w:rPr>
        <w:t>араметр</w:t>
      </w:r>
      <w:r w:rsidRPr="00B72D6E">
        <w:rPr>
          <w:rFonts w:cs="Times New Roman"/>
          <w:sz w:val="24"/>
          <w:szCs w:val="24"/>
        </w:rPr>
        <w:t>ов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модели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многоформатного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партнерства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следует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отметить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такие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как</w:t>
      </w:r>
      <w:r w:rsidR="00C03A99" w:rsidRPr="00B72D6E">
        <w:rPr>
          <w:rFonts w:cs="Times New Roman"/>
          <w:sz w:val="24"/>
          <w:szCs w:val="24"/>
        </w:rPr>
        <w:t>: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полицентричность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модели,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широкий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охват,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интеграция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интеграций,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укрепление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связей,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промышленная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кооперация,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развитие</w:t>
      </w:r>
      <w:r w:rsidR="00B72D6E">
        <w:rPr>
          <w:rFonts w:cs="Times New Roman"/>
          <w:sz w:val="24"/>
          <w:szCs w:val="24"/>
        </w:rPr>
        <w:t xml:space="preserve"> </w:t>
      </w:r>
      <w:r w:rsidR="00CF0627" w:rsidRPr="00B72D6E">
        <w:rPr>
          <w:rFonts w:cs="Times New Roman"/>
          <w:sz w:val="24"/>
          <w:szCs w:val="24"/>
        </w:rPr>
        <w:t>инфраструктуры.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Б</w:t>
      </w:r>
      <w:r w:rsidR="0028492B" w:rsidRPr="00B72D6E">
        <w:rPr>
          <w:rFonts w:cs="Times New Roman"/>
          <w:sz w:val="24"/>
          <w:szCs w:val="24"/>
        </w:rPr>
        <w:t>ольшое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евразийское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партнерство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(БЕП)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должно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стать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рамочной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систем</w:t>
      </w:r>
      <w:r w:rsidR="00C03A99" w:rsidRPr="00B72D6E">
        <w:rPr>
          <w:rFonts w:cs="Times New Roman"/>
          <w:sz w:val="24"/>
          <w:szCs w:val="24"/>
        </w:rPr>
        <w:t>ой,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объединяющей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существующие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интеграционные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объединения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региона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Евразии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целью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формирования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не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только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единого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экономического</w:t>
      </w:r>
      <w:r w:rsidR="00A8254B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но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геополитического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пространства</w:t>
      </w:r>
      <w:r w:rsidR="0028492B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Принципиально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важным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подходом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концепции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многоформатного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партнерства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является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противопоставление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предлагаемой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полицентричной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модели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равноправного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взаимодействия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западноцентричной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иерархической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модели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глобализации.</w:t>
      </w:r>
    </w:p>
    <w:p w:rsidR="00E20340" w:rsidRPr="00B72D6E" w:rsidRDefault="00DA3C64" w:rsidP="00B72D6E">
      <w:pPr>
        <w:rPr>
          <w:rFonts w:cs="Times New Roman"/>
          <w:sz w:val="24"/>
          <w:szCs w:val="24"/>
          <w:lang w:eastAsia="ru-RU"/>
        </w:rPr>
      </w:pPr>
      <w:r w:rsidRPr="00B72D6E">
        <w:rPr>
          <w:rFonts w:cs="Times New Roman"/>
          <w:sz w:val="24"/>
          <w:szCs w:val="24"/>
        </w:rPr>
        <w:t>Необходимо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учитывать,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данный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проект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предполагает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включе</w:t>
      </w:r>
      <w:r w:rsidRPr="00B72D6E">
        <w:rPr>
          <w:rFonts w:cs="Times New Roman"/>
          <w:sz w:val="24"/>
          <w:szCs w:val="24"/>
        </w:rPr>
        <w:t>ние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крупных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масштабам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экономик,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численности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населения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размеров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территорий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стран,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которые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составляю</w:t>
      </w:r>
      <w:r w:rsidRPr="00B72D6E">
        <w:rPr>
          <w:rFonts w:cs="Times New Roman"/>
          <w:sz w:val="24"/>
          <w:szCs w:val="24"/>
        </w:rPr>
        <w:t>т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значительную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долю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ВВП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мировой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экономики</w:t>
      </w:r>
      <w:r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региона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часто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сравнивают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«локомотивом»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мировой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экономики,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т.к.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некоторые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из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демонстрировали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положительные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темпы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даже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периоды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глубоких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мировых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потрясений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(мировой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кризис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2008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г.,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пандемия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коронавируса)</w:t>
      </w:r>
      <w:r w:rsidR="00A8254B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Такие</w:t>
      </w:r>
      <w:r w:rsidR="00B72D6E">
        <w:rPr>
          <w:rFonts w:cs="Times New Roman"/>
          <w:sz w:val="24"/>
          <w:szCs w:val="24"/>
        </w:rPr>
        <w:t xml:space="preserve"> </w:t>
      </w:r>
      <w:r w:rsidR="00C25283"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="00C25283" w:rsidRPr="00B72D6E">
        <w:rPr>
          <w:rFonts w:cs="Times New Roman"/>
          <w:sz w:val="24"/>
          <w:szCs w:val="24"/>
        </w:rPr>
        <w:t>имеют</w:t>
      </w:r>
      <w:r w:rsidR="00B72D6E">
        <w:rPr>
          <w:rFonts w:cs="Times New Roman"/>
          <w:sz w:val="24"/>
          <w:szCs w:val="24"/>
        </w:rPr>
        <w:t xml:space="preserve"> </w:t>
      </w:r>
      <w:r w:rsidR="00C25283" w:rsidRPr="00B72D6E">
        <w:rPr>
          <w:rFonts w:cs="Times New Roman"/>
          <w:sz w:val="24"/>
          <w:szCs w:val="24"/>
        </w:rPr>
        <w:t>высокий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потенциал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еще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более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тесного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регионального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. </w:t>
      </w:r>
      <w:r w:rsidR="00FF2060" w:rsidRPr="00B72D6E">
        <w:rPr>
          <w:rFonts w:cs="Times New Roman"/>
          <w:sz w:val="24"/>
          <w:szCs w:val="24"/>
        </w:rPr>
        <w:t>Углубление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промышленной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кооперации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рамках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международного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партнерства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должно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предполагат</w:t>
      </w:r>
      <w:r w:rsidR="00D62671" w:rsidRPr="00B72D6E">
        <w:rPr>
          <w:rFonts w:cs="Times New Roman"/>
          <w:sz w:val="24"/>
          <w:szCs w:val="24"/>
        </w:rPr>
        <w:t>ь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создание</w:t>
      </w:r>
      <w:r w:rsidR="00B72D6E">
        <w:rPr>
          <w:rFonts w:cs="Times New Roman"/>
          <w:sz w:val="24"/>
          <w:szCs w:val="24"/>
        </w:rPr>
        <w:t xml:space="preserve"> </w:t>
      </w:r>
      <w:r w:rsidR="00112AD1" w:rsidRPr="00B72D6E">
        <w:rPr>
          <w:rFonts w:cs="Times New Roman"/>
          <w:sz w:val="24"/>
          <w:szCs w:val="24"/>
        </w:rPr>
        <w:t>региональны</w:t>
      </w:r>
      <w:r w:rsidR="00D62671" w:rsidRPr="00B72D6E">
        <w:rPr>
          <w:rFonts w:cs="Times New Roman"/>
          <w:sz w:val="24"/>
          <w:szCs w:val="24"/>
        </w:rPr>
        <w:t>х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цепочек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формирования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стоимости,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также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совместную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работу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над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выходом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внешни</w:t>
      </w:r>
      <w:r w:rsidR="00A8254B"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рынк</w:t>
      </w:r>
      <w:r w:rsidR="00A8254B" w:rsidRPr="00B72D6E">
        <w:rPr>
          <w:rFonts w:cs="Times New Roman"/>
          <w:sz w:val="24"/>
          <w:szCs w:val="24"/>
        </w:rPr>
        <w:t>и.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Обострение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международной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конкурентной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борьбы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выход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конкуренции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новый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технологический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уровень</w:t>
      </w:r>
      <w:r w:rsidR="00B72D6E">
        <w:rPr>
          <w:rFonts w:cs="Times New Roman"/>
          <w:sz w:val="24"/>
          <w:szCs w:val="24"/>
        </w:rPr>
        <w:t xml:space="preserve"> </w:t>
      </w:r>
      <w:r w:rsidR="00A8254B" w:rsidRPr="00B72D6E">
        <w:rPr>
          <w:rFonts w:cs="Times New Roman"/>
          <w:sz w:val="24"/>
          <w:szCs w:val="24"/>
        </w:rPr>
        <w:t>стимулирует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заинтересованность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участников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2E5C0A" w:rsidRPr="00B72D6E">
        <w:rPr>
          <w:rFonts w:cs="Times New Roman"/>
          <w:sz w:val="24"/>
          <w:szCs w:val="24"/>
        </w:rPr>
        <w:t>интеграции</w:t>
      </w:r>
      <w:r w:rsidR="00B72D6E">
        <w:rPr>
          <w:rFonts w:cs="Times New Roman"/>
          <w:sz w:val="24"/>
          <w:szCs w:val="24"/>
        </w:rPr>
        <w:t xml:space="preserve"> </w:t>
      </w:r>
      <w:r w:rsidR="002E5C0A" w:rsidRPr="00B72D6E">
        <w:rPr>
          <w:rFonts w:cs="Times New Roman"/>
          <w:sz w:val="24"/>
          <w:szCs w:val="24"/>
        </w:rPr>
        <w:t>сфер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инновационно</w:t>
      </w:r>
      <w:r w:rsidR="002E5C0A" w:rsidRPr="00B72D6E">
        <w:rPr>
          <w:rFonts w:cs="Times New Roman"/>
          <w:sz w:val="24"/>
          <w:szCs w:val="24"/>
        </w:rPr>
        <w:t>го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сотрудничеств</w:t>
      </w:r>
      <w:r w:rsidR="002E5C0A" w:rsidRPr="00B72D6E">
        <w:rPr>
          <w:rFonts w:cs="Times New Roman"/>
          <w:sz w:val="24"/>
          <w:szCs w:val="24"/>
        </w:rPr>
        <w:t>а,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цифровизаци</w:t>
      </w:r>
      <w:r w:rsidR="002E5C0A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промышленности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други</w:t>
      </w:r>
      <w:r w:rsidR="002E5C0A" w:rsidRPr="00B72D6E">
        <w:rPr>
          <w:rFonts w:cs="Times New Roman"/>
          <w:sz w:val="24"/>
          <w:szCs w:val="24"/>
        </w:rPr>
        <w:t>х</w:t>
      </w:r>
      <w:r w:rsidR="00B72D6E">
        <w:rPr>
          <w:rFonts w:cs="Times New Roman"/>
          <w:sz w:val="24"/>
          <w:szCs w:val="24"/>
        </w:rPr>
        <w:t xml:space="preserve"> </w:t>
      </w:r>
      <w:r w:rsidR="002E5C0A" w:rsidRPr="00B72D6E">
        <w:rPr>
          <w:rFonts w:cs="Times New Roman"/>
          <w:sz w:val="24"/>
          <w:szCs w:val="24"/>
        </w:rPr>
        <w:t>современных</w:t>
      </w:r>
      <w:r w:rsidR="00B72D6E">
        <w:rPr>
          <w:rFonts w:cs="Times New Roman"/>
          <w:sz w:val="24"/>
          <w:szCs w:val="24"/>
        </w:rPr>
        <w:t xml:space="preserve"> </w:t>
      </w:r>
      <w:r w:rsidR="00FF2060" w:rsidRPr="00B72D6E">
        <w:rPr>
          <w:rFonts w:cs="Times New Roman"/>
          <w:sz w:val="24"/>
          <w:szCs w:val="24"/>
        </w:rPr>
        <w:t>направления</w:t>
      </w:r>
      <w:r w:rsidR="002E5C0A" w:rsidRPr="00B72D6E">
        <w:rPr>
          <w:rFonts w:cs="Times New Roman"/>
          <w:sz w:val="24"/>
          <w:szCs w:val="24"/>
        </w:rPr>
        <w:t>х</w:t>
      </w:r>
      <w:r w:rsidR="00FF2060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Расширение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регионального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международного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партнерства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требует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активного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быстрого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инфраструктуры</w:t>
      </w:r>
      <w:r w:rsidR="00B72D6E">
        <w:rPr>
          <w:rFonts w:cs="Times New Roman"/>
          <w:sz w:val="24"/>
          <w:szCs w:val="24"/>
        </w:rPr>
        <w:t xml:space="preserve"> – </w:t>
      </w:r>
      <w:r w:rsidR="00C03A99" w:rsidRPr="00B72D6E">
        <w:rPr>
          <w:rFonts w:cs="Times New Roman"/>
          <w:sz w:val="24"/>
          <w:szCs w:val="24"/>
        </w:rPr>
        <w:t>создание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единого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евразийского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транспортного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пространства</w:t>
      </w:r>
      <w:r w:rsidR="00E20340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взаимоувязанных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транспортных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коридоров</w:t>
      </w:r>
      <w:r w:rsidR="003D3F74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3D3F74" w:rsidRPr="00B72D6E">
        <w:rPr>
          <w:rFonts w:cs="Times New Roman"/>
          <w:sz w:val="24"/>
          <w:szCs w:val="24"/>
        </w:rPr>
        <w:t>логистических</w:t>
      </w:r>
      <w:r w:rsidR="00B72D6E">
        <w:rPr>
          <w:rFonts w:cs="Times New Roman"/>
          <w:sz w:val="24"/>
          <w:szCs w:val="24"/>
        </w:rPr>
        <w:t xml:space="preserve"> </w:t>
      </w:r>
      <w:r w:rsidR="003D3F74" w:rsidRPr="00B72D6E">
        <w:rPr>
          <w:rFonts w:cs="Times New Roman"/>
          <w:sz w:val="24"/>
          <w:szCs w:val="24"/>
        </w:rPr>
        <w:t>хабов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является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ключевым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элементом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партнёрства,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обеспечивающим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связь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регионами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усиливающим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возможности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торговли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E20340" w:rsidRPr="00B72D6E">
        <w:rPr>
          <w:rFonts w:cs="Times New Roman"/>
          <w:sz w:val="24"/>
          <w:szCs w:val="24"/>
        </w:rPr>
        <w:t>соответственно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интеграци</w:t>
      </w:r>
      <w:r w:rsidR="00E20340" w:rsidRPr="00B72D6E">
        <w:rPr>
          <w:rFonts w:cs="Times New Roman"/>
          <w:sz w:val="24"/>
          <w:szCs w:val="24"/>
        </w:rPr>
        <w:t>и.</w:t>
      </w:r>
      <w:r w:rsidR="00B72D6E">
        <w:rPr>
          <w:rFonts w:cs="Times New Roman"/>
          <w:sz w:val="24"/>
          <w:szCs w:val="24"/>
        </w:rPr>
        <w:t xml:space="preserve"> </w:t>
      </w:r>
    </w:p>
    <w:p w:rsidR="00D45A20" w:rsidRPr="00B72D6E" w:rsidRDefault="00E20340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Особое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внимание</w:t>
      </w:r>
      <w:r w:rsidR="00B72D6E">
        <w:rPr>
          <w:rFonts w:cs="Times New Roman"/>
          <w:sz w:val="24"/>
          <w:szCs w:val="24"/>
        </w:rPr>
        <w:t xml:space="preserve"> </w:t>
      </w:r>
      <w:r w:rsidR="0069521A" w:rsidRPr="00B72D6E">
        <w:rPr>
          <w:rFonts w:cs="Times New Roman"/>
          <w:sz w:val="24"/>
          <w:szCs w:val="24"/>
        </w:rPr>
        <w:t>следует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удел</w:t>
      </w:r>
      <w:r w:rsidR="0069521A" w:rsidRPr="00B72D6E">
        <w:rPr>
          <w:rFonts w:cs="Times New Roman"/>
          <w:sz w:val="24"/>
          <w:szCs w:val="24"/>
        </w:rPr>
        <w:t>и</w:t>
      </w:r>
      <w:r w:rsidRPr="00B72D6E">
        <w:rPr>
          <w:rFonts w:cs="Times New Roman"/>
          <w:sz w:val="24"/>
          <w:szCs w:val="24"/>
        </w:rPr>
        <w:t>т</w:t>
      </w:r>
      <w:r w:rsidR="0069521A" w:rsidRPr="00B72D6E">
        <w:rPr>
          <w:rFonts w:cs="Times New Roman"/>
          <w:sz w:val="24"/>
          <w:szCs w:val="24"/>
        </w:rPr>
        <w:t>ь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направлению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расширения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укреплени</w:t>
      </w:r>
      <w:r w:rsidRPr="00B72D6E">
        <w:rPr>
          <w:rFonts w:cs="Times New Roman"/>
          <w:sz w:val="24"/>
          <w:szCs w:val="24"/>
        </w:rPr>
        <w:t>я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связей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750C86" w:rsidRPr="00B72D6E">
        <w:rPr>
          <w:rFonts w:cs="Times New Roman"/>
          <w:sz w:val="24"/>
          <w:szCs w:val="24"/>
        </w:rPr>
        <w:t>данном</w:t>
      </w:r>
      <w:r w:rsidR="00B72D6E">
        <w:rPr>
          <w:rFonts w:cs="Times New Roman"/>
          <w:sz w:val="24"/>
          <w:szCs w:val="24"/>
        </w:rPr>
        <w:t xml:space="preserve"> </w:t>
      </w:r>
      <w:r w:rsidR="00750C86" w:rsidRPr="00B72D6E">
        <w:rPr>
          <w:rFonts w:cs="Times New Roman"/>
          <w:sz w:val="24"/>
          <w:szCs w:val="24"/>
        </w:rPr>
        <w:t>р</w:t>
      </w:r>
      <w:r w:rsidRPr="00B72D6E">
        <w:rPr>
          <w:rFonts w:cs="Times New Roman"/>
          <w:sz w:val="24"/>
          <w:szCs w:val="24"/>
        </w:rPr>
        <w:t>егионе</w:t>
      </w:r>
      <w:r w:rsidR="00D62671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Т</w:t>
      </w:r>
      <w:r w:rsidRPr="00B72D6E">
        <w:rPr>
          <w:rFonts w:cs="Times New Roman"/>
          <w:sz w:val="24"/>
          <w:szCs w:val="24"/>
        </w:rPr>
        <w:t>акое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партнерство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нацелено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объемов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внутрирегиональных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товарных</w:t>
      </w:r>
      <w:r w:rsidR="00B72D6E">
        <w:rPr>
          <w:rFonts w:cs="Times New Roman"/>
          <w:sz w:val="24"/>
          <w:szCs w:val="24"/>
        </w:rPr>
        <w:t xml:space="preserve"> </w:t>
      </w:r>
      <w:r w:rsidR="00D62671" w:rsidRPr="00B72D6E">
        <w:rPr>
          <w:rFonts w:cs="Times New Roman"/>
          <w:sz w:val="24"/>
          <w:szCs w:val="24"/>
        </w:rPr>
        <w:t>потоков</w:t>
      </w:r>
      <w:r w:rsidR="00C03A99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F17996"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="00F17996" w:rsidRPr="00B72D6E">
        <w:rPr>
          <w:rFonts w:cs="Times New Roman"/>
          <w:sz w:val="24"/>
          <w:szCs w:val="24"/>
        </w:rPr>
        <w:t>должно</w:t>
      </w:r>
      <w:r w:rsidR="00B72D6E">
        <w:rPr>
          <w:rFonts w:cs="Times New Roman"/>
          <w:sz w:val="24"/>
          <w:szCs w:val="24"/>
        </w:rPr>
        <w:t xml:space="preserve"> </w:t>
      </w:r>
      <w:r w:rsidR="00F17996" w:rsidRPr="00B72D6E">
        <w:rPr>
          <w:rFonts w:cs="Times New Roman"/>
          <w:sz w:val="24"/>
          <w:szCs w:val="24"/>
        </w:rPr>
        <w:t>подкрепляться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развитие</w:t>
      </w:r>
      <w:r w:rsidR="00F17996" w:rsidRPr="00B72D6E">
        <w:rPr>
          <w:rFonts w:cs="Times New Roman"/>
          <w:sz w:val="24"/>
          <w:szCs w:val="24"/>
        </w:rPr>
        <w:t>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региональной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платежной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системы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(альтернативной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СВИФТ),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снижени</w:t>
      </w:r>
      <w:r w:rsidRPr="00B72D6E">
        <w:rPr>
          <w:rFonts w:cs="Times New Roman"/>
          <w:sz w:val="24"/>
          <w:szCs w:val="24"/>
        </w:rPr>
        <w:t>е</w:t>
      </w:r>
      <w:r w:rsidR="00F17996" w:rsidRPr="00B72D6E">
        <w:rPr>
          <w:rFonts w:cs="Times New Roman"/>
          <w:sz w:val="24"/>
          <w:szCs w:val="24"/>
        </w:rPr>
        <w:t>м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зависимости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от</w:t>
      </w:r>
      <w:r w:rsidR="00B72D6E">
        <w:rPr>
          <w:rFonts w:cs="Times New Roman"/>
          <w:sz w:val="24"/>
          <w:szCs w:val="24"/>
        </w:rPr>
        <w:t xml:space="preserve"> </w:t>
      </w:r>
      <w:r w:rsidR="00C03A99" w:rsidRPr="00B72D6E">
        <w:rPr>
          <w:rFonts w:cs="Times New Roman"/>
          <w:sz w:val="24"/>
          <w:szCs w:val="24"/>
        </w:rPr>
        <w:t>доллара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международных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финансовых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операциях</w:t>
      </w:r>
      <w:r w:rsidR="00B72D6E">
        <w:rPr>
          <w:rFonts w:cs="Times New Roman"/>
          <w:sz w:val="24"/>
          <w:szCs w:val="24"/>
        </w:rPr>
        <w:t xml:space="preserve"> </w:t>
      </w:r>
      <w:r w:rsidR="005B206B" w:rsidRPr="00B72D6E">
        <w:rPr>
          <w:rFonts w:cs="Times New Roman"/>
          <w:sz w:val="24"/>
          <w:szCs w:val="24"/>
        </w:rPr>
        <w:t>интегрирующихся</w:t>
      </w:r>
      <w:r w:rsidR="00B72D6E">
        <w:rPr>
          <w:rFonts w:cs="Times New Roman"/>
          <w:sz w:val="24"/>
          <w:szCs w:val="24"/>
        </w:rPr>
        <w:t xml:space="preserve"> </w:t>
      </w:r>
      <w:r w:rsidR="005B206B" w:rsidRPr="00B72D6E">
        <w:rPr>
          <w:rFonts w:cs="Times New Roman"/>
          <w:sz w:val="24"/>
          <w:szCs w:val="24"/>
        </w:rPr>
        <w:t>субъектов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региона.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настоящее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время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регионе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уровень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внутрирегиональной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торговли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существенно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ниже,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чем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Западной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Европе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Северной</w:t>
      </w:r>
      <w:r w:rsidR="00B72D6E">
        <w:rPr>
          <w:rFonts w:cs="Times New Roman"/>
          <w:sz w:val="24"/>
          <w:szCs w:val="24"/>
        </w:rPr>
        <w:t xml:space="preserve"> </w:t>
      </w:r>
      <w:r w:rsidR="00D45A20" w:rsidRPr="00B72D6E">
        <w:rPr>
          <w:rFonts w:cs="Times New Roman"/>
          <w:sz w:val="24"/>
          <w:szCs w:val="24"/>
        </w:rPr>
        <w:t>Америке</w:t>
      </w:r>
      <w:r w:rsidR="00750C86" w:rsidRPr="00B72D6E">
        <w:rPr>
          <w:rFonts w:cs="Times New Roman"/>
          <w:sz w:val="24"/>
          <w:szCs w:val="24"/>
        </w:rPr>
        <w:t>.</w:t>
      </w:r>
    </w:p>
    <w:p w:rsidR="002C6C4F" w:rsidRPr="00B72D6E" w:rsidRDefault="002C6C4F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пока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еще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очень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длительной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истории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можно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выделить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два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периода</w:t>
      </w:r>
      <w:r w:rsidR="00997B3E" w:rsidRPr="00B72D6E">
        <w:rPr>
          <w:rFonts w:cs="Times New Roman"/>
          <w:sz w:val="24"/>
          <w:szCs w:val="24"/>
        </w:rPr>
        <w:t>: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до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активного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роста</w:t>
      </w:r>
      <w:r w:rsidR="00B72D6E">
        <w:rPr>
          <w:rFonts w:cs="Times New Roman"/>
          <w:sz w:val="24"/>
          <w:szCs w:val="24"/>
        </w:rPr>
        <w:t xml:space="preserve"> </w:t>
      </w:r>
      <w:r w:rsidR="00997B3E" w:rsidRPr="00B72D6E">
        <w:rPr>
          <w:rFonts w:cs="Times New Roman"/>
          <w:sz w:val="24"/>
          <w:szCs w:val="24"/>
        </w:rPr>
        <w:t>пакетов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антироссийских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санкций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после.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Данный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фактор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является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значим</w:t>
      </w:r>
      <w:r w:rsidR="00F036AE" w:rsidRPr="00B72D6E">
        <w:rPr>
          <w:rFonts w:cs="Times New Roman"/>
          <w:sz w:val="24"/>
          <w:szCs w:val="24"/>
        </w:rPr>
        <w:t>ым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экономической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интеграции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стран-членов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ЕАЭС,</w:t>
      </w:r>
      <w:r w:rsidR="00B72D6E">
        <w:rPr>
          <w:rFonts w:cs="Times New Roman"/>
          <w:sz w:val="24"/>
          <w:szCs w:val="24"/>
        </w:rPr>
        <w:t xml:space="preserve"> </w:t>
      </w:r>
      <w:r w:rsidR="006B6F19" w:rsidRPr="00B72D6E">
        <w:rPr>
          <w:rFonts w:cs="Times New Roman"/>
          <w:sz w:val="24"/>
          <w:szCs w:val="24"/>
        </w:rPr>
        <w:t>ведь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практически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всем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показателям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Россию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приходится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основная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доля: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ВВП</w:t>
      </w:r>
      <w:r w:rsidR="00B72D6E">
        <w:rPr>
          <w:rFonts w:cs="Times New Roman"/>
          <w:sz w:val="24"/>
          <w:szCs w:val="24"/>
        </w:rPr>
        <w:t xml:space="preserve"> </w:t>
      </w:r>
      <w:r w:rsidR="0028492B" w:rsidRPr="00B72D6E">
        <w:rPr>
          <w:rFonts w:cs="Times New Roman"/>
          <w:sz w:val="24"/>
          <w:szCs w:val="24"/>
        </w:rPr>
        <w:t>С</w:t>
      </w:r>
      <w:r w:rsidR="00F036AE" w:rsidRPr="00B72D6E">
        <w:rPr>
          <w:rFonts w:cs="Times New Roman"/>
          <w:sz w:val="24"/>
          <w:szCs w:val="24"/>
        </w:rPr>
        <w:t>оюза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доля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РФ</w:t>
      </w:r>
      <w:r w:rsidR="00B72D6E">
        <w:rPr>
          <w:rFonts w:cs="Times New Roman"/>
          <w:sz w:val="24"/>
          <w:szCs w:val="24"/>
        </w:rPr>
        <w:t xml:space="preserve"> </w:t>
      </w:r>
      <w:r w:rsidR="00997B3E" w:rsidRPr="00B72D6E">
        <w:rPr>
          <w:rFonts w:cs="Times New Roman"/>
          <w:sz w:val="24"/>
          <w:szCs w:val="24"/>
        </w:rPr>
        <w:t>84</w:t>
      </w:r>
      <w:r w:rsidR="007E7518">
        <w:rPr>
          <w:rFonts w:cs="Times New Roman"/>
          <w:sz w:val="24"/>
          <w:szCs w:val="24"/>
        </w:rPr>
        <w:t>%</w:t>
      </w:r>
      <w:r w:rsidR="00F036AE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торговом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обороте</w:t>
      </w:r>
      <w:r w:rsidR="00B72D6E">
        <w:rPr>
          <w:rFonts w:cs="Times New Roman"/>
          <w:sz w:val="24"/>
          <w:szCs w:val="24"/>
        </w:rPr>
        <w:t xml:space="preserve"> </w:t>
      </w:r>
      <w:r w:rsidR="00E83594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E83594" w:rsidRPr="00B72D6E">
        <w:rPr>
          <w:rFonts w:cs="Times New Roman"/>
          <w:sz w:val="24"/>
          <w:szCs w:val="24"/>
        </w:rPr>
        <w:t>63,5</w:t>
      </w:r>
      <w:r w:rsidR="007E7518">
        <w:rPr>
          <w:rFonts w:cs="Times New Roman"/>
          <w:sz w:val="24"/>
          <w:szCs w:val="24"/>
        </w:rPr>
        <w:t>%</w:t>
      </w:r>
      <w:r w:rsidR="00F036AE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движении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капитала</w:t>
      </w:r>
      <w:r w:rsidR="00B72D6E">
        <w:rPr>
          <w:rFonts w:cs="Times New Roman"/>
          <w:sz w:val="24"/>
          <w:szCs w:val="24"/>
        </w:rPr>
        <w:t xml:space="preserve"> </w:t>
      </w:r>
      <w:r w:rsidR="00E83594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E83594" w:rsidRPr="00B72D6E">
        <w:rPr>
          <w:rFonts w:cs="Times New Roman"/>
          <w:sz w:val="24"/>
          <w:szCs w:val="24"/>
        </w:rPr>
        <w:t>около</w:t>
      </w:r>
      <w:r w:rsidR="00B72D6E">
        <w:rPr>
          <w:rFonts w:cs="Times New Roman"/>
          <w:sz w:val="24"/>
          <w:szCs w:val="24"/>
        </w:rPr>
        <w:t xml:space="preserve"> </w:t>
      </w:r>
      <w:r w:rsidR="00E83594" w:rsidRPr="00B72D6E">
        <w:rPr>
          <w:rFonts w:cs="Times New Roman"/>
          <w:sz w:val="24"/>
          <w:szCs w:val="24"/>
        </w:rPr>
        <w:t>80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др.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Беспрецедентные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ограничения</w:t>
      </w:r>
      <w:r w:rsidR="00377621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предпринятые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странами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Запада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особенно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2022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отношении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России</w:t>
      </w:r>
      <w:r w:rsidR="00F036AE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способствовали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переориентирова</w:t>
      </w:r>
      <w:r w:rsidR="00377621" w:rsidRPr="00B72D6E">
        <w:rPr>
          <w:rFonts w:cs="Times New Roman"/>
          <w:sz w:val="24"/>
          <w:szCs w:val="24"/>
        </w:rPr>
        <w:t>нию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внешнеэкономически</w:t>
      </w:r>
      <w:r w:rsidR="00377621" w:rsidRPr="00B72D6E">
        <w:rPr>
          <w:rFonts w:cs="Times New Roman"/>
          <w:sz w:val="24"/>
          <w:szCs w:val="24"/>
        </w:rPr>
        <w:t>х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связ</w:t>
      </w:r>
      <w:r w:rsidR="00377621" w:rsidRPr="00B72D6E">
        <w:rPr>
          <w:rFonts w:cs="Times New Roman"/>
          <w:sz w:val="24"/>
          <w:szCs w:val="24"/>
        </w:rPr>
        <w:t>ей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не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только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азиатск</w:t>
      </w:r>
      <w:r w:rsidR="00377621" w:rsidRPr="00B72D6E">
        <w:rPr>
          <w:rFonts w:cs="Times New Roman"/>
          <w:sz w:val="24"/>
          <w:szCs w:val="24"/>
        </w:rPr>
        <w:t>ом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направлении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(прежде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всего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КНР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Индию</w:t>
      </w:r>
      <w:r w:rsidR="00F036AE" w:rsidRPr="00B72D6E">
        <w:rPr>
          <w:rFonts w:cs="Times New Roman"/>
          <w:sz w:val="24"/>
          <w:szCs w:val="24"/>
        </w:rPr>
        <w:t>),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но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расширение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отношений</w:t>
      </w:r>
      <w:r w:rsidR="00B72D6E">
        <w:rPr>
          <w:rFonts w:cs="Times New Roman"/>
          <w:sz w:val="24"/>
          <w:szCs w:val="24"/>
        </w:rPr>
        <w:t xml:space="preserve"> </w:t>
      </w:r>
      <w:r w:rsidR="0037762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региональных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интеграционных</w:t>
      </w:r>
      <w:r w:rsidR="00B72D6E">
        <w:rPr>
          <w:rFonts w:cs="Times New Roman"/>
          <w:sz w:val="24"/>
          <w:szCs w:val="24"/>
        </w:rPr>
        <w:t xml:space="preserve"> </w:t>
      </w:r>
      <w:r w:rsidR="00F036AE" w:rsidRPr="00B72D6E">
        <w:rPr>
          <w:rFonts w:cs="Times New Roman"/>
          <w:sz w:val="24"/>
          <w:szCs w:val="24"/>
        </w:rPr>
        <w:t>процесс</w:t>
      </w:r>
      <w:r w:rsidR="00377621" w:rsidRPr="00B72D6E">
        <w:rPr>
          <w:rFonts w:cs="Times New Roman"/>
          <w:sz w:val="24"/>
          <w:szCs w:val="24"/>
        </w:rPr>
        <w:t>ах</w:t>
      </w:r>
      <w:r w:rsidR="00F036AE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Усиление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региональной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экономической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интеграции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образование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Евразийского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экономического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союза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реализовано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1.01.2015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соответствии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Договором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от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29.05.2014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г.,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то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время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первы</w:t>
      </w:r>
      <w:r w:rsidR="00805573"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антироссийски</w:t>
      </w:r>
      <w:r w:rsidR="00805573"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санкци</w:t>
      </w:r>
      <w:r w:rsidR="00805573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был</w:t>
      </w:r>
      <w:r w:rsidR="00805573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пр</w:t>
      </w:r>
      <w:r w:rsidR="00805573" w:rsidRPr="00B72D6E">
        <w:rPr>
          <w:rFonts w:cs="Times New Roman"/>
          <w:sz w:val="24"/>
          <w:szCs w:val="24"/>
        </w:rPr>
        <w:t>едпр</w:t>
      </w:r>
      <w:r w:rsidR="00F73113" w:rsidRPr="00B72D6E">
        <w:rPr>
          <w:rFonts w:cs="Times New Roman"/>
          <w:sz w:val="24"/>
          <w:szCs w:val="24"/>
        </w:rPr>
        <w:t>инят</w:t>
      </w:r>
      <w:r w:rsidR="00805573" w:rsidRPr="00B72D6E">
        <w:rPr>
          <w:rFonts w:cs="Times New Roman"/>
          <w:sz w:val="24"/>
          <w:szCs w:val="24"/>
        </w:rPr>
        <w:t>ы</w:t>
      </w:r>
      <w:r w:rsidR="00B72D6E">
        <w:rPr>
          <w:rFonts w:cs="Times New Roman"/>
          <w:sz w:val="24"/>
          <w:szCs w:val="24"/>
        </w:rPr>
        <w:t xml:space="preserve"> </w:t>
      </w:r>
      <w:r w:rsidR="00805573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805573" w:rsidRPr="00B72D6E">
        <w:rPr>
          <w:rFonts w:cs="Times New Roman"/>
          <w:sz w:val="24"/>
          <w:szCs w:val="24"/>
        </w:rPr>
        <w:t>18</w:t>
      </w:r>
      <w:r w:rsidR="00B72D6E">
        <w:rPr>
          <w:rFonts w:cs="Times New Roman"/>
          <w:sz w:val="24"/>
          <w:szCs w:val="24"/>
        </w:rPr>
        <w:t xml:space="preserve"> </w:t>
      </w:r>
      <w:r w:rsidR="002C29C1" w:rsidRPr="00B72D6E">
        <w:rPr>
          <w:rFonts w:cs="Times New Roman"/>
          <w:sz w:val="24"/>
          <w:szCs w:val="24"/>
        </w:rPr>
        <w:t>март</w:t>
      </w:r>
      <w:r w:rsidR="00805573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2014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ответ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присоединение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Крыма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к</w:t>
      </w:r>
      <w:r w:rsidR="00B72D6E">
        <w:rPr>
          <w:rFonts w:cs="Times New Roman"/>
          <w:sz w:val="24"/>
          <w:szCs w:val="24"/>
        </w:rPr>
        <w:t xml:space="preserve"> </w:t>
      </w:r>
      <w:r w:rsidR="00F73113" w:rsidRPr="00B72D6E">
        <w:rPr>
          <w:rFonts w:cs="Times New Roman"/>
          <w:sz w:val="24"/>
          <w:szCs w:val="24"/>
        </w:rPr>
        <w:t>России.</w:t>
      </w:r>
      <w:r w:rsidR="00B72D6E">
        <w:rPr>
          <w:rFonts w:cs="Times New Roman"/>
          <w:sz w:val="24"/>
          <w:szCs w:val="24"/>
        </w:rPr>
        <w:t xml:space="preserve"> </w:t>
      </w:r>
    </w:p>
    <w:p w:rsidR="00172F47" w:rsidRPr="00B72D6E" w:rsidRDefault="00172F47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настоящему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времени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достиг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определенных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успехов</w:t>
      </w:r>
      <w:r w:rsidR="00B72D6E">
        <w:rPr>
          <w:rFonts w:cs="Times New Roman"/>
          <w:sz w:val="24"/>
          <w:szCs w:val="24"/>
        </w:rPr>
        <w:t xml:space="preserve"> в своем </w:t>
      </w:r>
      <w:r w:rsidRPr="00B72D6E">
        <w:rPr>
          <w:rFonts w:cs="Times New Roman"/>
          <w:sz w:val="24"/>
          <w:szCs w:val="24"/>
        </w:rPr>
        <w:t>развити</w:t>
      </w:r>
      <w:r w:rsidR="00B72D6E">
        <w:rPr>
          <w:rFonts w:cs="Times New Roman"/>
          <w:sz w:val="24"/>
          <w:szCs w:val="24"/>
        </w:rPr>
        <w:t xml:space="preserve">и </w:t>
      </w:r>
      <w:r w:rsidR="00D63541" w:rsidRPr="00B72D6E">
        <w:rPr>
          <w:rFonts w:cs="Times New Roman"/>
          <w:sz w:val="24"/>
          <w:szCs w:val="24"/>
        </w:rPr>
        <w:t>несмотря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очень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сложную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внешнеполитическую</w:t>
      </w:r>
      <w:r w:rsidR="00B72D6E">
        <w:rPr>
          <w:rFonts w:cs="Times New Roman"/>
          <w:sz w:val="24"/>
          <w:szCs w:val="24"/>
        </w:rPr>
        <w:t xml:space="preserve"> </w:t>
      </w:r>
      <w:r w:rsidR="00D63541" w:rsidRPr="00B72D6E">
        <w:rPr>
          <w:rFonts w:cs="Times New Roman"/>
          <w:sz w:val="24"/>
          <w:szCs w:val="24"/>
        </w:rPr>
        <w:t>обстановку</w:t>
      </w:r>
      <w:r w:rsidR="00EC55C3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Несмотря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растущи</w:t>
      </w:r>
      <w:r w:rsidR="002E37B7"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пакет</w:t>
      </w:r>
      <w:r w:rsidR="002E37B7" w:rsidRPr="00B72D6E">
        <w:rPr>
          <w:rFonts w:cs="Times New Roman"/>
          <w:sz w:val="24"/>
          <w:szCs w:val="24"/>
        </w:rPr>
        <w:t>ы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санкций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против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основного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участника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России,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Евразийский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союз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итогам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2023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обогнал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ЕС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темпам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экономического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роста: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3,8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против</w:t>
      </w:r>
      <w:r w:rsidR="00B72D6E">
        <w:rPr>
          <w:rFonts w:cs="Times New Roman"/>
          <w:sz w:val="24"/>
          <w:szCs w:val="24"/>
        </w:rPr>
        <w:t xml:space="preserve"> </w:t>
      </w:r>
      <w:r w:rsidR="00EC55C3" w:rsidRPr="00B72D6E">
        <w:rPr>
          <w:rFonts w:cs="Times New Roman"/>
          <w:sz w:val="24"/>
          <w:szCs w:val="24"/>
        </w:rPr>
        <w:t>0,</w:t>
      </w:r>
      <w:r w:rsidR="00AF7F9D" w:rsidRPr="00B72D6E">
        <w:rPr>
          <w:rFonts w:cs="Times New Roman"/>
          <w:sz w:val="24"/>
          <w:szCs w:val="24"/>
        </w:rPr>
        <w:t>4</w:t>
      </w:r>
      <w:r w:rsidR="007E7518">
        <w:rPr>
          <w:rFonts w:cs="Times New Roman"/>
          <w:sz w:val="24"/>
          <w:szCs w:val="24"/>
        </w:rPr>
        <w:t>%</w:t>
      </w:r>
      <w:r w:rsidR="002E37B7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также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итогам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2024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года: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4,4</w:t>
      </w:r>
      <w:r w:rsidR="002E37B7" w:rsidRPr="00B72D6E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против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0,9</w:t>
      </w:r>
      <w:r w:rsidR="007E7518">
        <w:rPr>
          <w:rFonts w:cs="Times New Roman"/>
          <w:sz w:val="24"/>
          <w:szCs w:val="24"/>
        </w:rPr>
        <w:t>%</w:t>
      </w:r>
      <w:r w:rsidR="00EC55C3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Успехи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подтверждаются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динамикой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основных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макроэкономических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показателей,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представленных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2E37B7" w:rsidRPr="00B72D6E">
        <w:rPr>
          <w:rFonts w:cs="Times New Roman"/>
          <w:sz w:val="24"/>
          <w:szCs w:val="24"/>
        </w:rPr>
        <w:t>табл</w:t>
      </w:r>
      <w:r w:rsidR="00B72D6E">
        <w:rPr>
          <w:rFonts w:cs="Times New Roman"/>
          <w:sz w:val="24"/>
          <w:szCs w:val="24"/>
        </w:rPr>
        <w:t xml:space="preserve">. </w:t>
      </w:r>
      <w:r w:rsidR="002E37B7" w:rsidRPr="00B72D6E">
        <w:rPr>
          <w:rFonts w:cs="Times New Roman"/>
          <w:sz w:val="24"/>
          <w:szCs w:val="24"/>
        </w:rPr>
        <w:t>1</w:t>
      </w:r>
      <w:r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</w:p>
    <w:p w:rsidR="00A050AB" w:rsidRPr="00B72D6E" w:rsidRDefault="00A050AB" w:rsidP="00B72D6E">
      <w:pPr>
        <w:jc w:val="right"/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Таблица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1</w:t>
      </w:r>
    </w:p>
    <w:p w:rsidR="00172F47" w:rsidRPr="00B72D6E" w:rsidRDefault="00172F47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Динамика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макроэкономического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2014</w:t>
      </w:r>
      <w:r w:rsidR="00B72D6E">
        <w:rPr>
          <w:rFonts w:cs="Times New Roman"/>
          <w:sz w:val="24"/>
          <w:szCs w:val="24"/>
        </w:rPr>
        <w:t xml:space="preserve"> </w:t>
      </w:r>
      <w:r w:rsidR="00A73D9D" w:rsidRPr="00B72D6E">
        <w:rPr>
          <w:rFonts w:cs="Times New Roman"/>
          <w:sz w:val="24"/>
          <w:szCs w:val="24"/>
        </w:rPr>
        <w:t>г.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</w:t>
      </w:r>
      <w:r w:rsidR="00A73D9D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(выборочно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годам)</w:t>
      </w:r>
      <w:r w:rsidR="003B1BC8" w:rsidRPr="00B72D6E">
        <w:rPr>
          <w:rFonts w:cs="Times New Roman"/>
          <w:sz w:val="24"/>
          <w:szCs w:val="24"/>
        </w:rPr>
        <w:t>*</w:t>
      </w:r>
    </w:p>
    <w:tbl>
      <w:tblPr>
        <w:tblStyle w:val="a6"/>
        <w:tblW w:w="0" w:type="auto"/>
        <w:jc w:val="center"/>
        <w:tblLook w:val="04A0"/>
      </w:tblPr>
      <w:tblGrid>
        <w:gridCol w:w="4731"/>
        <w:gridCol w:w="936"/>
        <w:gridCol w:w="849"/>
        <w:gridCol w:w="941"/>
        <w:gridCol w:w="1693"/>
      </w:tblGrid>
      <w:tr w:rsidR="00974917" w:rsidRPr="00B72D6E" w:rsidTr="00A050AB">
        <w:trPr>
          <w:jc w:val="center"/>
        </w:trPr>
        <w:tc>
          <w:tcPr>
            <w:tcW w:w="4731" w:type="dxa"/>
          </w:tcPr>
          <w:p w:rsidR="00172F47" w:rsidRPr="00B72D6E" w:rsidRDefault="00172F4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846" w:type="dxa"/>
          </w:tcPr>
          <w:p w:rsidR="00172F47" w:rsidRPr="00B72D6E" w:rsidRDefault="00172F4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2014</w:t>
            </w:r>
            <w:r w:rsidR="00250BF6" w:rsidRPr="00B72D6E">
              <w:rPr>
                <w:rFonts w:ascii="Times New Roman" w:hAnsi="Times New Roman"/>
              </w:rPr>
              <w:t>*</w:t>
            </w:r>
            <w:r w:rsidR="003B1BC8" w:rsidRPr="00B72D6E">
              <w:rPr>
                <w:rFonts w:ascii="Times New Roman" w:hAnsi="Times New Roman"/>
              </w:rPr>
              <w:t>*</w:t>
            </w:r>
          </w:p>
        </w:tc>
        <w:tc>
          <w:tcPr>
            <w:tcW w:w="849" w:type="dxa"/>
          </w:tcPr>
          <w:p w:rsidR="00172F47" w:rsidRPr="00B72D6E" w:rsidRDefault="00172F4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2020</w:t>
            </w:r>
          </w:p>
        </w:tc>
        <w:tc>
          <w:tcPr>
            <w:tcW w:w="941" w:type="dxa"/>
          </w:tcPr>
          <w:p w:rsidR="00172F47" w:rsidRPr="00B72D6E" w:rsidRDefault="00172F4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2024</w:t>
            </w:r>
          </w:p>
        </w:tc>
        <w:tc>
          <w:tcPr>
            <w:tcW w:w="1693" w:type="dxa"/>
          </w:tcPr>
          <w:p w:rsidR="00172F47" w:rsidRPr="00B72D6E" w:rsidRDefault="00172F4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полугодие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2025</w:t>
            </w:r>
          </w:p>
        </w:tc>
      </w:tr>
      <w:tr w:rsidR="00974917" w:rsidRPr="00B72D6E" w:rsidTr="00A050AB">
        <w:trPr>
          <w:jc w:val="center"/>
        </w:trPr>
        <w:tc>
          <w:tcPr>
            <w:tcW w:w="473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ВВП,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в</w:t>
            </w:r>
            <w:r w:rsidR="00F43ACE">
              <w:rPr>
                <w:rFonts w:ascii="Times New Roman" w:hAnsi="Times New Roman"/>
              </w:rPr>
              <w:t xml:space="preserve"> </w:t>
            </w:r>
            <w:r w:rsidR="007E7518">
              <w:rPr>
                <w:rFonts w:ascii="Times New Roman" w:hAnsi="Times New Roman"/>
              </w:rPr>
              <w:t>%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к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соотв.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периоду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предыдущего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года</w:t>
            </w:r>
          </w:p>
        </w:tc>
        <w:tc>
          <w:tcPr>
            <w:tcW w:w="846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101,1</w:t>
            </w:r>
          </w:p>
        </w:tc>
        <w:tc>
          <w:tcPr>
            <w:tcW w:w="849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97,4</w:t>
            </w:r>
          </w:p>
        </w:tc>
        <w:tc>
          <w:tcPr>
            <w:tcW w:w="94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104,4</w:t>
            </w:r>
          </w:p>
        </w:tc>
        <w:tc>
          <w:tcPr>
            <w:tcW w:w="1693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101,8</w:t>
            </w:r>
          </w:p>
        </w:tc>
      </w:tr>
      <w:tr w:rsidR="00974917" w:rsidRPr="00B72D6E" w:rsidTr="00A050AB">
        <w:trPr>
          <w:jc w:val="center"/>
        </w:trPr>
        <w:tc>
          <w:tcPr>
            <w:tcW w:w="473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Инвести</w:t>
            </w:r>
            <w:r w:rsidR="00967EFB" w:rsidRPr="00B72D6E">
              <w:rPr>
                <w:rFonts w:ascii="Times New Roman" w:hAnsi="Times New Roman"/>
              </w:rPr>
              <w:t>рование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в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осн</w:t>
            </w:r>
            <w:r w:rsidR="00AE4A61" w:rsidRPr="00B72D6E">
              <w:rPr>
                <w:rFonts w:ascii="Times New Roman" w:hAnsi="Times New Roman"/>
              </w:rPr>
              <w:t>овной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капитал,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в</w:t>
            </w:r>
            <w:r w:rsidR="00F43ACE">
              <w:rPr>
                <w:rFonts w:ascii="Times New Roman" w:hAnsi="Times New Roman"/>
              </w:rPr>
              <w:t xml:space="preserve"> </w:t>
            </w:r>
            <w:r w:rsidR="007E7518">
              <w:rPr>
                <w:rFonts w:ascii="Times New Roman" w:hAnsi="Times New Roman"/>
              </w:rPr>
              <w:t>%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к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соотв.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периоду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предыдущего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года</w:t>
            </w:r>
          </w:p>
        </w:tc>
        <w:tc>
          <w:tcPr>
            <w:tcW w:w="846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98,9</w:t>
            </w:r>
          </w:p>
        </w:tc>
        <w:tc>
          <w:tcPr>
            <w:tcW w:w="849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99,2</w:t>
            </w:r>
          </w:p>
        </w:tc>
        <w:tc>
          <w:tcPr>
            <w:tcW w:w="94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107,6</w:t>
            </w:r>
          </w:p>
        </w:tc>
        <w:tc>
          <w:tcPr>
            <w:tcW w:w="1693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106,1</w:t>
            </w:r>
          </w:p>
        </w:tc>
      </w:tr>
      <w:tr w:rsidR="00974917" w:rsidRPr="00B72D6E" w:rsidTr="00A050AB">
        <w:trPr>
          <w:jc w:val="center"/>
        </w:trPr>
        <w:tc>
          <w:tcPr>
            <w:tcW w:w="473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Индекс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потребительских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цен,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в</w:t>
            </w:r>
            <w:r w:rsidR="00F43ACE">
              <w:rPr>
                <w:rFonts w:ascii="Times New Roman" w:hAnsi="Times New Roman"/>
              </w:rPr>
              <w:t xml:space="preserve"> </w:t>
            </w:r>
            <w:r w:rsidR="007E7518">
              <w:rPr>
                <w:rFonts w:ascii="Times New Roman" w:hAnsi="Times New Roman"/>
              </w:rPr>
              <w:t>%</w:t>
            </w:r>
          </w:p>
        </w:tc>
        <w:tc>
          <w:tcPr>
            <w:tcW w:w="846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111,1</w:t>
            </w:r>
          </w:p>
        </w:tc>
        <w:tc>
          <w:tcPr>
            <w:tcW w:w="849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105,4</w:t>
            </w:r>
          </w:p>
        </w:tc>
        <w:tc>
          <w:tcPr>
            <w:tcW w:w="94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101,2</w:t>
            </w:r>
          </w:p>
        </w:tc>
        <w:tc>
          <w:tcPr>
            <w:tcW w:w="1693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104,7</w:t>
            </w:r>
          </w:p>
        </w:tc>
      </w:tr>
      <w:tr w:rsidR="00974917" w:rsidRPr="00B72D6E" w:rsidTr="00A050AB">
        <w:trPr>
          <w:jc w:val="center"/>
        </w:trPr>
        <w:tc>
          <w:tcPr>
            <w:tcW w:w="473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Уровень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безработицы,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в</w:t>
            </w:r>
            <w:r w:rsidR="00F43ACE">
              <w:rPr>
                <w:rFonts w:ascii="Times New Roman" w:hAnsi="Times New Roman"/>
              </w:rPr>
              <w:t xml:space="preserve"> </w:t>
            </w:r>
            <w:r w:rsidR="007E7518">
              <w:rPr>
                <w:rFonts w:ascii="Times New Roman" w:hAnsi="Times New Roman"/>
              </w:rPr>
              <w:t>%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="009A7756" w:rsidRPr="00B72D6E">
              <w:rPr>
                <w:rFonts w:ascii="Times New Roman" w:hAnsi="Times New Roman"/>
              </w:rPr>
              <w:t>к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="009A7756" w:rsidRPr="00B72D6E">
              <w:rPr>
                <w:rFonts w:ascii="Times New Roman" w:hAnsi="Times New Roman"/>
              </w:rPr>
              <w:t>численности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="009A7756" w:rsidRPr="00B72D6E">
              <w:rPr>
                <w:rFonts w:ascii="Times New Roman" w:hAnsi="Times New Roman"/>
              </w:rPr>
              <w:t>рабочей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="009A7756" w:rsidRPr="00B72D6E">
              <w:rPr>
                <w:rFonts w:ascii="Times New Roman" w:hAnsi="Times New Roman"/>
              </w:rPr>
              <w:t>силы</w:t>
            </w:r>
          </w:p>
        </w:tc>
        <w:tc>
          <w:tcPr>
            <w:tcW w:w="846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1,1</w:t>
            </w:r>
          </w:p>
        </w:tc>
        <w:tc>
          <w:tcPr>
            <w:tcW w:w="849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1,0</w:t>
            </w:r>
          </w:p>
        </w:tc>
        <w:tc>
          <w:tcPr>
            <w:tcW w:w="941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0,6</w:t>
            </w:r>
          </w:p>
        </w:tc>
        <w:tc>
          <w:tcPr>
            <w:tcW w:w="1693" w:type="dxa"/>
          </w:tcPr>
          <w:p w:rsidR="00172F47" w:rsidRPr="00B72D6E" w:rsidRDefault="00E47DFE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0,8</w:t>
            </w:r>
          </w:p>
        </w:tc>
      </w:tr>
      <w:tr w:rsidR="00974917" w:rsidRPr="00B72D6E" w:rsidTr="00A050AB">
        <w:trPr>
          <w:jc w:val="center"/>
        </w:trPr>
        <w:tc>
          <w:tcPr>
            <w:tcW w:w="4731" w:type="dxa"/>
          </w:tcPr>
          <w:p w:rsidR="00974917" w:rsidRPr="00B72D6E" w:rsidRDefault="0097491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Взаимная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торговля,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в</w:t>
            </w:r>
            <w:r w:rsidR="00F43ACE">
              <w:rPr>
                <w:rFonts w:ascii="Times New Roman" w:hAnsi="Times New Roman"/>
              </w:rPr>
              <w:t xml:space="preserve"> </w:t>
            </w:r>
            <w:r w:rsidR="007E7518">
              <w:rPr>
                <w:rFonts w:ascii="Times New Roman" w:hAnsi="Times New Roman"/>
              </w:rPr>
              <w:t>%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к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соотв.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периоду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предыдущего</w:t>
            </w:r>
            <w:r w:rsidR="00B72D6E" w:rsidRPr="00B72D6E">
              <w:rPr>
                <w:rFonts w:ascii="Times New Roman" w:hAnsi="Times New Roman"/>
              </w:rPr>
              <w:t xml:space="preserve"> </w:t>
            </w:r>
            <w:r w:rsidRPr="00B72D6E">
              <w:rPr>
                <w:rFonts w:ascii="Times New Roman" w:hAnsi="Times New Roman"/>
              </w:rPr>
              <w:t>года</w:t>
            </w:r>
          </w:p>
        </w:tc>
        <w:tc>
          <w:tcPr>
            <w:tcW w:w="846" w:type="dxa"/>
          </w:tcPr>
          <w:p w:rsidR="00974917" w:rsidRPr="00B72D6E" w:rsidRDefault="0097491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90,7</w:t>
            </w:r>
          </w:p>
        </w:tc>
        <w:tc>
          <w:tcPr>
            <w:tcW w:w="849" w:type="dxa"/>
          </w:tcPr>
          <w:p w:rsidR="00974917" w:rsidRPr="00B72D6E" w:rsidRDefault="0097491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89,3</w:t>
            </w:r>
          </w:p>
        </w:tc>
        <w:tc>
          <w:tcPr>
            <w:tcW w:w="941" w:type="dxa"/>
          </w:tcPr>
          <w:p w:rsidR="00974917" w:rsidRPr="00B72D6E" w:rsidRDefault="0097491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108,1</w:t>
            </w:r>
          </w:p>
        </w:tc>
        <w:tc>
          <w:tcPr>
            <w:tcW w:w="1693" w:type="dxa"/>
          </w:tcPr>
          <w:p w:rsidR="00974917" w:rsidRPr="00B72D6E" w:rsidRDefault="00974917" w:rsidP="00B72D6E">
            <w:pPr>
              <w:pStyle w:val="ab"/>
              <w:rPr>
                <w:rFonts w:ascii="Times New Roman" w:hAnsi="Times New Roman"/>
              </w:rPr>
            </w:pPr>
            <w:r w:rsidRPr="00B72D6E">
              <w:rPr>
                <w:rFonts w:ascii="Times New Roman" w:hAnsi="Times New Roman"/>
              </w:rPr>
              <w:t>-</w:t>
            </w:r>
          </w:p>
        </w:tc>
      </w:tr>
    </w:tbl>
    <w:p w:rsidR="003B1BC8" w:rsidRPr="00B72D6E" w:rsidRDefault="003B1BC8" w:rsidP="007E7518">
      <w:pPr>
        <w:spacing w:line="240" w:lineRule="auto"/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*</w:t>
      </w:r>
      <w:r w:rsidR="007E7518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Составлено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авторами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данным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открытого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портала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макроэкономических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данных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ЕАЭС.</w:t>
      </w:r>
      <w:r w:rsidRPr="00B72D6E">
        <w:rPr>
          <w:rStyle w:val="a5"/>
          <w:sz w:val="24"/>
          <w:szCs w:val="24"/>
        </w:rPr>
        <w:footnoteReference w:id="2"/>
      </w:r>
    </w:p>
    <w:p w:rsidR="003B1BC8" w:rsidRPr="00B72D6E" w:rsidRDefault="003B1BC8" w:rsidP="007E7518">
      <w:pPr>
        <w:spacing w:after="120" w:line="240" w:lineRule="auto"/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**Примечание: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2014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г.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данные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ЕврАзЭС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(как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предшественника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ЕАЭС).</w:t>
      </w:r>
    </w:p>
    <w:p w:rsidR="00533F4E" w:rsidRPr="00B72D6E" w:rsidRDefault="00352791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итогам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2024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года,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согласно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отчет</w:t>
      </w:r>
      <w:r w:rsidR="00EC55C3" w:rsidRPr="00B72D6E">
        <w:rPr>
          <w:rFonts w:cs="Times New Roman"/>
          <w:sz w:val="24"/>
          <w:szCs w:val="24"/>
        </w:rPr>
        <w:t>у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Евразийской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экономической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комиссии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(ЕЭК),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совокупного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ВВП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составил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104,4%,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увеличение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размера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инвестирования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основной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капитал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107,6</w:t>
      </w:r>
      <w:r w:rsidR="007E7518">
        <w:rPr>
          <w:rFonts w:cs="Times New Roman"/>
          <w:sz w:val="24"/>
          <w:szCs w:val="24"/>
        </w:rPr>
        <w:t>%</w:t>
      </w:r>
      <w:r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взаимной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торговли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108,1%.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первом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полугодии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сохранился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высокий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интерес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инвестиционным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процессам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(рост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106,1%),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происходит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фоне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замедления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ВВП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(101,8%)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сравнению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2024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годом.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При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этом</w:t>
      </w:r>
      <w:r w:rsidR="00B72D6E">
        <w:rPr>
          <w:rFonts w:cs="Times New Roman"/>
          <w:sz w:val="24"/>
          <w:szCs w:val="24"/>
        </w:rPr>
        <w:t xml:space="preserve"> </w:t>
      </w:r>
      <w:r w:rsidR="003C7C23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3C7C23" w:rsidRPr="00B72D6E">
        <w:rPr>
          <w:rFonts w:cs="Times New Roman"/>
          <w:sz w:val="24"/>
          <w:szCs w:val="24"/>
        </w:rPr>
        <w:t>итогам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перво</w:t>
      </w:r>
      <w:r w:rsidR="003C7C23" w:rsidRPr="00B72D6E">
        <w:rPr>
          <w:rFonts w:cs="Times New Roman"/>
          <w:sz w:val="24"/>
          <w:szCs w:val="24"/>
        </w:rPr>
        <w:t>го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полугоди</w:t>
      </w:r>
      <w:r w:rsidR="003C7C23" w:rsidRPr="00B72D6E">
        <w:rPr>
          <w:rFonts w:cs="Times New Roman"/>
          <w:sz w:val="24"/>
          <w:szCs w:val="24"/>
        </w:rPr>
        <w:t>я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г.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отмечается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средний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позитивный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рост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основных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секторах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экономики: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1,7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выросло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промышленное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производство,</w:t>
      </w:r>
      <w:r w:rsidR="00B72D6E">
        <w:rPr>
          <w:rFonts w:cs="Times New Roman"/>
          <w:sz w:val="24"/>
          <w:szCs w:val="24"/>
        </w:rPr>
        <w:t xml:space="preserve"> </w:t>
      </w:r>
      <w:r w:rsidR="00844D72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1,6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сельское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хозяйство,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5,8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 xml:space="preserve">– </w:t>
      </w:r>
      <w:r w:rsidR="009A7756" w:rsidRPr="00B72D6E">
        <w:rPr>
          <w:rFonts w:cs="Times New Roman"/>
          <w:sz w:val="24"/>
          <w:szCs w:val="24"/>
        </w:rPr>
        <w:t>объемы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строительных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работ,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0,4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грузооборот,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1,4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пассажирооборот,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3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розничная</w:t>
      </w:r>
      <w:r w:rsidR="00B72D6E">
        <w:rPr>
          <w:rFonts w:cs="Times New Roman"/>
          <w:sz w:val="24"/>
          <w:szCs w:val="24"/>
        </w:rPr>
        <w:t xml:space="preserve"> </w:t>
      </w:r>
      <w:r w:rsidR="009A7756" w:rsidRPr="00B72D6E">
        <w:rPr>
          <w:rFonts w:cs="Times New Roman"/>
          <w:sz w:val="24"/>
          <w:szCs w:val="24"/>
        </w:rPr>
        <w:t>торговля.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В</w:t>
      </w:r>
      <w:r w:rsidR="00533F4E" w:rsidRPr="00B72D6E">
        <w:rPr>
          <w:rFonts w:cs="Times New Roman"/>
          <w:sz w:val="24"/>
          <w:szCs w:val="24"/>
        </w:rPr>
        <w:t>заимная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торговля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стран-членов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итогам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2024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выросла</w:t>
      </w:r>
      <w:r w:rsidR="00B72D6E">
        <w:rPr>
          <w:rFonts w:cs="Times New Roman"/>
          <w:sz w:val="24"/>
          <w:szCs w:val="24"/>
        </w:rPr>
        <w:t xml:space="preserve"> </w:t>
      </w:r>
      <w:r w:rsidR="00590549" w:rsidRPr="00B72D6E">
        <w:rPr>
          <w:rFonts w:cs="Times New Roman"/>
          <w:sz w:val="24"/>
          <w:szCs w:val="24"/>
        </w:rPr>
        <w:t>почти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590549" w:rsidRPr="00B72D6E">
        <w:rPr>
          <w:rFonts w:cs="Times New Roman"/>
          <w:sz w:val="24"/>
          <w:szCs w:val="24"/>
        </w:rPr>
        <w:t>8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составила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9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трлн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рублей</w:t>
      </w:r>
      <w:r w:rsidR="00533F4E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За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время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существования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>О</w:t>
      </w:r>
      <w:r w:rsidR="00533F4E" w:rsidRPr="00B72D6E">
        <w:rPr>
          <w:rFonts w:cs="Times New Roman"/>
          <w:sz w:val="24"/>
          <w:szCs w:val="24"/>
        </w:rPr>
        <w:t>бъединения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объемы</w:t>
      </w:r>
      <w:r w:rsidR="00B72D6E">
        <w:rPr>
          <w:rFonts w:cs="Times New Roman"/>
          <w:sz w:val="24"/>
          <w:szCs w:val="24"/>
        </w:rPr>
        <w:t xml:space="preserve"> </w:t>
      </w:r>
      <w:r w:rsidR="001E226A" w:rsidRPr="00B72D6E">
        <w:rPr>
          <w:rFonts w:cs="Times New Roman"/>
          <w:sz w:val="24"/>
          <w:szCs w:val="24"/>
        </w:rPr>
        <w:t>взаимной</w:t>
      </w:r>
      <w:r w:rsidR="00B72D6E">
        <w:rPr>
          <w:rFonts w:cs="Times New Roman"/>
          <w:sz w:val="24"/>
          <w:szCs w:val="24"/>
        </w:rPr>
        <w:t xml:space="preserve"> </w:t>
      </w:r>
      <w:r w:rsidR="003567B2" w:rsidRPr="00B72D6E">
        <w:rPr>
          <w:rFonts w:cs="Times New Roman"/>
          <w:sz w:val="24"/>
          <w:szCs w:val="24"/>
        </w:rPr>
        <w:t>торговли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выросли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более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чем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2</w:t>
      </w:r>
      <w:r w:rsidR="00B72D6E">
        <w:rPr>
          <w:rFonts w:cs="Times New Roman"/>
          <w:sz w:val="24"/>
          <w:szCs w:val="24"/>
        </w:rPr>
        <w:t xml:space="preserve"> </w:t>
      </w:r>
      <w:r w:rsidR="00533F4E" w:rsidRPr="00B72D6E">
        <w:rPr>
          <w:rFonts w:cs="Times New Roman"/>
          <w:sz w:val="24"/>
          <w:szCs w:val="24"/>
        </w:rPr>
        <w:t>раза</w:t>
      </w:r>
      <w:r w:rsidR="0048461B" w:rsidRPr="00B72D6E">
        <w:rPr>
          <w:rFonts w:cs="Times New Roman"/>
          <w:sz w:val="24"/>
          <w:szCs w:val="24"/>
        </w:rPr>
        <w:t>: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45,6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долл.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2015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году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до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98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долл</w:t>
      </w:r>
      <w:r w:rsidR="001C796A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итогам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2024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года.</w:t>
      </w:r>
      <w:r w:rsidR="00B72D6E">
        <w:rPr>
          <w:rFonts w:cs="Times New Roman"/>
          <w:sz w:val="24"/>
          <w:szCs w:val="24"/>
        </w:rPr>
        <w:t xml:space="preserve"> </w:t>
      </w:r>
      <w:r w:rsidR="0048461B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год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создания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взаимную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торговлю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стран-членов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приходилось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только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13,</w:t>
      </w:r>
      <w:r w:rsidR="00215890" w:rsidRPr="00B72D6E">
        <w:rPr>
          <w:rFonts w:cs="Times New Roman"/>
          <w:sz w:val="24"/>
          <w:szCs w:val="24"/>
        </w:rPr>
        <w:t>3</w:t>
      </w:r>
      <w:r w:rsidR="007E7518">
        <w:rPr>
          <w:rFonts w:cs="Times New Roman"/>
          <w:sz w:val="24"/>
          <w:szCs w:val="24"/>
        </w:rPr>
        <w:t>%</w:t>
      </w:r>
      <w:r w:rsidR="00AF7F9D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тогда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настоящее</w:t>
      </w:r>
      <w:r w:rsidR="00B72D6E">
        <w:rPr>
          <w:rFonts w:cs="Times New Roman"/>
          <w:sz w:val="24"/>
          <w:szCs w:val="24"/>
        </w:rPr>
        <w:t xml:space="preserve"> </w:t>
      </w:r>
      <w:r w:rsidR="00AF7F9D" w:rsidRPr="00B72D6E">
        <w:rPr>
          <w:rFonts w:cs="Times New Roman"/>
          <w:sz w:val="24"/>
          <w:szCs w:val="24"/>
        </w:rPr>
        <w:t>время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17</w:t>
      </w:r>
      <w:r w:rsidR="007E7518">
        <w:rPr>
          <w:rFonts w:cs="Times New Roman"/>
          <w:sz w:val="24"/>
          <w:szCs w:val="24"/>
        </w:rPr>
        <w:t>%</w:t>
      </w:r>
      <w:r w:rsidR="00AF7F9D" w:rsidRPr="00B72D6E">
        <w:rPr>
          <w:rFonts w:cs="Times New Roman"/>
          <w:sz w:val="24"/>
          <w:szCs w:val="24"/>
        </w:rPr>
        <w:t>.</w:t>
      </w:r>
      <w:r w:rsidR="003B1BC8" w:rsidRPr="00B72D6E">
        <w:rPr>
          <w:rStyle w:val="a5"/>
          <w:sz w:val="24"/>
          <w:szCs w:val="24"/>
        </w:rPr>
        <w:footnoteReference w:id="3"/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Важным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фактором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роста</w:t>
      </w:r>
      <w:r w:rsidR="00B72D6E">
        <w:rPr>
          <w:rFonts w:cs="Times New Roman"/>
          <w:sz w:val="24"/>
          <w:szCs w:val="24"/>
        </w:rPr>
        <w:t xml:space="preserve"> </w:t>
      </w:r>
      <w:r w:rsidR="001C796A" w:rsidRPr="00B72D6E">
        <w:rPr>
          <w:rFonts w:cs="Times New Roman"/>
          <w:sz w:val="24"/>
          <w:szCs w:val="24"/>
        </w:rPr>
        <w:t>являлось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функционирование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принципов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таможенного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союза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единого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экономического</w:t>
      </w:r>
      <w:r w:rsidR="00B72D6E">
        <w:rPr>
          <w:rFonts w:cs="Times New Roman"/>
          <w:sz w:val="24"/>
          <w:szCs w:val="24"/>
        </w:rPr>
        <w:t xml:space="preserve"> </w:t>
      </w:r>
      <w:r w:rsidR="00215890" w:rsidRPr="00B72D6E">
        <w:rPr>
          <w:rFonts w:cs="Times New Roman"/>
          <w:sz w:val="24"/>
          <w:szCs w:val="24"/>
        </w:rPr>
        <w:t>союза</w:t>
      </w:r>
      <w:r w:rsidR="001C796A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</w:p>
    <w:p w:rsidR="00386BFC" w:rsidRPr="00B72D6E" w:rsidRDefault="00533F4E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Данные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показатели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свидетельствуют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целом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позитивном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влиянии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экономику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стран-участниц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ними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интеграционных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процессов.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Например,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з</w:t>
      </w:r>
      <w:r w:rsidR="00386BFC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период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функционирования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взаимная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торговля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Казахстана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странами</w:t>
      </w:r>
      <w:r w:rsidR="007E7518">
        <w:rPr>
          <w:rFonts w:cs="Times New Roman"/>
          <w:sz w:val="24"/>
          <w:szCs w:val="24"/>
        </w:rPr>
        <w:t>-</w:t>
      </w:r>
      <w:r w:rsidR="00F5702D" w:rsidRPr="00B72D6E">
        <w:rPr>
          <w:rFonts w:cs="Times New Roman"/>
          <w:sz w:val="24"/>
          <w:szCs w:val="24"/>
        </w:rPr>
        <w:t>партнерами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F5702D" w:rsidRPr="00B72D6E">
        <w:rPr>
          <w:rFonts w:cs="Times New Roman"/>
          <w:sz w:val="24"/>
          <w:szCs w:val="24"/>
        </w:rPr>
        <w:t>интеграции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выросла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87,1%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(с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16,3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30,5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долл.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Из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них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экспорт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вырос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115,7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(с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5,1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11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долл.),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импорт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74,1%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(с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11,2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19,5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долл.).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Товарооборот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Казахстаном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странами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2024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году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составил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30,5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долл.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США,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2,3%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выше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аналогичного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периода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прошлого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(29,8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млрд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долл.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США).</w:t>
      </w:r>
      <w:r w:rsidR="008F7E1A" w:rsidRPr="00B72D6E">
        <w:rPr>
          <w:rFonts w:cs="Times New Roman"/>
          <w:sz w:val="24"/>
          <w:szCs w:val="24"/>
          <w:vertAlign w:val="superscript"/>
        </w:rPr>
        <w:t>3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Таким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образом,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участие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Казахстана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позволи</w:t>
      </w:r>
      <w:r w:rsidR="00F5702D" w:rsidRPr="00B72D6E">
        <w:rPr>
          <w:rFonts w:cs="Times New Roman"/>
          <w:sz w:val="24"/>
          <w:szCs w:val="24"/>
        </w:rPr>
        <w:t>ло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обеспечить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более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тесное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гармоничное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экономическое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сотрудничество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кооперацию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странами-партнерами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при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сохранении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государственного</w:t>
      </w:r>
      <w:r w:rsidR="00B72D6E">
        <w:rPr>
          <w:rFonts w:cs="Times New Roman"/>
          <w:sz w:val="24"/>
          <w:szCs w:val="24"/>
        </w:rPr>
        <w:t xml:space="preserve"> </w:t>
      </w:r>
      <w:r w:rsidR="00386BFC" w:rsidRPr="00B72D6E">
        <w:rPr>
          <w:rFonts w:cs="Times New Roman"/>
          <w:sz w:val="24"/>
          <w:szCs w:val="24"/>
        </w:rPr>
        <w:t>суверенитета.</w:t>
      </w:r>
    </w:p>
    <w:p w:rsidR="006E6826" w:rsidRPr="00B72D6E" w:rsidRDefault="00BF74B0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России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многоформатное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партнерство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является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особенно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значимым,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так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нем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преобладают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Азии,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которые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современном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этапе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стали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основными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внешнеторговыми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партнерами.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Так</w:t>
      </w:r>
      <w:r w:rsidR="00001758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году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азиатский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регион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составил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73,3</w:t>
      </w:r>
      <w:r w:rsidR="007E7518">
        <w:rPr>
          <w:rFonts w:cs="Times New Roman"/>
          <w:sz w:val="24"/>
          <w:szCs w:val="24"/>
        </w:rPr>
        <w:t>%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во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внеш</w:t>
      </w:r>
      <w:r w:rsidR="002E4A68" w:rsidRPr="00B72D6E">
        <w:rPr>
          <w:rFonts w:cs="Times New Roman"/>
          <w:sz w:val="24"/>
          <w:szCs w:val="24"/>
        </w:rPr>
        <w:t>н</w:t>
      </w:r>
      <w:r w:rsidRPr="00B72D6E">
        <w:rPr>
          <w:rFonts w:cs="Times New Roman"/>
          <w:sz w:val="24"/>
          <w:szCs w:val="24"/>
        </w:rPr>
        <w:t>еторгово</w:t>
      </w:r>
      <w:r w:rsidR="007A774A" w:rsidRPr="00B72D6E">
        <w:rPr>
          <w:rFonts w:cs="Times New Roman"/>
          <w:sz w:val="24"/>
          <w:szCs w:val="24"/>
        </w:rPr>
        <w:t>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оборот</w:t>
      </w:r>
      <w:r w:rsidR="007A774A"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страны</w:t>
      </w:r>
      <w:r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Однако</w:t>
      </w:r>
      <w:r w:rsidR="00B72D6E">
        <w:rPr>
          <w:rFonts w:cs="Times New Roman"/>
          <w:sz w:val="24"/>
          <w:szCs w:val="24"/>
        </w:rPr>
        <w:t xml:space="preserve"> </w:t>
      </w:r>
      <w:r w:rsidR="007A774A" w:rsidRPr="00B72D6E">
        <w:rPr>
          <w:rFonts w:cs="Times New Roman"/>
          <w:sz w:val="24"/>
          <w:szCs w:val="24"/>
        </w:rPr>
        <w:t>п</w:t>
      </w:r>
      <w:r w:rsidR="003B5532" w:rsidRPr="00B72D6E">
        <w:rPr>
          <w:rFonts w:cs="Times New Roman"/>
          <w:sz w:val="24"/>
          <w:szCs w:val="24"/>
        </w:rPr>
        <w:t>ервая</w:t>
      </w:r>
      <w:r w:rsidR="00B72D6E">
        <w:rPr>
          <w:rFonts w:cs="Times New Roman"/>
          <w:sz w:val="24"/>
          <w:szCs w:val="24"/>
        </w:rPr>
        <w:t xml:space="preserve"> </w:t>
      </w:r>
      <w:r w:rsidR="003B5532" w:rsidRPr="00B72D6E">
        <w:rPr>
          <w:rFonts w:cs="Times New Roman"/>
          <w:sz w:val="24"/>
          <w:szCs w:val="24"/>
        </w:rPr>
        <w:t>половина</w:t>
      </w:r>
      <w:r w:rsidR="00B72D6E">
        <w:rPr>
          <w:rFonts w:cs="Times New Roman"/>
          <w:sz w:val="24"/>
          <w:szCs w:val="24"/>
        </w:rPr>
        <w:t xml:space="preserve"> </w:t>
      </w:r>
      <w:r w:rsidR="003B5532"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="003B5532" w:rsidRPr="00B72D6E">
        <w:rPr>
          <w:rFonts w:cs="Times New Roman"/>
          <w:sz w:val="24"/>
          <w:szCs w:val="24"/>
        </w:rPr>
        <w:t>г.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российского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экспорта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целом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была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менее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благоприятной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из-за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снижения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цен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мирово</w:t>
      </w:r>
      <w:r w:rsidR="00590549" w:rsidRPr="00B72D6E">
        <w:rPr>
          <w:rFonts w:cs="Times New Roman"/>
          <w:sz w:val="24"/>
          <w:szCs w:val="24"/>
        </w:rPr>
        <w:t>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нефтяном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рынке.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товарной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структуре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экспорт</w:t>
      </w:r>
      <w:r w:rsidR="001415F9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России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страны-партнеры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также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значительная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доля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принадлежит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топливно-энергетическим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товарам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(56,1%),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ч</w:t>
      </w:r>
      <w:r w:rsidR="00AE4A61" w:rsidRPr="00B72D6E">
        <w:rPr>
          <w:rFonts w:cs="Times New Roman"/>
          <w:sz w:val="24"/>
          <w:szCs w:val="24"/>
        </w:rPr>
        <w:t>то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привело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к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снижению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экспорта</w:t>
      </w:r>
      <w:r w:rsidR="00B72D6E">
        <w:rPr>
          <w:rFonts w:cs="Times New Roman"/>
          <w:sz w:val="24"/>
          <w:szCs w:val="24"/>
        </w:rPr>
        <w:t xml:space="preserve"> </w:t>
      </w:r>
      <w:r w:rsidR="001415F9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590549" w:rsidRPr="00B72D6E">
        <w:rPr>
          <w:rFonts w:cs="Times New Roman"/>
          <w:sz w:val="24"/>
          <w:szCs w:val="24"/>
        </w:rPr>
        <w:t>внутри</w:t>
      </w:r>
      <w:r w:rsidR="00B72D6E">
        <w:rPr>
          <w:rFonts w:cs="Times New Roman"/>
          <w:sz w:val="24"/>
          <w:szCs w:val="24"/>
        </w:rPr>
        <w:t xml:space="preserve"> </w:t>
      </w:r>
      <w:r w:rsidR="00590549" w:rsidRPr="00B72D6E">
        <w:rPr>
          <w:rFonts w:cs="Times New Roman"/>
          <w:sz w:val="24"/>
          <w:szCs w:val="24"/>
        </w:rPr>
        <w:t>интеграционного</w:t>
      </w:r>
      <w:r w:rsidR="00B72D6E">
        <w:rPr>
          <w:rFonts w:cs="Times New Roman"/>
          <w:sz w:val="24"/>
          <w:szCs w:val="24"/>
        </w:rPr>
        <w:t xml:space="preserve"> </w:t>
      </w:r>
      <w:r w:rsidR="00590549" w:rsidRPr="00B72D6E">
        <w:rPr>
          <w:rFonts w:cs="Times New Roman"/>
          <w:sz w:val="24"/>
          <w:szCs w:val="24"/>
        </w:rPr>
        <w:t>блока</w:t>
      </w:r>
      <w:r w:rsidR="00AE4A61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Однако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экспорт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из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РФ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всех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других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товарных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групп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имел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растущую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динамику,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особенно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машин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оборудования.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Например,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экспорт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данных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товаров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Беларусь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вырос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25</w:t>
      </w:r>
      <w:r w:rsidR="007E7518">
        <w:rPr>
          <w:rFonts w:cs="Times New Roman"/>
          <w:sz w:val="24"/>
          <w:szCs w:val="24"/>
        </w:rPr>
        <w:t>%</w:t>
      </w:r>
      <w:r w:rsidR="00FC427B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при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сокращении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доли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нефти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12</w:t>
      </w:r>
      <w:r w:rsidR="007E7518">
        <w:rPr>
          <w:rFonts w:cs="Times New Roman"/>
          <w:sz w:val="24"/>
          <w:szCs w:val="24"/>
        </w:rPr>
        <w:t>%</w:t>
      </w:r>
      <w:r w:rsidR="00FC427B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свидетельствуе</w:t>
      </w:r>
      <w:r w:rsidR="00050B02" w:rsidRPr="00B72D6E">
        <w:rPr>
          <w:rFonts w:cs="Times New Roman"/>
          <w:sz w:val="24"/>
          <w:szCs w:val="24"/>
        </w:rPr>
        <w:t>т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о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более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сбаланс</w:t>
      </w:r>
      <w:r w:rsidR="00050B02" w:rsidRPr="00B72D6E">
        <w:rPr>
          <w:rFonts w:cs="Times New Roman"/>
          <w:sz w:val="24"/>
          <w:szCs w:val="24"/>
        </w:rPr>
        <w:t>и</w:t>
      </w:r>
      <w:r w:rsidR="00FC427B" w:rsidRPr="00B72D6E">
        <w:rPr>
          <w:rFonts w:cs="Times New Roman"/>
          <w:sz w:val="24"/>
          <w:szCs w:val="24"/>
        </w:rPr>
        <w:t>рованной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структуре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внешнеторгового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оборота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двух</w:t>
      </w:r>
      <w:r w:rsidR="00B72D6E">
        <w:rPr>
          <w:rFonts w:cs="Times New Roman"/>
          <w:sz w:val="24"/>
          <w:szCs w:val="24"/>
        </w:rPr>
        <w:t xml:space="preserve"> </w:t>
      </w:r>
      <w:r w:rsidR="00FC427B" w:rsidRPr="00B72D6E">
        <w:rPr>
          <w:rFonts w:cs="Times New Roman"/>
          <w:sz w:val="24"/>
          <w:szCs w:val="24"/>
        </w:rPr>
        <w:t>стран.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Рост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импорта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Россию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из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стран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предварительным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результатам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полугодия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сохранился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уровне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прошлого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AE4A61" w:rsidRPr="00B72D6E">
        <w:rPr>
          <w:rFonts w:cs="Times New Roman"/>
          <w:sz w:val="24"/>
          <w:szCs w:val="24"/>
        </w:rPr>
        <w:t>(+</w:t>
      </w:r>
      <w:r w:rsidR="00FC427B" w:rsidRPr="00B72D6E">
        <w:rPr>
          <w:rFonts w:cs="Times New Roman"/>
          <w:sz w:val="24"/>
          <w:szCs w:val="24"/>
        </w:rPr>
        <w:t>1</w:t>
      </w:r>
      <w:r w:rsidR="00AE4A61" w:rsidRPr="00B72D6E">
        <w:rPr>
          <w:rFonts w:cs="Times New Roman"/>
          <w:sz w:val="24"/>
          <w:szCs w:val="24"/>
        </w:rPr>
        <w:t>,8%).</w:t>
      </w:r>
      <w:r w:rsidR="00001758" w:rsidRPr="00B72D6E">
        <w:rPr>
          <w:rStyle w:val="a5"/>
          <w:sz w:val="24"/>
          <w:szCs w:val="24"/>
        </w:rPr>
        <w:footnoteReference w:id="4"/>
      </w:r>
    </w:p>
    <w:p w:rsidR="00B868E6" w:rsidRPr="00B72D6E" w:rsidRDefault="003C7C23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Союз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продолжил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развитие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важных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направлений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стран-членов.</w:t>
      </w:r>
      <w:r w:rsidR="00B72D6E">
        <w:rPr>
          <w:rFonts w:cs="Times New Roman"/>
          <w:sz w:val="24"/>
          <w:szCs w:val="24"/>
        </w:rPr>
        <w:t xml:space="preserve"> </w:t>
      </w:r>
      <w:r w:rsidR="00967EFB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967EFB" w:rsidRPr="00B72D6E">
        <w:rPr>
          <w:rFonts w:cs="Times New Roman"/>
          <w:sz w:val="24"/>
          <w:szCs w:val="24"/>
        </w:rPr>
        <w:t>настоящий</w:t>
      </w:r>
      <w:r w:rsidR="00B72D6E">
        <w:rPr>
          <w:rFonts w:cs="Times New Roman"/>
          <w:sz w:val="24"/>
          <w:szCs w:val="24"/>
        </w:rPr>
        <w:t xml:space="preserve"> </w:t>
      </w:r>
      <w:r w:rsidR="00967EFB" w:rsidRPr="00B72D6E">
        <w:rPr>
          <w:rFonts w:cs="Times New Roman"/>
          <w:sz w:val="24"/>
          <w:szCs w:val="24"/>
        </w:rPr>
        <w:t>период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страны-члены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имеют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общую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заинтересованность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создании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развитии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высокопроизводительных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секторов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экономики,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требует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внедрения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инноваций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цифровых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технологий.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Также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ключевым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направлением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является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совместная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проработка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научно-технического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сферах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«зелены</w:t>
      </w:r>
      <w:r w:rsidR="0077335B" w:rsidRPr="00B72D6E">
        <w:rPr>
          <w:rFonts w:cs="Times New Roman"/>
          <w:sz w:val="24"/>
          <w:szCs w:val="24"/>
        </w:rPr>
        <w:t>х</w:t>
      </w:r>
      <w:r w:rsidR="00244918" w:rsidRPr="00B72D6E">
        <w:rPr>
          <w:rFonts w:cs="Times New Roman"/>
          <w:sz w:val="24"/>
          <w:szCs w:val="24"/>
        </w:rPr>
        <w:t>»</w:t>
      </w:r>
      <w:r w:rsidR="00B72D6E">
        <w:rPr>
          <w:rFonts w:cs="Times New Roman"/>
          <w:sz w:val="24"/>
          <w:szCs w:val="24"/>
        </w:rPr>
        <w:t xml:space="preserve"> </w:t>
      </w:r>
      <w:r w:rsidR="00244918" w:rsidRPr="00B72D6E">
        <w:rPr>
          <w:rFonts w:cs="Times New Roman"/>
          <w:sz w:val="24"/>
          <w:szCs w:val="24"/>
        </w:rPr>
        <w:t>технологи</w:t>
      </w:r>
      <w:r w:rsidR="0077335B" w:rsidRPr="00B72D6E">
        <w:rPr>
          <w:rFonts w:cs="Times New Roman"/>
          <w:sz w:val="24"/>
          <w:szCs w:val="24"/>
        </w:rPr>
        <w:t>й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привлечением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финансирования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из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Евразийского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банка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Евразийского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Фонда</w:t>
      </w:r>
      <w:r w:rsidR="00B72D6E">
        <w:rPr>
          <w:rFonts w:cs="Times New Roman"/>
          <w:sz w:val="24"/>
          <w:szCs w:val="24"/>
        </w:rPr>
        <w:t xml:space="preserve"> </w:t>
      </w:r>
      <w:r w:rsidR="0077335B" w:rsidRPr="00B72D6E">
        <w:rPr>
          <w:rFonts w:cs="Times New Roman"/>
          <w:sz w:val="24"/>
          <w:szCs w:val="24"/>
        </w:rPr>
        <w:t>с</w:t>
      </w:r>
      <w:r w:rsidR="00313D74" w:rsidRPr="00B72D6E">
        <w:rPr>
          <w:rFonts w:cs="Times New Roman"/>
          <w:sz w:val="24"/>
          <w:szCs w:val="24"/>
        </w:rPr>
        <w:t>оциального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развития.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313D74" w:rsidRPr="00B72D6E">
        <w:rPr>
          <w:rFonts w:cs="Times New Roman"/>
          <w:sz w:val="24"/>
          <w:szCs w:val="24"/>
        </w:rPr>
        <w:t>ерьезные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общие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разработки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ведутся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таможенной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инфраструктуре,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особенно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313D74" w:rsidRPr="00B72D6E">
        <w:rPr>
          <w:rFonts w:cs="Times New Roman"/>
          <w:sz w:val="24"/>
          <w:szCs w:val="24"/>
        </w:rPr>
        <w:t>направлению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цифров</w:t>
      </w:r>
      <w:r w:rsidR="00313D74" w:rsidRPr="00B72D6E">
        <w:rPr>
          <w:rFonts w:cs="Times New Roman"/>
          <w:sz w:val="24"/>
          <w:szCs w:val="24"/>
        </w:rPr>
        <w:t>изации.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</w:t>
      </w:r>
      <w:r w:rsidR="00B868E6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фоне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санкций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введения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параллельного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импорта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странами</w:t>
      </w:r>
      <w:r w:rsidRPr="00B72D6E">
        <w:rPr>
          <w:rFonts w:cs="Times New Roman"/>
          <w:sz w:val="24"/>
          <w:szCs w:val="24"/>
        </w:rPr>
        <w:t>-партнерами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наблюдался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рост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взаимного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товарооборот</w:t>
      </w:r>
      <w:r w:rsidRPr="00B72D6E">
        <w:rPr>
          <w:rFonts w:cs="Times New Roman"/>
          <w:sz w:val="24"/>
          <w:szCs w:val="24"/>
        </w:rPr>
        <w:t>а</w:t>
      </w:r>
      <w:r w:rsidR="00B868E6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</w:p>
    <w:p w:rsidR="005F25BA" w:rsidRPr="00B72D6E" w:rsidRDefault="00B868E6" w:rsidP="00B72D6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2D6E">
        <w:rPr>
          <w:rFonts w:cs="Times New Roman"/>
          <w:sz w:val="24"/>
          <w:szCs w:val="24"/>
        </w:rPr>
        <w:t>Е</w:t>
      </w:r>
      <w:r w:rsidR="004519D5" w:rsidRPr="00B72D6E">
        <w:rPr>
          <w:rFonts w:cs="Times New Roman"/>
          <w:sz w:val="24"/>
          <w:szCs w:val="24"/>
        </w:rPr>
        <w:t>АЭС</w:t>
      </w:r>
      <w:r w:rsidR="00B72D6E">
        <w:rPr>
          <w:rFonts w:cs="Times New Roman"/>
          <w:sz w:val="24"/>
          <w:szCs w:val="24"/>
        </w:rPr>
        <w:t xml:space="preserve"> </w:t>
      </w:r>
      <w:r w:rsidR="004519D5" w:rsidRPr="00B72D6E">
        <w:rPr>
          <w:rFonts w:cs="Times New Roman"/>
          <w:sz w:val="24"/>
          <w:szCs w:val="24"/>
        </w:rPr>
        <w:t>сегодня</w:t>
      </w:r>
      <w:r w:rsidR="00B72D6E">
        <w:rPr>
          <w:rFonts w:cs="Times New Roman"/>
          <w:sz w:val="24"/>
          <w:szCs w:val="24"/>
        </w:rPr>
        <w:t xml:space="preserve"> </w:t>
      </w:r>
      <w:r w:rsidR="004519D5" w:rsidRPr="00B72D6E">
        <w:rPr>
          <w:rFonts w:cs="Times New Roman"/>
          <w:sz w:val="24"/>
          <w:szCs w:val="24"/>
        </w:rPr>
        <w:t>использу</w:t>
      </w:r>
      <w:r w:rsidR="007920A7" w:rsidRPr="00B72D6E">
        <w:rPr>
          <w:rFonts w:cs="Times New Roman"/>
          <w:sz w:val="24"/>
          <w:szCs w:val="24"/>
        </w:rPr>
        <w:t>е</w:t>
      </w:r>
      <w:r w:rsidR="004519D5" w:rsidRPr="00B72D6E">
        <w:rPr>
          <w:rFonts w:cs="Times New Roman"/>
          <w:sz w:val="24"/>
          <w:szCs w:val="24"/>
        </w:rPr>
        <w:t>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различные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формы</w:t>
      </w:r>
      <w:r w:rsidR="00B72D6E">
        <w:rPr>
          <w:rFonts w:cs="Times New Roman"/>
          <w:sz w:val="24"/>
          <w:szCs w:val="24"/>
        </w:rPr>
        <w:t xml:space="preserve"> </w:t>
      </w:r>
      <w:r w:rsidR="00B23A7A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B23A7A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>укрепления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международного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B23A7A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B23A7A" w:rsidRPr="00B72D6E">
        <w:rPr>
          <w:rFonts w:cs="Times New Roman"/>
          <w:sz w:val="24"/>
          <w:szCs w:val="24"/>
        </w:rPr>
        <w:t>О</w:t>
      </w:r>
      <w:r w:rsidRPr="00B72D6E">
        <w:rPr>
          <w:rFonts w:cs="Times New Roman"/>
          <w:sz w:val="24"/>
          <w:szCs w:val="24"/>
        </w:rPr>
        <w:t>с</w:t>
      </w:r>
      <w:r w:rsidR="00B23A7A" w:rsidRPr="00B72D6E">
        <w:rPr>
          <w:rFonts w:cs="Times New Roman"/>
          <w:sz w:val="24"/>
          <w:szCs w:val="24"/>
        </w:rPr>
        <w:t>обенно</w:t>
      </w:r>
      <w:r w:rsidR="00B72D6E">
        <w:rPr>
          <w:rFonts w:cs="Times New Roman"/>
          <w:sz w:val="24"/>
          <w:szCs w:val="24"/>
        </w:rPr>
        <w:t xml:space="preserve"> </w:t>
      </w:r>
      <w:r w:rsidR="00B23A7A" w:rsidRPr="00B72D6E">
        <w:rPr>
          <w:rFonts w:cs="Times New Roman"/>
          <w:sz w:val="24"/>
          <w:szCs w:val="24"/>
        </w:rPr>
        <w:t>активно</w:t>
      </w:r>
      <w:r w:rsidR="00B72D6E">
        <w:rPr>
          <w:rFonts w:cs="Times New Roman"/>
          <w:sz w:val="24"/>
          <w:szCs w:val="24"/>
        </w:rPr>
        <w:t xml:space="preserve"> </w:t>
      </w:r>
      <w:r w:rsidR="00B23A7A" w:rsidRPr="00B72D6E">
        <w:rPr>
          <w:rFonts w:cs="Times New Roman"/>
          <w:sz w:val="24"/>
          <w:szCs w:val="24"/>
        </w:rPr>
        <w:t>данный</w:t>
      </w:r>
      <w:r w:rsidR="00B72D6E">
        <w:rPr>
          <w:rFonts w:cs="Times New Roman"/>
          <w:sz w:val="24"/>
          <w:szCs w:val="24"/>
        </w:rPr>
        <w:t xml:space="preserve"> </w:t>
      </w:r>
      <w:r w:rsidR="00B23A7A" w:rsidRPr="00B72D6E">
        <w:rPr>
          <w:rFonts w:cs="Times New Roman"/>
          <w:sz w:val="24"/>
          <w:szCs w:val="24"/>
        </w:rPr>
        <w:t>про</w:t>
      </w:r>
      <w:r w:rsidR="00BA52B2" w:rsidRPr="00B72D6E">
        <w:rPr>
          <w:rFonts w:cs="Times New Roman"/>
          <w:sz w:val="24"/>
          <w:szCs w:val="24"/>
        </w:rPr>
        <w:t>ц</w:t>
      </w:r>
      <w:r w:rsidR="00B23A7A" w:rsidRPr="00B72D6E">
        <w:rPr>
          <w:rFonts w:cs="Times New Roman"/>
          <w:sz w:val="24"/>
          <w:szCs w:val="24"/>
        </w:rPr>
        <w:t>есс</w:t>
      </w:r>
      <w:r w:rsidR="00B72D6E"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прослеживается</w:t>
      </w:r>
      <w:r w:rsidR="00B72D6E"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торговой</w:t>
      </w:r>
      <w:r w:rsidR="00B72D6E"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сфере</w:t>
      </w:r>
      <w:r w:rsidR="00B72D6E"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взаимодействия</w:t>
      </w:r>
      <w:r w:rsidR="009F6C91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где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приоритетным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направлением</w:t>
      </w:r>
      <w:r w:rsidR="00B72D6E">
        <w:rPr>
          <w:rFonts w:cs="Times New Roman"/>
          <w:sz w:val="24"/>
          <w:szCs w:val="24"/>
        </w:rPr>
        <w:t xml:space="preserve"> </w:t>
      </w:r>
      <w:r w:rsidR="007E7518">
        <w:rPr>
          <w:rFonts w:cs="Times New Roman"/>
          <w:sz w:val="24"/>
          <w:szCs w:val="24"/>
        </w:rPr>
        <w:t>является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заключение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региональных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соглашений</w:t>
      </w:r>
      <w:r w:rsidR="00BA52B2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Региональные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торговые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соглашения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(РТС</w:t>
      </w:r>
      <w:r w:rsidR="007E7518">
        <w:rPr>
          <w:rFonts w:cs="Times New Roman"/>
          <w:sz w:val="24"/>
          <w:szCs w:val="24"/>
        </w:rPr>
        <w:t xml:space="preserve">) </w:t>
      </w:r>
      <w:r w:rsidR="009F6C91" w:rsidRPr="00B72D6E">
        <w:rPr>
          <w:rFonts w:cs="Times New Roman"/>
          <w:sz w:val="24"/>
          <w:szCs w:val="24"/>
        </w:rPr>
        <w:t>предполагают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предоставление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более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благоприятных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условий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взаимной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торговли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странами,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его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ратифицировавшими.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Мировая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практика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показывает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прецеденты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заключения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таких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соглашений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только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странами,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между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интеграционными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объединениями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(например,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</w:rPr>
        <w:t>EU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</w:rPr>
        <w:t>CARIFORUM,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  <w:lang w:val="en-US"/>
        </w:rPr>
        <w:t>EU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  <w:lang w:val="en-US"/>
        </w:rPr>
        <w:t>SADC</w:t>
      </w:r>
      <w:r w:rsidR="0041524B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  <w:lang w:val="en-US"/>
        </w:rPr>
        <w:t>EU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41524B" w:rsidRPr="00B72D6E">
        <w:rPr>
          <w:rFonts w:cs="Times New Roman"/>
          <w:sz w:val="24"/>
          <w:szCs w:val="24"/>
          <w:lang w:val="en-US"/>
        </w:rPr>
        <w:t>EAC</w:t>
      </w:r>
      <w:r w:rsidR="0041524B" w:rsidRPr="00B72D6E">
        <w:rPr>
          <w:rFonts w:cs="Times New Roman"/>
          <w:sz w:val="24"/>
          <w:szCs w:val="24"/>
        </w:rPr>
        <w:t>)</w:t>
      </w:r>
      <w:r w:rsidR="009F6C91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РТС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обязательно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должны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проходить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процедуру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нотификации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ВТО,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начало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года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мировой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экономике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было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нотифицировано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3</w:t>
      </w:r>
      <w:r w:rsidR="005F25BA" w:rsidRPr="00B72D6E">
        <w:rPr>
          <w:rFonts w:cs="Times New Roman"/>
          <w:sz w:val="24"/>
          <w:szCs w:val="24"/>
        </w:rPr>
        <w:t>75</w:t>
      </w:r>
      <w:r w:rsidR="00B72D6E"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соглашени</w:t>
      </w:r>
      <w:r w:rsidR="005F25BA" w:rsidRPr="00B72D6E">
        <w:rPr>
          <w:rFonts w:cs="Times New Roman"/>
          <w:sz w:val="24"/>
          <w:szCs w:val="24"/>
        </w:rPr>
        <w:t>й</w:t>
      </w:r>
      <w:r w:rsidR="009F6C91" w:rsidRPr="00B72D6E">
        <w:rPr>
          <w:rFonts w:cs="Times New Roman"/>
          <w:sz w:val="24"/>
          <w:szCs w:val="24"/>
        </w:rPr>
        <w:t>.</w:t>
      </w:r>
      <w:r w:rsidR="0076629C" w:rsidRPr="00B72D6E">
        <w:rPr>
          <w:rStyle w:val="a5"/>
          <w:sz w:val="24"/>
          <w:szCs w:val="24"/>
        </w:rPr>
        <w:footnoteReference w:id="5"/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Доминирующая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форма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это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соглашения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о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зоне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свободной</w:t>
      </w:r>
      <w:r w:rsidR="00B72D6E">
        <w:rPr>
          <w:rFonts w:cs="Times New Roman"/>
          <w:sz w:val="24"/>
          <w:szCs w:val="24"/>
        </w:rPr>
        <w:t xml:space="preserve"> </w:t>
      </w:r>
      <w:r w:rsidR="005F25BA" w:rsidRPr="00B72D6E">
        <w:rPr>
          <w:rFonts w:cs="Times New Roman"/>
          <w:sz w:val="24"/>
          <w:szCs w:val="24"/>
        </w:rPr>
        <w:t>торговли.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Крупнейшим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торговым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соглашением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стало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вступившее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силу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2022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году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Соглашение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о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Всеобъемлющем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региональном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экономическом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партнерстве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(ВРЭП),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котором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участвуют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15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стран: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АСЕАН,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Южная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Корея,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Китай,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Япония,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Австралия,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Новая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Зеландия.</w:t>
      </w:r>
      <w:r w:rsidR="00B72D6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68E6" w:rsidRPr="00B72D6E" w:rsidRDefault="00B72D6E" w:rsidP="00B72D6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Ос</w:t>
      </w:r>
      <w:r w:rsidR="00B868E6" w:rsidRPr="00B72D6E">
        <w:rPr>
          <w:rFonts w:cs="Times New Roman"/>
          <w:sz w:val="24"/>
          <w:szCs w:val="24"/>
        </w:rPr>
        <w:t>новны</w:t>
      </w:r>
      <w:r w:rsidR="00996BB5" w:rsidRPr="00B72D6E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виды</w:t>
      </w:r>
      <w:r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документарного</w:t>
      </w:r>
      <w:r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закрепления</w:t>
      </w:r>
      <w:r>
        <w:rPr>
          <w:rFonts w:cs="Times New Roman"/>
          <w:sz w:val="24"/>
          <w:szCs w:val="24"/>
        </w:rPr>
        <w:t xml:space="preserve"> </w:t>
      </w:r>
      <w:r w:rsidR="009F6C91" w:rsidRPr="00B72D6E">
        <w:rPr>
          <w:rFonts w:cs="Times New Roman"/>
          <w:sz w:val="24"/>
          <w:szCs w:val="24"/>
        </w:rPr>
        <w:t>такого</w:t>
      </w:r>
      <w:r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взаимодействия</w:t>
      </w:r>
      <w:r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стран</w:t>
      </w:r>
      <w:r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представлены</w:t>
      </w:r>
      <w:r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рис</w:t>
      </w:r>
      <w:r w:rsidR="007E751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F46040" w:rsidRPr="00B72D6E">
        <w:rPr>
          <w:rFonts w:cs="Times New Roman"/>
          <w:sz w:val="24"/>
          <w:szCs w:val="24"/>
        </w:rPr>
        <w:t>1</w:t>
      </w:r>
      <w:r w:rsidR="00B868E6" w:rsidRPr="00B72D6E">
        <w:rPr>
          <w:rFonts w:cs="Times New Roman"/>
          <w:sz w:val="24"/>
          <w:szCs w:val="24"/>
        </w:rPr>
        <w:t>.</w:t>
      </w:r>
    </w:p>
    <w:p w:rsidR="00EB64A4" w:rsidRPr="00B72D6E" w:rsidRDefault="00EB64A4" w:rsidP="00B72D6E">
      <w:pPr>
        <w:rPr>
          <w:rFonts w:cs="Times New Roman"/>
          <w:sz w:val="24"/>
          <w:szCs w:val="24"/>
        </w:rPr>
      </w:pPr>
    </w:p>
    <w:p w:rsidR="00B868E6" w:rsidRPr="00B72D6E" w:rsidRDefault="00B868E6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729649"/>
            <wp:effectExtent l="19050" t="0" r="19050" b="3901"/>
            <wp:docPr id="7" name="Схе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868E6" w:rsidRPr="007E7518" w:rsidRDefault="00B868E6" w:rsidP="007E7518">
      <w:pPr>
        <w:spacing w:after="120"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7E7518">
        <w:rPr>
          <w:rFonts w:cs="Times New Roman"/>
          <w:b/>
          <w:sz w:val="24"/>
          <w:szCs w:val="24"/>
        </w:rPr>
        <w:t>Рис</w:t>
      </w:r>
      <w:r w:rsidR="007E7518" w:rsidRPr="007E7518">
        <w:rPr>
          <w:rFonts w:cs="Times New Roman"/>
          <w:b/>
          <w:sz w:val="24"/>
          <w:szCs w:val="24"/>
        </w:rPr>
        <w:t>унок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="00F46040" w:rsidRPr="007E7518">
        <w:rPr>
          <w:rFonts w:cs="Times New Roman"/>
          <w:b/>
          <w:sz w:val="24"/>
          <w:szCs w:val="24"/>
        </w:rPr>
        <w:t>1</w:t>
      </w:r>
      <w:r w:rsidR="00996BB5" w:rsidRPr="007E7518">
        <w:rPr>
          <w:rFonts w:cs="Times New Roman"/>
          <w:b/>
          <w:sz w:val="24"/>
          <w:szCs w:val="24"/>
        </w:rPr>
        <w:t>.</w:t>
      </w:r>
      <w:r w:rsidR="007E7518">
        <w:rPr>
          <w:rFonts w:cs="Times New Roman"/>
          <w:b/>
          <w:sz w:val="24"/>
          <w:szCs w:val="24"/>
        </w:rPr>
        <w:br/>
      </w:r>
      <w:r w:rsidRPr="007E7518">
        <w:rPr>
          <w:rFonts w:cs="Times New Roman"/>
          <w:b/>
          <w:sz w:val="24"/>
          <w:szCs w:val="24"/>
        </w:rPr>
        <w:t>Виды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документарного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оформления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взаимодействия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ЕАЭС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с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третьими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странами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="00050B02" w:rsidRPr="007E7518">
        <w:rPr>
          <w:rFonts w:cs="Times New Roman"/>
          <w:b/>
          <w:sz w:val="24"/>
          <w:szCs w:val="24"/>
        </w:rPr>
        <w:t>и</w:t>
      </w:r>
      <w:r w:rsidR="00B72D6E" w:rsidRPr="007E7518">
        <w:rPr>
          <w:rFonts w:cs="Times New Roman"/>
          <w:b/>
          <w:sz w:val="24"/>
          <w:szCs w:val="24"/>
        </w:rPr>
        <w:t xml:space="preserve"> </w:t>
      </w:r>
      <w:r w:rsidRPr="007E7518">
        <w:rPr>
          <w:rFonts w:cs="Times New Roman"/>
          <w:b/>
          <w:sz w:val="24"/>
          <w:szCs w:val="24"/>
        </w:rPr>
        <w:t>объединениями</w:t>
      </w:r>
    </w:p>
    <w:p w:rsidR="00B868E6" w:rsidRPr="00B72D6E" w:rsidRDefault="009F6C91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Данны</w:t>
      </w:r>
      <w:r w:rsidR="00BA52B2" w:rsidRPr="00B72D6E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="00BA52B2" w:rsidRPr="00B72D6E">
        <w:rPr>
          <w:rFonts w:cs="Times New Roman"/>
          <w:sz w:val="24"/>
          <w:szCs w:val="24"/>
        </w:rPr>
        <w:t>формы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используются</w:t>
      </w:r>
      <w:r w:rsidR="00B72D6E"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закрепления</w:t>
      </w:r>
      <w:r w:rsidR="00B72D6E"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соглашений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B868E6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третьими</w:t>
      </w:r>
      <w:r w:rsidR="00B72D6E">
        <w:rPr>
          <w:rFonts w:cs="Times New Roman"/>
          <w:sz w:val="24"/>
          <w:szCs w:val="24"/>
        </w:rPr>
        <w:t xml:space="preserve"> </w:t>
      </w:r>
      <w:r w:rsidR="00996BB5" w:rsidRPr="00B72D6E">
        <w:rPr>
          <w:rFonts w:cs="Times New Roman"/>
          <w:sz w:val="24"/>
          <w:szCs w:val="24"/>
        </w:rPr>
        <w:t>странами</w:t>
      </w:r>
      <w:r w:rsidR="00B868E6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настоящее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время</w:t>
      </w:r>
      <w:r w:rsidR="005052E6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помимо</w:t>
      </w:r>
      <w:r w:rsidR="00B72D6E">
        <w:rPr>
          <w:rFonts w:cs="Times New Roman"/>
          <w:sz w:val="24"/>
          <w:szCs w:val="24"/>
        </w:rPr>
        <w:t xml:space="preserve"> </w:t>
      </w:r>
      <w:r w:rsidR="004C6E04" w:rsidRPr="00B72D6E">
        <w:rPr>
          <w:rFonts w:cs="Times New Roman"/>
          <w:sz w:val="24"/>
          <w:szCs w:val="24"/>
        </w:rPr>
        <w:t>самого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Соглашения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о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Евразийском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Экономическом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Союзе,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заключено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пять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региональных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соглашений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(см.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табл.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2),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стадии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разработки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находятся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шесть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соглашений</w:t>
      </w:r>
      <w:r w:rsidR="007E7518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рассматривается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перспективность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заключения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соглашения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одной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страной.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Это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несопоставимо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количеством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соглашений,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которые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заключил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Европейский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Союз.</w:t>
      </w:r>
      <w:r w:rsidR="00B72D6E">
        <w:rPr>
          <w:rFonts w:cs="Times New Roman"/>
          <w:sz w:val="24"/>
          <w:szCs w:val="24"/>
        </w:rPr>
        <w:t xml:space="preserve"> </w:t>
      </w:r>
    </w:p>
    <w:p w:rsidR="00A050AB" w:rsidRPr="00B72D6E" w:rsidRDefault="00A050AB" w:rsidP="007E7518">
      <w:pPr>
        <w:jc w:val="right"/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Таблица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2</w:t>
      </w:r>
    </w:p>
    <w:p w:rsidR="00B868E6" w:rsidRPr="00B72D6E" w:rsidRDefault="00B868E6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Торговые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соглашения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456308" w:rsidRPr="00B72D6E">
        <w:rPr>
          <w:rFonts w:cs="Times New Roman"/>
          <w:sz w:val="24"/>
          <w:szCs w:val="24"/>
        </w:rPr>
        <w:t>«третьими»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странами</w:t>
      </w:r>
      <w:r w:rsidR="00D93A00" w:rsidRPr="00B72D6E">
        <w:rPr>
          <w:rFonts w:cs="Times New Roman"/>
          <w:sz w:val="24"/>
          <w:szCs w:val="24"/>
        </w:rPr>
        <w:t>:</w:t>
      </w:r>
      <w:r w:rsidR="00B72D6E">
        <w:rPr>
          <w:rFonts w:cs="Times New Roman"/>
          <w:sz w:val="24"/>
          <w:szCs w:val="24"/>
        </w:rPr>
        <w:t xml:space="preserve"> </w:t>
      </w:r>
      <w:r w:rsidR="00D93A00" w:rsidRPr="00B72D6E">
        <w:rPr>
          <w:rFonts w:cs="Times New Roman"/>
          <w:sz w:val="24"/>
          <w:szCs w:val="24"/>
        </w:rPr>
        <w:t>действующие</w:t>
      </w:r>
      <w:r w:rsidR="00B72D6E">
        <w:rPr>
          <w:rFonts w:cs="Times New Roman"/>
          <w:sz w:val="24"/>
          <w:szCs w:val="24"/>
        </w:rPr>
        <w:t xml:space="preserve"> </w:t>
      </w:r>
      <w:r w:rsidR="00D93A00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D93A00" w:rsidRPr="00B72D6E">
        <w:rPr>
          <w:rFonts w:cs="Times New Roman"/>
          <w:sz w:val="24"/>
          <w:szCs w:val="24"/>
        </w:rPr>
        <w:t>запланированные</w:t>
      </w:r>
      <w:r w:rsidR="0076629C" w:rsidRPr="00B72D6E">
        <w:rPr>
          <w:rFonts w:cs="Times New Roman"/>
          <w:sz w:val="24"/>
          <w:szCs w:val="24"/>
        </w:rPr>
        <w:t>*</w:t>
      </w:r>
    </w:p>
    <w:tbl>
      <w:tblPr>
        <w:tblStyle w:val="a6"/>
        <w:tblW w:w="0" w:type="auto"/>
        <w:tblInd w:w="704" w:type="dxa"/>
        <w:tblLook w:val="04A0"/>
      </w:tblPr>
      <w:tblGrid>
        <w:gridCol w:w="4112"/>
        <w:gridCol w:w="4110"/>
      </w:tblGrid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Государство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Количество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соглашений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</w:tr>
      <w:tr w:rsidR="00B868E6" w:rsidRPr="007E7518" w:rsidTr="00A050AB">
        <w:tc>
          <w:tcPr>
            <w:tcW w:w="8222" w:type="dxa"/>
            <w:gridSpan w:val="2"/>
          </w:tcPr>
          <w:p w:rsidR="00B868E6" w:rsidRPr="007E7518" w:rsidRDefault="00D2587C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Действующие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="00313D74" w:rsidRPr="007E7518">
              <w:rPr>
                <w:rFonts w:ascii="Times New Roman" w:hAnsi="Times New Roman"/>
              </w:rPr>
              <w:t>т</w:t>
            </w:r>
            <w:r w:rsidR="00B868E6" w:rsidRPr="007E7518">
              <w:rPr>
                <w:rFonts w:ascii="Times New Roman" w:hAnsi="Times New Roman"/>
              </w:rPr>
              <w:t>орговые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="00B868E6" w:rsidRPr="007E7518">
              <w:rPr>
                <w:rFonts w:ascii="Times New Roman" w:hAnsi="Times New Roman"/>
              </w:rPr>
              <w:t>соглашения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="00B868E6" w:rsidRPr="007E7518">
              <w:rPr>
                <w:rFonts w:ascii="Times New Roman" w:hAnsi="Times New Roman"/>
              </w:rPr>
              <w:t>ЕАЭС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Вьетнам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Иран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Китай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Сербия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3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Сингапур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5</w:t>
            </w:r>
          </w:p>
        </w:tc>
      </w:tr>
      <w:tr w:rsidR="00B868E6" w:rsidRPr="007E7518" w:rsidTr="00A050AB">
        <w:tc>
          <w:tcPr>
            <w:tcW w:w="8222" w:type="dxa"/>
            <w:gridSpan w:val="2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Разрабатываемые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торговые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соглашения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ЕАЭС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Египет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Индия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Индонезия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Иран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Израиль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ОАЭ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  <w:tr w:rsidR="00B868E6" w:rsidRPr="007E7518" w:rsidTr="00A050AB">
        <w:tc>
          <w:tcPr>
            <w:tcW w:w="8222" w:type="dxa"/>
            <w:gridSpan w:val="2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Торговые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соглашения,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целесообразность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которых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  <w:r w:rsidRPr="007E7518">
              <w:rPr>
                <w:rFonts w:ascii="Times New Roman" w:hAnsi="Times New Roman"/>
              </w:rPr>
              <w:t>изучается</w:t>
            </w:r>
          </w:p>
        </w:tc>
      </w:tr>
      <w:tr w:rsidR="00B868E6" w:rsidRPr="007E7518" w:rsidTr="00A050AB">
        <w:tc>
          <w:tcPr>
            <w:tcW w:w="4112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Монголия</w:t>
            </w:r>
            <w:r w:rsidR="00B72D6E" w:rsidRPr="007E7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B868E6" w:rsidRPr="007E7518" w:rsidRDefault="00B868E6" w:rsidP="007E7518">
            <w:pPr>
              <w:pStyle w:val="ab"/>
              <w:rPr>
                <w:rFonts w:ascii="Times New Roman" w:hAnsi="Times New Roman"/>
              </w:rPr>
            </w:pPr>
            <w:r w:rsidRPr="007E7518">
              <w:rPr>
                <w:rFonts w:ascii="Times New Roman" w:hAnsi="Times New Roman"/>
              </w:rPr>
              <w:t>1</w:t>
            </w:r>
          </w:p>
        </w:tc>
      </w:tr>
    </w:tbl>
    <w:p w:rsidR="0076629C" w:rsidRPr="00B72D6E" w:rsidRDefault="0076629C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*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Составлено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основ</w:t>
      </w:r>
      <w:r w:rsidR="007E7518">
        <w:rPr>
          <w:rFonts w:cs="Times New Roman"/>
          <w:sz w:val="24"/>
          <w:szCs w:val="24"/>
        </w:rPr>
        <w:t>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информации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официального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сайта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ЕАЭС.</w:t>
      </w:r>
      <w:r w:rsidR="00EB64A4" w:rsidRPr="00B72D6E">
        <w:rPr>
          <w:rStyle w:val="a5"/>
          <w:sz w:val="24"/>
          <w:szCs w:val="24"/>
        </w:rPr>
        <w:footnoteReference w:id="6"/>
      </w:r>
    </w:p>
    <w:p w:rsidR="00C704CE" w:rsidRPr="00B72D6E" w:rsidRDefault="00590053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саммите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2025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год</w:t>
      </w:r>
      <w:r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международн</w:t>
      </w:r>
      <w:r w:rsidRPr="00B72D6E">
        <w:rPr>
          <w:rFonts w:cs="Times New Roman"/>
          <w:sz w:val="24"/>
          <w:szCs w:val="24"/>
        </w:rPr>
        <w:t>ая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повестка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расширения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была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представлена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ключевой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элемент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стратегического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планирования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0B43D9" w:rsidRPr="00B72D6E">
        <w:rPr>
          <w:rFonts w:cs="Times New Roman"/>
          <w:sz w:val="24"/>
          <w:szCs w:val="24"/>
        </w:rPr>
        <w:t>региональной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экономической</w:t>
      </w:r>
      <w:r w:rsidR="00B72D6E">
        <w:rPr>
          <w:rFonts w:cs="Times New Roman"/>
          <w:sz w:val="24"/>
          <w:szCs w:val="24"/>
        </w:rPr>
        <w:t xml:space="preserve"> </w:t>
      </w:r>
      <w:r w:rsidR="00C704CE" w:rsidRPr="00B72D6E">
        <w:rPr>
          <w:rFonts w:cs="Times New Roman"/>
          <w:sz w:val="24"/>
          <w:szCs w:val="24"/>
        </w:rPr>
        <w:t>интеграции.</w:t>
      </w:r>
      <w:r w:rsidR="00B72D6E">
        <w:rPr>
          <w:rFonts w:cs="Times New Roman"/>
          <w:sz w:val="24"/>
          <w:szCs w:val="24"/>
        </w:rPr>
        <w:t xml:space="preserve"> </w:t>
      </w:r>
      <w:r w:rsidR="00901CD6" w:rsidRPr="00B72D6E">
        <w:rPr>
          <w:rFonts w:cs="Times New Roman"/>
          <w:sz w:val="24"/>
          <w:szCs w:val="24"/>
        </w:rPr>
        <w:t>Цель</w:t>
      </w:r>
      <w:r w:rsidR="00B72D6E">
        <w:rPr>
          <w:rFonts w:cs="Times New Roman"/>
          <w:sz w:val="24"/>
          <w:szCs w:val="24"/>
        </w:rPr>
        <w:t xml:space="preserve"> </w:t>
      </w:r>
      <w:r w:rsidR="00901CD6" w:rsidRPr="00B72D6E">
        <w:rPr>
          <w:rFonts w:cs="Times New Roman"/>
          <w:sz w:val="24"/>
          <w:szCs w:val="24"/>
        </w:rPr>
        <w:t>международной</w:t>
      </w:r>
      <w:r w:rsidR="00B72D6E">
        <w:rPr>
          <w:rFonts w:cs="Times New Roman"/>
          <w:sz w:val="24"/>
          <w:szCs w:val="24"/>
        </w:rPr>
        <w:t xml:space="preserve"> </w:t>
      </w:r>
      <w:r w:rsidR="00901CD6" w:rsidRPr="00B72D6E">
        <w:rPr>
          <w:rFonts w:cs="Times New Roman"/>
          <w:sz w:val="24"/>
          <w:szCs w:val="24"/>
        </w:rPr>
        <w:t>повестки</w:t>
      </w:r>
      <w:r w:rsidR="00B72D6E">
        <w:rPr>
          <w:rFonts w:cs="Times New Roman"/>
          <w:sz w:val="24"/>
          <w:szCs w:val="24"/>
        </w:rPr>
        <w:t xml:space="preserve"> </w:t>
      </w:r>
      <w:r w:rsidR="000B43D9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0B43D9" w:rsidRPr="00B72D6E">
        <w:rPr>
          <w:rFonts w:cs="Times New Roman"/>
          <w:sz w:val="24"/>
          <w:szCs w:val="24"/>
        </w:rPr>
        <w:t>это</w:t>
      </w:r>
      <w:r w:rsidR="00B72D6E">
        <w:rPr>
          <w:rFonts w:cs="Times New Roman"/>
          <w:sz w:val="24"/>
          <w:szCs w:val="24"/>
        </w:rPr>
        <w:t xml:space="preserve"> </w:t>
      </w:r>
      <w:r w:rsidR="00901CD6" w:rsidRPr="00B72D6E">
        <w:rPr>
          <w:rFonts w:cs="Times New Roman"/>
          <w:sz w:val="24"/>
          <w:szCs w:val="24"/>
        </w:rPr>
        <w:t>создание</w:t>
      </w:r>
      <w:r w:rsidR="00B72D6E">
        <w:rPr>
          <w:rFonts w:cs="Times New Roman"/>
          <w:sz w:val="24"/>
          <w:szCs w:val="24"/>
        </w:rPr>
        <w:t xml:space="preserve"> </w:t>
      </w:r>
      <w:r w:rsidR="00764EF7" w:rsidRPr="00B72D6E">
        <w:rPr>
          <w:rFonts w:cs="Times New Roman"/>
          <w:sz w:val="24"/>
          <w:szCs w:val="24"/>
        </w:rPr>
        <w:t>фундамента</w:t>
      </w:r>
      <w:r w:rsidR="00B72D6E">
        <w:rPr>
          <w:rFonts w:cs="Times New Roman"/>
          <w:sz w:val="24"/>
          <w:szCs w:val="24"/>
        </w:rPr>
        <w:t xml:space="preserve"> </w:t>
      </w:r>
      <w:r w:rsidR="00764EF7"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«</w:t>
      </w:r>
      <w:r w:rsidR="00FA72DA">
        <w:rPr>
          <w:rFonts w:cs="Times New Roman"/>
          <w:sz w:val="24"/>
          <w:szCs w:val="24"/>
        </w:rPr>
        <w:t>Б</w:t>
      </w:r>
      <w:r w:rsidR="00764EF7" w:rsidRPr="00B72D6E">
        <w:rPr>
          <w:rFonts w:cs="Times New Roman"/>
          <w:sz w:val="24"/>
          <w:szCs w:val="24"/>
        </w:rPr>
        <w:t>ольшого</w:t>
      </w:r>
      <w:r w:rsidR="00B72D6E">
        <w:rPr>
          <w:rFonts w:cs="Times New Roman"/>
          <w:sz w:val="24"/>
          <w:szCs w:val="24"/>
        </w:rPr>
        <w:t xml:space="preserve"> </w:t>
      </w:r>
      <w:r w:rsidR="00764EF7" w:rsidRPr="00B72D6E">
        <w:rPr>
          <w:rFonts w:cs="Times New Roman"/>
          <w:sz w:val="24"/>
          <w:szCs w:val="24"/>
        </w:rPr>
        <w:t>евразийского</w:t>
      </w:r>
      <w:r w:rsidR="00B72D6E">
        <w:rPr>
          <w:rFonts w:cs="Times New Roman"/>
          <w:sz w:val="24"/>
          <w:szCs w:val="24"/>
        </w:rPr>
        <w:t xml:space="preserve"> </w:t>
      </w:r>
      <w:r w:rsidR="00764EF7" w:rsidRPr="00B72D6E">
        <w:rPr>
          <w:rFonts w:cs="Times New Roman"/>
          <w:sz w:val="24"/>
          <w:szCs w:val="24"/>
        </w:rPr>
        <w:t>партнерства»</w:t>
      </w:r>
      <w:r w:rsidR="00756E8A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</w:p>
    <w:p w:rsidR="00756E8A" w:rsidRPr="00B72D6E" w:rsidRDefault="000B43D9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Особое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внимание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связи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данной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повесткой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следует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уделить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решению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проблемы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улучшения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доступа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к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внешним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рынкам.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Достижению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поставленной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цели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должна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способствовать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фактическая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реализация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ранее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заключенных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международных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соглашений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третьими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странами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их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внутригосударственном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уровне</w:t>
      </w:r>
      <w:r w:rsidR="00C713F8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требует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адаптации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трансформации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национальны</w:t>
      </w:r>
      <w:r w:rsidR="00C713F8" w:rsidRPr="00B72D6E">
        <w:rPr>
          <w:rFonts w:cs="Times New Roman"/>
          <w:sz w:val="24"/>
          <w:szCs w:val="24"/>
        </w:rPr>
        <w:t>х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нормативно-правовых</w:t>
      </w:r>
      <w:r w:rsidR="00B72D6E">
        <w:rPr>
          <w:rFonts w:cs="Times New Roman"/>
          <w:sz w:val="24"/>
          <w:szCs w:val="24"/>
        </w:rPr>
        <w:t xml:space="preserve"> </w:t>
      </w:r>
      <w:r w:rsidR="00893EDD" w:rsidRPr="00B72D6E">
        <w:rPr>
          <w:rFonts w:cs="Times New Roman"/>
          <w:sz w:val="24"/>
          <w:szCs w:val="24"/>
        </w:rPr>
        <w:t>акт</w:t>
      </w:r>
      <w:r w:rsidR="00C713F8" w:rsidRPr="00B72D6E">
        <w:rPr>
          <w:rFonts w:cs="Times New Roman"/>
          <w:sz w:val="24"/>
          <w:szCs w:val="24"/>
        </w:rPr>
        <w:t>ов.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Такими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странами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являются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Вьетнам,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КНР,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Сингапур,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Сербия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Иран.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Вместе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тем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необходимо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планир</w:t>
      </w:r>
      <w:r w:rsidR="005052E6" w:rsidRPr="00B72D6E">
        <w:rPr>
          <w:rFonts w:cs="Times New Roman"/>
          <w:sz w:val="24"/>
          <w:szCs w:val="24"/>
        </w:rPr>
        <w:t>овать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расширение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таких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партнерств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изучат</w:t>
      </w:r>
      <w:r w:rsidR="005052E6" w:rsidRPr="00B72D6E">
        <w:rPr>
          <w:rFonts w:cs="Times New Roman"/>
          <w:sz w:val="24"/>
          <w:szCs w:val="24"/>
        </w:rPr>
        <w:t>ь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возможности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заключения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новых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соглашений</w:t>
      </w:r>
      <w:r w:rsidR="00C713F8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FA72DA">
        <w:rPr>
          <w:rFonts w:cs="Times New Roman"/>
          <w:sz w:val="24"/>
          <w:szCs w:val="24"/>
        </w:rPr>
        <w:t>П</w:t>
      </w:r>
      <w:r w:rsidR="00C713F8" w:rsidRPr="00B72D6E">
        <w:rPr>
          <w:rFonts w:cs="Times New Roman"/>
          <w:sz w:val="24"/>
          <w:szCs w:val="24"/>
        </w:rPr>
        <w:t>ерспективны</w:t>
      </w:r>
      <w:r w:rsidR="00FA72DA">
        <w:rPr>
          <w:rFonts w:cs="Times New Roman"/>
          <w:sz w:val="24"/>
          <w:szCs w:val="24"/>
        </w:rPr>
        <w:t>ми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партнер</w:t>
      </w:r>
      <w:r w:rsidR="00FA72DA">
        <w:rPr>
          <w:rFonts w:cs="Times New Roman"/>
          <w:sz w:val="24"/>
          <w:szCs w:val="24"/>
        </w:rPr>
        <w:t>ами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могут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быть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страны,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которыми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у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государств-членов</w:t>
      </w:r>
      <w:r w:rsidR="00B72D6E">
        <w:rPr>
          <w:rFonts w:cs="Times New Roman"/>
          <w:sz w:val="24"/>
          <w:szCs w:val="24"/>
        </w:rPr>
        <w:t xml:space="preserve"> </w:t>
      </w:r>
      <w:r w:rsidR="00FA72DA">
        <w:rPr>
          <w:rFonts w:cs="Times New Roman"/>
          <w:sz w:val="24"/>
          <w:szCs w:val="24"/>
        </w:rPr>
        <w:t>С</w:t>
      </w:r>
      <w:r w:rsidR="00C713F8" w:rsidRPr="00B72D6E">
        <w:rPr>
          <w:rFonts w:cs="Times New Roman"/>
          <w:sz w:val="24"/>
          <w:szCs w:val="24"/>
        </w:rPr>
        <w:t>оюза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уже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имеются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стабильные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значительные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объемы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товарооборота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–</w:t>
      </w:r>
      <w:r w:rsidR="00B72D6E">
        <w:rPr>
          <w:rFonts w:cs="Times New Roman"/>
          <w:sz w:val="24"/>
          <w:szCs w:val="24"/>
        </w:rPr>
        <w:t xml:space="preserve"> </w:t>
      </w:r>
      <w:r w:rsidR="00C713F8" w:rsidRPr="00B72D6E">
        <w:rPr>
          <w:rFonts w:cs="Times New Roman"/>
          <w:sz w:val="24"/>
          <w:szCs w:val="24"/>
        </w:rPr>
        <w:t>это,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прежде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всего</w:t>
      </w:r>
      <w:r w:rsidR="00C713F8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Егип</w:t>
      </w:r>
      <w:r w:rsidR="00C713F8" w:rsidRPr="00B72D6E">
        <w:rPr>
          <w:rFonts w:cs="Times New Roman"/>
          <w:sz w:val="24"/>
          <w:szCs w:val="24"/>
        </w:rPr>
        <w:t>е</w:t>
      </w:r>
      <w:r w:rsidR="00756E8A" w:rsidRPr="00B72D6E">
        <w:rPr>
          <w:rFonts w:cs="Times New Roman"/>
          <w:sz w:val="24"/>
          <w:szCs w:val="24"/>
        </w:rPr>
        <w:t>т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Инди</w:t>
      </w:r>
      <w:r w:rsidR="00003277" w:rsidRPr="00B72D6E">
        <w:rPr>
          <w:rFonts w:cs="Times New Roman"/>
          <w:sz w:val="24"/>
          <w:szCs w:val="24"/>
        </w:rPr>
        <w:t>я.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Не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исключается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возможность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соглашений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другими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заинтересованными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государствами,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интеграционными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блоками</w:t>
      </w:r>
      <w:r w:rsidR="005052E6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Перспективным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партнером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может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стать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АСЕАН</w:t>
      </w:r>
      <w:r w:rsidR="00756E8A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Приведение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торговых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режимов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с</w:t>
      </w:r>
      <w:r w:rsidR="00003277" w:rsidRPr="00B72D6E">
        <w:rPr>
          <w:rFonts w:cs="Times New Roman"/>
          <w:sz w:val="24"/>
          <w:szCs w:val="24"/>
        </w:rPr>
        <w:t>тран-партнеров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унифицированный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вид,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разработка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совместн</w:t>
      </w:r>
      <w:r w:rsidR="00003277" w:rsidRPr="00B72D6E">
        <w:rPr>
          <w:rFonts w:cs="Times New Roman"/>
          <w:sz w:val="24"/>
          <w:szCs w:val="24"/>
        </w:rPr>
        <w:t>ых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проектов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поддержки</w:t>
      </w:r>
      <w:r w:rsidR="00B72D6E">
        <w:rPr>
          <w:rFonts w:cs="Times New Roman"/>
          <w:sz w:val="24"/>
          <w:szCs w:val="24"/>
        </w:rPr>
        <w:t xml:space="preserve"> </w:t>
      </w:r>
      <w:r w:rsidR="00756E8A" w:rsidRPr="00B72D6E">
        <w:rPr>
          <w:rFonts w:cs="Times New Roman"/>
          <w:sz w:val="24"/>
          <w:szCs w:val="24"/>
        </w:rPr>
        <w:t>экспорта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будут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способствовать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большей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свободе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доступа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внешних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рынков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для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торгующих</w:t>
      </w:r>
      <w:r w:rsidR="00B72D6E">
        <w:rPr>
          <w:rFonts w:cs="Times New Roman"/>
          <w:sz w:val="24"/>
          <w:szCs w:val="24"/>
        </w:rPr>
        <w:t xml:space="preserve"> </w:t>
      </w:r>
      <w:r w:rsidR="00003277" w:rsidRPr="00B72D6E">
        <w:rPr>
          <w:rFonts w:cs="Times New Roman"/>
          <w:sz w:val="24"/>
          <w:szCs w:val="24"/>
        </w:rPr>
        <w:t>компаний.</w:t>
      </w:r>
    </w:p>
    <w:p w:rsidR="00114324" w:rsidRPr="00B72D6E" w:rsidRDefault="00431ADF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Следует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отметить,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что</w:t>
      </w:r>
      <w:r w:rsidR="00B72D6E">
        <w:rPr>
          <w:rFonts w:cs="Times New Roman"/>
          <w:sz w:val="24"/>
          <w:szCs w:val="24"/>
        </w:rPr>
        <w:t xml:space="preserve"> </w:t>
      </w:r>
      <w:r w:rsidR="005A1573" w:rsidRPr="00B72D6E">
        <w:rPr>
          <w:rFonts w:cs="Times New Roman"/>
          <w:sz w:val="24"/>
          <w:szCs w:val="24"/>
        </w:rPr>
        <w:t>международное</w:t>
      </w:r>
      <w:r w:rsidR="00B72D6E">
        <w:rPr>
          <w:rFonts w:cs="Times New Roman"/>
          <w:sz w:val="24"/>
          <w:szCs w:val="24"/>
        </w:rPr>
        <w:t xml:space="preserve"> </w:t>
      </w:r>
      <w:r w:rsidR="005A1573" w:rsidRPr="00B72D6E">
        <w:rPr>
          <w:rFonts w:cs="Times New Roman"/>
          <w:sz w:val="24"/>
          <w:szCs w:val="24"/>
        </w:rPr>
        <w:t>сотрудничество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представляется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многоформатн</w:t>
      </w:r>
      <w:r w:rsidR="00B42F48" w:rsidRPr="00B72D6E">
        <w:rPr>
          <w:rFonts w:cs="Times New Roman"/>
          <w:sz w:val="24"/>
          <w:szCs w:val="24"/>
        </w:rPr>
        <w:t>ый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проект.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Это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означает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готовность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к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налаживанию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партнерских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отношений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как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зарубежными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странами,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так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FA72DA">
        <w:rPr>
          <w:rFonts w:cs="Times New Roman"/>
          <w:sz w:val="24"/>
          <w:szCs w:val="24"/>
        </w:rPr>
        <w:t xml:space="preserve">с </w:t>
      </w:r>
      <w:r w:rsidR="00114324" w:rsidRPr="00B72D6E">
        <w:rPr>
          <w:rFonts w:cs="Times New Roman"/>
          <w:sz w:val="24"/>
          <w:szCs w:val="24"/>
        </w:rPr>
        <w:t>интеграционны</w:t>
      </w:r>
      <w:r w:rsidR="00B42F48" w:rsidRPr="00B72D6E">
        <w:rPr>
          <w:rFonts w:cs="Times New Roman"/>
          <w:sz w:val="24"/>
          <w:szCs w:val="24"/>
        </w:rPr>
        <w:t>ми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объединения</w:t>
      </w:r>
      <w:r w:rsidR="00B42F48" w:rsidRPr="00B72D6E">
        <w:rPr>
          <w:rFonts w:cs="Times New Roman"/>
          <w:sz w:val="24"/>
          <w:szCs w:val="24"/>
        </w:rPr>
        <w:t>ми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разных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регионов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мира</w:t>
      </w:r>
      <w:r w:rsidR="00114324" w:rsidRPr="00B72D6E">
        <w:rPr>
          <w:rFonts w:cs="Times New Roman"/>
          <w:sz w:val="24"/>
          <w:szCs w:val="24"/>
        </w:rPr>
        <w:t>.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У</w:t>
      </w:r>
      <w:r w:rsidR="00B42F48" w:rsidRPr="00B72D6E">
        <w:rPr>
          <w:rFonts w:cs="Times New Roman"/>
          <w:sz w:val="24"/>
          <w:szCs w:val="24"/>
        </w:rPr>
        <w:t>становлена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определенная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п</w:t>
      </w:r>
      <w:r w:rsidR="00114324" w:rsidRPr="00B72D6E">
        <w:rPr>
          <w:rFonts w:cs="Times New Roman"/>
          <w:sz w:val="24"/>
          <w:szCs w:val="24"/>
        </w:rPr>
        <w:t>риоритетность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партнерств</w:t>
      </w:r>
      <w:r w:rsidR="00B42F48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которая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представлена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шестью</w:t>
      </w:r>
      <w:r w:rsidR="00B72D6E">
        <w:rPr>
          <w:rFonts w:cs="Times New Roman"/>
          <w:sz w:val="24"/>
          <w:szCs w:val="24"/>
        </w:rPr>
        <w:t xml:space="preserve"> </w:t>
      </w:r>
      <w:r w:rsidR="005052E6" w:rsidRPr="00B72D6E">
        <w:rPr>
          <w:rFonts w:cs="Times New Roman"/>
          <w:sz w:val="24"/>
          <w:szCs w:val="24"/>
        </w:rPr>
        <w:t>региональными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направлениями: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1)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СНГ;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2)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Европа,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ЕС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региона;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3)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Азия,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ШОС,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АСЕАН,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КНР,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Индия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другие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региона;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4)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Африка,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Африканский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союз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региона;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5)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Латинская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Америка,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МЕРКОСУР,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Тихоокеанский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альянс,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Андское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сообщество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наций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страны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региона;</w:t>
      </w:r>
      <w:r w:rsidR="00B72D6E">
        <w:rPr>
          <w:rFonts w:cs="Times New Roman"/>
          <w:sz w:val="24"/>
          <w:szCs w:val="24"/>
        </w:rPr>
        <w:t xml:space="preserve"> </w:t>
      </w:r>
      <w:r w:rsidR="00B42F48" w:rsidRPr="00B72D6E">
        <w:rPr>
          <w:rFonts w:cs="Times New Roman"/>
          <w:sz w:val="24"/>
          <w:szCs w:val="24"/>
        </w:rPr>
        <w:t>6)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другие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объединения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Латинской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Центральной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Америки,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Азии,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Африки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Ближнего</w:t>
      </w:r>
      <w:r w:rsidR="00B72D6E">
        <w:rPr>
          <w:rFonts w:cs="Times New Roman"/>
          <w:sz w:val="24"/>
          <w:szCs w:val="24"/>
        </w:rPr>
        <w:t xml:space="preserve"> </w:t>
      </w:r>
      <w:r w:rsidR="00114324" w:rsidRPr="00B72D6E">
        <w:rPr>
          <w:rFonts w:cs="Times New Roman"/>
          <w:sz w:val="24"/>
          <w:szCs w:val="24"/>
        </w:rPr>
        <w:t>Востока.</w:t>
      </w:r>
    </w:p>
    <w:p w:rsidR="00F5702D" w:rsidRPr="00B72D6E" w:rsidRDefault="004C6E01" w:rsidP="00B72D6E">
      <w:pPr>
        <w:rPr>
          <w:rFonts w:cs="Times New Roman"/>
          <w:sz w:val="24"/>
          <w:szCs w:val="24"/>
        </w:rPr>
      </w:pPr>
      <w:r w:rsidRPr="00B72D6E">
        <w:rPr>
          <w:rFonts w:cs="Times New Roman"/>
          <w:sz w:val="24"/>
          <w:szCs w:val="24"/>
        </w:rPr>
        <w:t>Реализация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многоформатного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требует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комплекса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инструментов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проработки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соответствующих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механизмов</w:t>
      </w:r>
      <w:r w:rsidR="004228B3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среди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которых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следует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обратить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внимание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т</w:t>
      </w:r>
      <w:r w:rsidR="00050B02" w:rsidRPr="00B72D6E">
        <w:rPr>
          <w:rFonts w:cs="Times New Roman"/>
          <w:sz w:val="24"/>
          <w:szCs w:val="24"/>
        </w:rPr>
        <w:t>ак</w:t>
      </w:r>
      <w:r w:rsidR="004228B3" w:rsidRPr="00B72D6E">
        <w:rPr>
          <w:rFonts w:cs="Times New Roman"/>
          <w:sz w:val="24"/>
          <w:szCs w:val="24"/>
        </w:rPr>
        <w:t>ие</w:t>
      </w:r>
      <w:r w:rsidR="00B72D6E">
        <w:rPr>
          <w:rFonts w:cs="Times New Roman"/>
          <w:sz w:val="24"/>
          <w:szCs w:val="24"/>
        </w:rPr>
        <w:t xml:space="preserve"> </w:t>
      </w:r>
      <w:r w:rsidR="00050B02" w:rsidRPr="00B72D6E">
        <w:rPr>
          <w:rFonts w:cs="Times New Roman"/>
          <w:sz w:val="24"/>
          <w:szCs w:val="24"/>
        </w:rPr>
        <w:t>как</w:t>
      </w:r>
      <w:r w:rsidR="004228B3" w:rsidRPr="00B72D6E">
        <w:rPr>
          <w:rFonts w:cs="Times New Roman"/>
          <w:sz w:val="24"/>
          <w:szCs w:val="24"/>
        </w:rPr>
        <w:t>: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р</w:t>
      </w:r>
      <w:r w:rsidRPr="00B72D6E">
        <w:rPr>
          <w:rFonts w:cs="Times New Roman"/>
          <w:sz w:val="24"/>
          <w:szCs w:val="24"/>
        </w:rPr>
        <w:t>еализация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меморандумов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сотрудничестве</w:t>
      </w:r>
      <w:r w:rsidR="004228B3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интенсификация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диалога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бизнес-сообществом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третьих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стран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(рассматриваются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приоритете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14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стран)</w:t>
      </w:r>
      <w:r w:rsidR="007236E6" w:rsidRPr="00B72D6E">
        <w:rPr>
          <w:rFonts w:cs="Times New Roman"/>
          <w:sz w:val="24"/>
          <w:szCs w:val="24"/>
        </w:rPr>
        <w:t>;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с</w:t>
      </w:r>
      <w:r w:rsidRPr="00B72D6E">
        <w:rPr>
          <w:rFonts w:cs="Times New Roman"/>
          <w:sz w:val="24"/>
          <w:szCs w:val="24"/>
        </w:rPr>
        <w:t>координированная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работа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вопросам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сопряжения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интеграционных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процессов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евразийском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пространстве</w:t>
      </w:r>
      <w:r w:rsidR="007236E6" w:rsidRPr="00B72D6E">
        <w:rPr>
          <w:rFonts w:cs="Times New Roman"/>
          <w:sz w:val="24"/>
          <w:szCs w:val="24"/>
        </w:rPr>
        <w:t>;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о</w:t>
      </w:r>
      <w:r w:rsidRPr="00B72D6E">
        <w:rPr>
          <w:rFonts w:cs="Times New Roman"/>
          <w:sz w:val="24"/>
          <w:szCs w:val="24"/>
        </w:rPr>
        <w:t>беспечение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представленности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региональных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экономических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комиссиях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организациях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системы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ООН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рабочих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органах,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развитие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сотрудничества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ключевыми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профильными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международными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организациями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по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поводу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получени</w:t>
      </w:r>
      <w:r w:rsidR="007236E6" w:rsidRPr="00B72D6E">
        <w:rPr>
          <w:rFonts w:cs="Times New Roman"/>
          <w:sz w:val="24"/>
          <w:szCs w:val="24"/>
        </w:rPr>
        <w:t>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статуса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наблюдателя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при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Генеральной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Ассамблее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ООН</w:t>
      </w:r>
      <w:r w:rsidR="007236E6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статуса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члена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="00050B02" w:rsidRPr="00B72D6E">
        <w:rPr>
          <w:rFonts w:cs="Times New Roman"/>
          <w:sz w:val="24"/>
          <w:szCs w:val="24"/>
        </w:rPr>
        <w:t>ВТамО</w:t>
      </w:r>
      <w:r w:rsidR="007236E6" w:rsidRPr="00B72D6E">
        <w:rPr>
          <w:rFonts w:cs="Times New Roman"/>
          <w:sz w:val="24"/>
          <w:szCs w:val="24"/>
        </w:rPr>
        <w:t>,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а</w:t>
      </w:r>
      <w:r w:rsidR="00B72D6E">
        <w:rPr>
          <w:rFonts w:cs="Times New Roman"/>
          <w:sz w:val="24"/>
          <w:szCs w:val="24"/>
        </w:rPr>
        <w:t xml:space="preserve"> </w:t>
      </w:r>
      <w:r w:rsidR="007236E6" w:rsidRPr="00B72D6E">
        <w:rPr>
          <w:rFonts w:cs="Times New Roman"/>
          <w:sz w:val="24"/>
          <w:szCs w:val="24"/>
        </w:rPr>
        <w:t>также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статуса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наблюдателя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отдельных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органах</w:t>
      </w:r>
      <w:r w:rsidR="00B72D6E">
        <w:rPr>
          <w:rFonts w:cs="Times New Roman"/>
          <w:sz w:val="24"/>
          <w:szCs w:val="24"/>
        </w:rPr>
        <w:t xml:space="preserve"> </w:t>
      </w:r>
      <w:r w:rsidRPr="00B72D6E">
        <w:rPr>
          <w:rFonts w:cs="Times New Roman"/>
          <w:sz w:val="24"/>
          <w:szCs w:val="24"/>
        </w:rPr>
        <w:t>ВТО.</w:t>
      </w:r>
      <w:r w:rsidR="003B1BC8" w:rsidRPr="00B72D6E">
        <w:rPr>
          <w:rStyle w:val="a5"/>
          <w:sz w:val="24"/>
          <w:szCs w:val="24"/>
        </w:rPr>
        <w:footnoteReference w:id="7"/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Реализация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данных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мер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позволит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выйти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ЕАЭС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на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новый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уровень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интеграционного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развития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и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добиться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значительного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роста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внешнеэкономической</w:t>
      </w:r>
      <w:r w:rsidR="00B72D6E">
        <w:rPr>
          <w:rFonts w:cs="Times New Roman"/>
          <w:sz w:val="24"/>
          <w:szCs w:val="24"/>
        </w:rPr>
        <w:t xml:space="preserve"> </w:t>
      </w:r>
      <w:r w:rsidR="004228B3" w:rsidRPr="00B72D6E">
        <w:rPr>
          <w:rFonts w:cs="Times New Roman"/>
          <w:sz w:val="24"/>
          <w:szCs w:val="24"/>
        </w:rPr>
        <w:t>активности.</w:t>
      </w:r>
    </w:p>
    <w:sectPr w:rsidR="00F5702D" w:rsidRPr="00B72D6E" w:rsidSect="00B72D6E">
      <w:headerReference w:type="default" r:id="rId13"/>
      <w:footerReference w:type="default" r:id="rId14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D6E" w:rsidRDefault="00B72D6E" w:rsidP="006C65D4">
      <w:pPr>
        <w:spacing w:line="240" w:lineRule="auto"/>
      </w:pPr>
      <w:r>
        <w:separator/>
      </w:r>
    </w:p>
  </w:endnote>
  <w:endnote w:type="continuationSeparator" w:id="0">
    <w:p w:rsidR="00B72D6E" w:rsidRDefault="00B72D6E" w:rsidP="006C6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692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72D6E" w:rsidRPr="00B72D6E" w:rsidRDefault="00B72D6E" w:rsidP="00B72D6E">
        <w:pPr>
          <w:pStyle w:val="af"/>
          <w:jc w:val="center"/>
          <w:rPr>
            <w:sz w:val="24"/>
            <w:szCs w:val="24"/>
          </w:rPr>
        </w:pPr>
        <w:r w:rsidRPr="00B72D6E">
          <w:rPr>
            <w:sz w:val="24"/>
            <w:szCs w:val="24"/>
          </w:rPr>
          <w:fldChar w:fldCharType="begin"/>
        </w:r>
        <w:r w:rsidRPr="00B72D6E">
          <w:rPr>
            <w:sz w:val="24"/>
            <w:szCs w:val="24"/>
          </w:rPr>
          <w:instrText xml:space="preserve"> PAGE   \* MERGEFORMAT </w:instrText>
        </w:r>
        <w:r w:rsidRPr="00B72D6E">
          <w:rPr>
            <w:sz w:val="24"/>
            <w:szCs w:val="24"/>
          </w:rPr>
          <w:fldChar w:fldCharType="separate"/>
        </w:r>
        <w:r w:rsidR="00F43ACE">
          <w:rPr>
            <w:noProof/>
            <w:sz w:val="24"/>
            <w:szCs w:val="24"/>
          </w:rPr>
          <w:t>1</w:t>
        </w:r>
        <w:r w:rsidRPr="00B72D6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D6E" w:rsidRDefault="00B72D6E" w:rsidP="006C65D4">
      <w:pPr>
        <w:spacing w:line="240" w:lineRule="auto"/>
      </w:pPr>
      <w:r>
        <w:separator/>
      </w:r>
    </w:p>
  </w:footnote>
  <w:footnote w:type="continuationSeparator" w:id="0">
    <w:p w:rsidR="00B72D6E" w:rsidRDefault="00B72D6E" w:rsidP="006C65D4">
      <w:pPr>
        <w:spacing w:line="240" w:lineRule="auto"/>
      </w:pPr>
      <w:r>
        <w:continuationSeparator/>
      </w:r>
    </w:p>
  </w:footnote>
  <w:footnote w:id="1">
    <w:p w:rsidR="00B72D6E" w:rsidRPr="00B72D6E" w:rsidRDefault="00B72D6E" w:rsidP="00B72D6E">
      <w:pPr>
        <w:pStyle w:val="a3"/>
        <w:ind w:firstLine="709"/>
        <w:jc w:val="both"/>
      </w:pPr>
      <w:r w:rsidRPr="00B72D6E">
        <w:rPr>
          <w:rStyle w:val="a5"/>
        </w:rPr>
        <w:footnoteRef/>
      </w:r>
      <w:r>
        <w:t xml:space="preserve"> </w:t>
      </w:r>
      <w:r w:rsidRPr="00B72D6E">
        <w:t>О</w:t>
      </w:r>
      <w:r>
        <w:t xml:space="preserve"> </w:t>
      </w:r>
      <w:r w:rsidRPr="00B72D6E">
        <w:t>российской</w:t>
      </w:r>
      <w:r>
        <w:t xml:space="preserve"> </w:t>
      </w:r>
      <w:r w:rsidRPr="00B72D6E">
        <w:t>инициативе</w:t>
      </w:r>
      <w:r>
        <w:t xml:space="preserve"> </w:t>
      </w:r>
      <w:r w:rsidRPr="00B72D6E">
        <w:t>Большого</w:t>
      </w:r>
      <w:r>
        <w:t xml:space="preserve"> </w:t>
      </w:r>
      <w:r w:rsidRPr="00B72D6E">
        <w:t>Евразийского</w:t>
      </w:r>
      <w:r>
        <w:t xml:space="preserve"> </w:t>
      </w:r>
      <w:r w:rsidRPr="00B72D6E">
        <w:t>партнерства</w:t>
      </w:r>
      <w:r>
        <w:t xml:space="preserve"> / </w:t>
      </w:r>
      <w:r w:rsidRPr="00B72D6E">
        <w:t>Министерство</w:t>
      </w:r>
      <w:r>
        <w:t xml:space="preserve"> </w:t>
      </w:r>
      <w:r w:rsidRPr="00B72D6E">
        <w:t>иностранных</w:t>
      </w:r>
      <w:r>
        <w:t xml:space="preserve"> </w:t>
      </w:r>
      <w:r w:rsidRPr="00B72D6E">
        <w:t>дел</w:t>
      </w:r>
      <w:r>
        <w:t xml:space="preserve"> </w:t>
      </w:r>
      <w:r w:rsidRPr="00B72D6E">
        <w:t>РФ.</w:t>
      </w:r>
      <w:r>
        <w:t xml:space="preserve"> </w:t>
      </w:r>
      <w:r w:rsidRPr="00B72D6E">
        <w:t>–</w:t>
      </w:r>
      <w:r>
        <w:t xml:space="preserve"> – </w:t>
      </w:r>
      <w:r w:rsidRPr="00B72D6E">
        <w:t>https://www.mid.ru/ru/activity/coordinating_and_advisory_body/head_of_subjects_council/materialy-o-vypolnenii-rekomendacij-zasedanij-sgs/xxxvi-zasedanie-sgs/1767070/</w:t>
      </w:r>
    </w:p>
  </w:footnote>
  <w:footnote w:id="2">
    <w:p w:rsidR="00B72D6E" w:rsidRPr="007E7518" w:rsidRDefault="00B72D6E" w:rsidP="00B72D6E">
      <w:pPr>
        <w:pStyle w:val="a3"/>
        <w:ind w:firstLine="709"/>
        <w:jc w:val="both"/>
      </w:pPr>
      <w:r w:rsidRPr="007E7518">
        <w:rPr>
          <w:rStyle w:val="a5"/>
        </w:rPr>
        <w:footnoteRef/>
      </w:r>
      <w:r w:rsidRPr="007E7518">
        <w:t xml:space="preserve"> ЕАЭС - Макроэкономические показатели. Открытый портал. –</w:t>
      </w:r>
      <w:r w:rsidR="007E7518" w:rsidRPr="007E7518">
        <w:t xml:space="preserve"> </w:t>
      </w:r>
      <w:hyperlink r:id="rId1" w:history="1">
        <w:r w:rsidRPr="007E7518">
          <w:rPr>
            <w:rStyle w:val="aa"/>
            <w:color w:val="auto"/>
            <w:u w:val="none"/>
          </w:rPr>
          <w:t>https://eaeu.economy.gov.ru/macroeconomic</w:t>
        </w:r>
      </w:hyperlink>
      <w:r w:rsidRPr="007E7518">
        <w:t>_indicators</w:t>
      </w:r>
    </w:p>
  </w:footnote>
  <w:footnote w:id="3">
    <w:p w:rsidR="00B72D6E" w:rsidRPr="007E7518" w:rsidRDefault="00B72D6E" w:rsidP="00B72D6E">
      <w:pPr>
        <w:pStyle w:val="a3"/>
        <w:ind w:firstLine="709"/>
        <w:jc w:val="both"/>
        <w:rPr>
          <w:lang w:val="en-US"/>
        </w:rPr>
      </w:pPr>
      <w:r w:rsidRPr="00B72D6E">
        <w:rPr>
          <w:rStyle w:val="a5"/>
        </w:rPr>
        <w:footnoteRef/>
      </w:r>
      <w:r>
        <w:t xml:space="preserve"> </w:t>
      </w:r>
      <w:r w:rsidRPr="00B72D6E">
        <w:t>ЕАЭС</w:t>
      </w:r>
      <w:r>
        <w:t xml:space="preserve"> </w:t>
      </w:r>
      <w:r w:rsidRPr="00B72D6E">
        <w:t>-</w:t>
      </w:r>
      <w:r>
        <w:t xml:space="preserve"> </w:t>
      </w:r>
      <w:r w:rsidRPr="00B72D6E">
        <w:t>Макроэкономические</w:t>
      </w:r>
      <w:r>
        <w:t xml:space="preserve"> </w:t>
      </w:r>
      <w:r w:rsidRPr="00B72D6E">
        <w:t>показатели.</w:t>
      </w:r>
      <w:r>
        <w:t xml:space="preserve"> </w:t>
      </w:r>
      <w:r w:rsidRPr="00B72D6E">
        <w:t>Открытый</w:t>
      </w:r>
      <w:r w:rsidRPr="007E7518">
        <w:rPr>
          <w:lang w:val="en-US"/>
        </w:rPr>
        <w:t xml:space="preserve"> </w:t>
      </w:r>
      <w:r w:rsidRPr="00B72D6E">
        <w:t>портал</w:t>
      </w:r>
      <w:r w:rsidRPr="007E7518">
        <w:rPr>
          <w:lang w:val="en-US"/>
        </w:rPr>
        <w:t>.</w:t>
      </w:r>
      <w:r w:rsidR="007E7518" w:rsidRPr="007E7518">
        <w:rPr>
          <w:lang w:val="en-US"/>
        </w:rPr>
        <w:t xml:space="preserve"> </w:t>
      </w:r>
      <w:r w:rsidRPr="007E7518">
        <w:rPr>
          <w:lang w:val="en-US"/>
        </w:rPr>
        <w:t>–</w:t>
      </w:r>
      <w:r w:rsidR="007E7518" w:rsidRPr="007E7518">
        <w:rPr>
          <w:lang w:val="en-US"/>
        </w:rPr>
        <w:t xml:space="preserve"> </w:t>
      </w:r>
      <w:hyperlink r:id="rId2" w:history="1">
        <w:r w:rsidRPr="007E7518">
          <w:rPr>
            <w:rStyle w:val="aa"/>
            <w:color w:val="auto"/>
            <w:u w:val="none"/>
            <w:lang w:val="en-US"/>
          </w:rPr>
          <w:t>https://eaeu.economy.gov.ru/macro</w:t>
        </w:r>
      </w:hyperlink>
      <w:r w:rsidRPr="007E7518">
        <w:rPr>
          <w:lang w:val="en-US"/>
        </w:rPr>
        <w:t xml:space="preserve"> economic_indicators</w:t>
      </w:r>
    </w:p>
  </w:footnote>
  <w:footnote w:id="4">
    <w:p w:rsidR="00B72D6E" w:rsidRPr="00B72D6E" w:rsidRDefault="00B72D6E" w:rsidP="00B72D6E">
      <w:pPr>
        <w:spacing w:line="240" w:lineRule="auto"/>
        <w:rPr>
          <w:sz w:val="20"/>
          <w:szCs w:val="20"/>
        </w:rPr>
      </w:pPr>
      <w:r w:rsidRPr="00B72D6E"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Итоги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внешней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торговли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Российской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Федерации.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Федеральная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таможенная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служба.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https://customs.gov.ru/statistic/vneshn-torg/vneshn-torg-countries/</w:t>
      </w:r>
    </w:p>
  </w:footnote>
  <w:footnote w:id="5">
    <w:p w:rsidR="00B72D6E" w:rsidRPr="00B72D6E" w:rsidRDefault="00B72D6E" w:rsidP="00B72D6E">
      <w:pPr>
        <w:pStyle w:val="a3"/>
        <w:ind w:firstLine="709"/>
        <w:jc w:val="both"/>
        <w:rPr>
          <w:lang w:val="en-US"/>
        </w:rPr>
      </w:pPr>
      <w:r w:rsidRPr="00B72D6E">
        <w:rPr>
          <w:rStyle w:val="a5"/>
        </w:rPr>
        <w:footnoteRef/>
      </w:r>
      <w:r>
        <w:rPr>
          <w:lang w:val="en-US"/>
        </w:rPr>
        <w:t xml:space="preserve"> </w:t>
      </w:r>
      <w:r w:rsidRPr="00B72D6E">
        <w:rPr>
          <w:lang w:val="en-US"/>
        </w:rPr>
        <w:t>WTO.</w:t>
      </w:r>
      <w:r>
        <w:rPr>
          <w:lang w:val="en-US"/>
        </w:rPr>
        <w:t xml:space="preserve"> </w:t>
      </w:r>
      <w:r w:rsidRPr="00B72D6E">
        <w:rPr>
          <w:lang w:val="en-US"/>
        </w:rPr>
        <w:t>Regional</w:t>
      </w:r>
      <w:r>
        <w:rPr>
          <w:lang w:val="en-US"/>
        </w:rPr>
        <w:t xml:space="preserve"> </w:t>
      </w:r>
      <w:r w:rsidRPr="00B72D6E">
        <w:rPr>
          <w:lang w:val="en-US"/>
        </w:rPr>
        <w:t>trade</w:t>
      </w:r>
      <w:r>
        <w:rPr>
          <w:lang w:val="en-US"/>
        </w:rPr>
        <w:t xml:space="preserve"> </w:t>
      </w:r>
      <w:r w:rsidRPr="00B72D6E">
        <w:rPr>
          <w:lang w:val="en-US"/>
        </w:rPr>
        <w:t>agreements.</w:t>
      </w:r>
      <w:r>
        <w:rPr>
          <w:lang w:val="en-US"/>
        </w:rPr>
        <w:t xml:space="preserve"> </w:t>
      </w:r>
      <w:r w:rsidRPr="00B72D6E">
        <w:rPr>
          <w:lang w:val="en-US"/>
        </w:rPr>
        <w:t>–</w:t>
      </w:r>
      <w:r>
        <w:rPr>
          <w:lang w:val="en-US"/>
        </w:rPr>
        <w:t xml:space="preserve"> </w:t>
      </w:r>
      <w:r w:rsidRPr="00B72D6E">
        <w:rPr>
          <w:lang w:val="en-US"/>
        </w:rPr>
        <w:t>https://rtais.wto.org/UI/PublicMaintainRTAHome.aspx</w:t>
      </w:r>
    </w:p>
  </w:footnote>
  <w:footnote w:id="6">
    <w:p w:rsidR="00B72D6E" w:rsidRPr="00B72D6E" w:rsidRDefault="00B72D6E" w:rsidP="00FA72DA">
      <w:pPr>
        <w:tabs>
          <w:tab w:val="left" w:pos="993"/>
        </w:tabs>
        <w:spacing w:line="240" w:lineRule="auto"/>
      </w:pPr>
      <w:r w:rsidRPr="00B72D6E"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Евразийский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экономический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союз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(ЕАЭС)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B72D6E">
        <w:rPr>
          <w:sz w:val="20"/>
          <w:szCs w:val="20"/>
        </w:rPr>
        <w:t>https://eaeunion.org/</w:t>
      </w:r>
    </w:p>
  </w:footnote>
  <w:footnote w:id="7">
    <w:p w:rsidR="00B72D6E" w:rsidRPr="00B72D6E" w:rsidRDefault="00B72D6E" w:rsidP="00B72D6E">
      <w:pPr>
        <w:pStyle w:val="a3"/>
        <w:ind w:firstLine="709"/>
        <w:jc w:val="both"/>
      </w:pPr>
      <w:r w:rsidRPr="00B72D6E">
        <w:rPr>
          <w:rStyle w:val="a5"/>
        </w:rPr>
        <w:footnoteRef/>
      </w:r>
      <w:r>
        <w:t xml:space="preserve"> </w:t>
      </w:r>
      <w:r w:rsidRPr="00B72D6E">
        <w:t>Стратегия-2025.</w:t>
      </w:r>
      <w:r>
        <w:t xml:space="preserve"> </w:t>
      </w:r>
      <w:r w:rsidRPr="00B72D6E">
        <w:t>Вектор</w:t>
      </w:r>
      <w:r>
        <w:t xml:space="preserve"> </w:t>
      </w:r>
      <w:r w:rsidRPr="00B72D6E">
        <w:t>развития</w:t>
      </w:r>
      <w:r>
        <w:t xml:space="preserve"> </w:t>
      </w:r>
      <w:r w:rsidRPr="00B72D6E">
        <w:t>ЕАЭС</w:t>
      </w:r>
      <w:r>
        <w:t xml:space="preserve"> </w:t>
      </w:r>
      <w:r w:rsidRPr="00B72D6E">
        <w:t>на</w:t>
      </w:r>
      <w:r>
        <w:t xml:space="preserve"> </w:t>
      </w:r>
      <w:r w:rsidRPr="00B72D6E">
        <w:t>ближайшую</w:t>
      </w:r>
      <w:r>
        <w:t xml:space="preserve"> </w:t>
      </w:r>
      <w:r w:rsidRPr="00B72D6E">
        <w:t>перспективу</w:t>
      </w:r>
      <w:r>
        <w:t xml:space="preserve"> </w:t>
      </w:r>
      <w:r w:rsidRPr="00B72D6E">
        <w:t>.</w:t>
      </w:r>
      <w:r>
        <w:t xml:space="preserve"> </w:t>
      </w:r>
      <w:r w:rsidRPr="00B72D6E">
        <w:t>–</w:t>
      </w:r>
      <w:r>
        <w:t xml:space="preserve"> </w:t>
      </w:r>
      <w:r w:rsidRPr="00B72D6E">
        <w:rPr>
          <w:lang w:val="en-US"/>
        </w:rPr>
        <w:t>URL</w:t>
      </w:r>
      <w:r w:rsidRPr="00B72D6E">
        <w:t>:</w:t>
      </w:r>
      <w:r>
        <w:t xml:space="preserve"> </w:t>
      </w:r>
      <w:r w:rsidRPr="00B72D6E">
        <w:t>https://eec.eaeunion.org/upload/medialibrary/d3b/prezentatsiya_t6.pdf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6E" w:rsidRPr="00B72D6E" w:rsidRDefault="00B72D6E" w:rsidP="00B72D6E">
    <w:pPr>
      <w:pStyle w:val="ad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1C0"/>
    <w:multiLevelType w:val="hybridMultilevel"/>
    <w:tmpl w:val="05CCE576"/>
    <w:lvl w:ilvl="0" w:tplc="4644EE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3C473B"/>
    <w:multiLevelType w:val="multilevel"/>
    <w:tmpl w:val="E7A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A394A"/>
    <w:multiLevelType w:val="hybridMultilevel"/>
    <w:tmpl w:val="BC4E9ECE"/>
    <w:lvl w:ilvl="0" w:tplc="08703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6B4BF6"/>
    <w:multiLevelType w:val="multilevel"/>
    <w:tmpl w:val="B228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90BE9"/>
    <w:multiLevelType w:val="hybridMultilevel"/>
    <w:tmpl w:val="564E6C9C"/>
    <w:lvl w:ilvl="0" w:tplc="0484A0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4D0828"/>
    <w:multiLevelType w:val="hybridMultilevel"/>
    <w:tmpl w:val="36DC267A"/>
    <w:lvl w:ilvl="0" w:tplc="0484A0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5D3"/>
    <w:rsid w:val="00001758"/>
    <w:rsid w:val="00003277"/>
    <w:rsid w:val="00050B02"/>
    <w:rsid w:val="000647AB"/>
    <w:rsid w:val="000B303E"/>
    <w:rsid w:val="000B43D9"/>
    <w:rsid w:val="000D756A"/>
    <w:rsid w:val="00112AD1"/>
    <w:rsid w:val="00114324"/>
    <w:rsid w:val="00115E34"/>
    <w:rsid w:val="0012488E"/>
    <w:rsid w:val="001415F9"/>
    <w:rsid w:val="00163BD9"/>
    <w:rsid w:val="0017221B"/>
    <w:rsid w:val="00172F47"/>
    <w:rsid w:val="001C7290"/>
    <w:rsid w:val="001C796A"/>
    <w:rsid w:val="001E226A"/>
    <w:rsid w:val="00215890"/>
    <w:rsid w:val="00232D74"/>
    <w:rsid w:val="00244918"/>
    <w:rsid w:val="00247337"/>
    <w:rsid w:val="00250BF6"/>
    <w:rsid w:val="00261FF5"/>
    <w:rsid w:val="0028492B"/>
    <w:rsid w:val="002B0701"/>
    <w:rsid w:val="002C1D1A"/>
    <w:rsid w:val="002C29C1"/>
    <w:rsid w:val="002C5E46"/>
    <w:rsid w:val="002C6C4F"/>
    <w:rsid w:val="002D56FA"/>
    <w:rsid w:val="002E37B7"/>
    <w:rsid w:val="002E4A68"/>
    <w:rsid w:val="002E5C0A"/>
    <w:rsid w:val="00313D74"/>
    <w:rsid w:val="00327F25"/>
    <w:rsid w:val="00352791"/>
    <w:rsid w:val="003567B2"/>
    <w:rsid w:val="0036794B"/>
    <w:rsid w:val="00371DDD"/>
    <w:rsid w:val="00377621"/>
    <w:rsid w:val="00386BFC"/>
    <w:rsid w:val="003A7B56"/>
    <w:rsid w:val="003B1BC8"/>
    <w:rsid w:val="003B5532"/>
    <w:rsid w:val="003C7C23"/>
    <w:rsid w:val="003D0145"/>
    <w:rsid w:val="003D0CA1"/>
    <w:rsid w:val="003D3F74"/>
    <w:rsid w:val="003F6CA3"/>
    <w:rsid w:val="00402DC0"/>
    <w:rsid w:val="004120B5"/>
    <w:rsid w:val="0041524B"/>
    <w:rsid w:val="004228B3"/>
    <w:rsid w:val="00431ADF"/>
    <w:rsid w:val="004519D5"/>
    <w:rsid w:val="00456308"/>
    <w:rsid w:val="00471CCA"/>
    <w:rsid w:val="00484583"/>
    <w:rsid w:val="0048461B"/>
    <w:rsid w:val="004C6E01"/>
    <w:rsid w:val="004C6E04"/>
    <w:rsid w:val="004E3039"/>
    <w:rsid w:val="004E3380"/>
    <w:rsid w:val="004E49F9"/>
    <w:rsid w:val="005052E6"/>
    <w:rsid w:val="00525078"/>
    <w:rsid w:val="00533F4E"/>
    <w:rsid w:val="00565A12"/>
    <w:rsid w:val="00576AC2"/>
    <w:rsid w:val="00576C5C"/>
    <w:rsid w:val="00590053"/>
    <w:rsid w:val="00590549"/>
    <w:rsid w:val="005905AC"/>
    <w:rsid w:val="005A1573"/>
    <w:rsid w:val="005B206B"/>
    <w:rsid w:val="005C56E0"/>
    <w:rsid w:val="005C6A0F"/>
    <w:rsid w:val="005F103C"/>
    <w:rsid w:val="005F25BA"/>
    <w:rsid w:val="00611E9E"/>
    <w:rsid w:val="00612ECC"/>
    <w:rsid w:val="0065227A"/>
    <w:rsid w:val="006943BD"/>
    <w:rsid w:val="0069521A"/>
    <w:rsid w:val="006B10B3"/>
    <w:rsid w:val="006B6F19"/>
    <w:rsid w:val="006C65D4"/>
    <w:rsid w:val="006E597F"/>
    <w:rsid w:val="006E6826"/>
    <w:rsid w:val="006F4362"/>
    <w:rsid w:val="007236E6"/>
    <w:rsid w:val="00750C86"/>
    <w:rsid w:val="00756E8A"/>
    <w:rsid w:val="00764EF7"/>
    <w:rsid w:val="0076629C"/>
    <w:rsid w:val="0077335B"/>
    <w:rsid w:val="007920A7"/>
    <w:rsid w:val="007A4722"/>
    <w:rsid w:val="007A774A"/>
    <w:rsid w:val="007E0681"/>
    <w:rsid w:val="007E4830"/>
    <w:rsid w:val="007E7518"/>
    <w:rsid w:val="00805573"/>
    <w:rsid w:val="00844D72"/>
    <w:rsid w:val="00893EDD"/>
    <w:rsid w:val="00896008"/>
    <w:rsid w:val="008D3527"/>
    <w:rsid w:val="008D3772"/>
    <w:rsid w:val="008F7E1A"/>
    <w:rsid w:val="00901CD6"/>
    <w:rsid w:val="009033EA"/>
    <w:rsid w:val="0091250F"/>
    <w:rsid w:val="0092408F"/>
    <w:rsid w:val="00967EFB"/>
    <w:rsid w:val="00974917"/>
    <w:rsid w:val="00990959"/>
    <w:rsid w:val="00996BB5"/>
    <w:rsid w:val="00997B3E"/>
    <w:rsid w:val="009A7756"/>
    <w:rsid w:val="009D5534"/>
    <w:rsid w:val="009F6C91"/>
    <w:rsid w:val="00A050AB"/>
    <w:rsid w:val="00A139D3"/>
    <w:rsid w:val="00A21C70"/>
    <w:rsid w:val="00A34776"/>
    <w:rsid w:val="00A4049F"/>
    <w:rsid w:val="00A629AD"/>
    <w:rsid w:val="00A73D9D"/>
    <w:rsid w:val="00A8254B"/>
    <w:rsid w:val="00A965D3"/>
    <w:rsid w:val="00AD7B7A"/>
    <w:rsid w:val="00AE4A61"/>
    <w:rsid w:val="00AF7F9D"/>
    <w:rsid w:val="00B12DC2"/>
    <w:rsid w:val="00B23A7A"/>
    <w:rsid w:val="00B42F48"/>
    <w:rsid w:val="00B72D6E"/>
    <w:rsid w:val="00B7367B"/>
    <w:rsid w:val="00B86319"/>
    <w:rsid w:val="00B868E6"/>
    <w:rsid w:val="00BA52B2"/>
    <w:rsid w:val="00BA561A"/>
    <w:rsid w:val="00BC16F2"/>
    <w:rsid w:val="00BD032B"/>
    <w:rsid w:val="00BF74B0"/>
    <w:rsid w:val="00C03A99"/>
    <w:rsid w:val="00C25283"/>
    <w:rsid w:val="00C316AD"/>
    <w:rsid w:val="00C704CE"/>
    <w:rsid w:val="00C713F8"/>
    <w:rsid w:val="00C90228"/>
    <w:rsid w:val="00CB324A"/>
    <w:rsid w:val="00CB5727"/>
    <w:rsid w:val="00CF0627"/>
    <w:rsid w:val="00CF55FE"/>
    <w:rsid w:val="00D2587C"/>
    <w:rsid w:val="00D45A20"/>
    <w:rsid w:val="00D62671"/>
    <w:rsid w:val="00D63541"/>
    <w:rsid w:val="00D766BF"/>
    <w:rsid w:val="00D93A00"/>
    <w:rsid w:val="00DA3C64"/>
    <w:rsid w:val="00E01104"/>
    <w:rsid w:val="00E0501D"/>
    <w:rsid w:val="00E20340"/>
    <w:rsid w:val="00E45795"/>
    <w:rsid w:val="00E47DFE"/>
    <w:rsid w:val="00E83594"/>
    <w:rsid w:val="00EB521E"/>
    <w:rsid w:val="00EB64A4"/>
    <w:rsid w:val="00EB6C72"/>
    <w:rsid w:val="00EC55C3"/>
    <w:rsid w:val="00EC681F"/>
    <w:rsid w:val="00EF5B86"/>
    <w:rsid w:val="00F036AE"/>
    <w:rsid w:val="00F143AA"/>
    <w:rsid w:val="00F17996"/>
    <w:rsid w:val="00F43ACE"/>
    <w:rsid w:val="00F46040"/>
    <w:rsid w:val="00F5702D"/>
    <w:rsid w:val="00F62F2C"/>
    <w:rsid w:val="00F63947"/>
    <w:rsid w:val="00F73113"/>
    <w:rsid w:val="00FA72DA"/>
    <w:rsid w:val="00FC427B"/>
    <w:rsid w:val="00FF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9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1524B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65D4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6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C65D4"/>
    <w:rPr>
      <w:rFonts w:cs="Times New Roman"/>
      <w:vertAlign w:val="superscript"/>
    </w:rPr>
  </w:style>
  <w:style w:type="table" w:styleId="a6">
    <w:name w:val="Table Grid"/>
    <w:basedOn w:val="a1"/>
    <w:uiPriority w:val="39"/>
    <w:rsid w:val="008D3772"/>
    <w:pPr>
      <w:spacing w:after="0" w:line="240" w:lineRule="auto"/>
    </w:pPr>
    <w:rPr>
      <w:rFonts w:eastAsia="Times New Roman" w:cs="Times New Roman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488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86BF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86BFC"/>
    <w:rPr>
      <w:b/>
      <w:bCs/>
    </w:rPr>
  </w:style>
  <w:style w:type="character" w:styleId="aa">
    <w:name w:val="Hyperlink"/>
    <w:basedOn w:val="a0"/>
    <w:uiPriority w:val="99"/>
    <w:unhideWhenUsed/>
    <w:rsid w:val="00386BFC"/>
    <w:rPr>
      <w:color w:val="0000FF"/>
      <w:u w:val="single"/>
    </w:rPr>
  </w:style>
  <w:style w:type="character" w:customStyle="1" w:styleId="vkekvd">
    <w:name w:val="vkekvd"/>
    <w:basedOn w:val="a0"/>
    <w:rsid w:val="00C03A99"/>
  </w:style>
  <w:style w:type="character" w:customStyle="1" w:styleId="n9q8lc">
    <w:name w:val="n9q8lc"/>
    <w:basedOn w:val="a0"/>
    <w:rsid w:val="00C03A99"/>
  </w:style>
  <w:style w:type="character" w:customStyle="1" w:styleId="10">
    <w:name w:val="Заголовок 1 Знак"/>
    <w:basedOn w:val="a0"/>
    <w:link w:val="1"/>
    <w:uiPriority w:val="9"/>
    <w:rsid w:val="00415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link w:val="ac"/>
    <w:uiPriority w:val="1"/>
    <w:qFormat/>
    <w:rsid w:val="00232D74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232D74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0175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B72D6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72D6E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B72D6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2D6E"/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7E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7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6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aeu.economy.gov.ru/macro" TargetMode="External"/><Relationship Id="rId1" Type="http://schemas.openxmlformats.org/officeDocument/2006/relationships/hyperlink" Target="https://eaeu.economy.gov.ru/macroeconomic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3CDCA-8F4E-3346-A80A-DF7103099B31}" type="doc">
      <dgm:prSet loTypeId="urn:microsoft.com/office/officeart/2005/8/layout/process4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50DE2AA-B3FC-DD4E-93D9-B7BF58ADC0A7}">
      <dgm:prSet phldrT="[Текст]" custT="1"/>
      <dgm:spPr>
        <a:xfrm rot="10800000">
          <a:off x="0" y="1187"/>
          <a:ext cx="6248400" cy="538201"/>
        </a:xfrm>
        <a:prstGeom prst="upArrowCallou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Меморандумы о намерениях </a:t>
          </a:r>
        </a:p>
      </dgm:t>
    </dgm:pt>
    <dgm:pt modelId="{18759862-F3FC-DF48-A2CB-DE46DBB9D0A2}" type="parTrans" cxnId="{DE162EF6-BA9D-9D42-840F-78EB5326D3A1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129589-28B3-CE41-AE82-02A41630824B}" type="sibTrans" cxnId="{DE162EF6-BA9D-9D42-840F-78EB5326D3A1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2534EA-93D7-3148-807E-CAACFDDCDBDC}">
      <dgm:prSet phldrT="[Текст]" custT="1"/>
      <dgm:spPr>
        <a:xfrm rot="10800000">
          <a:off x="0" y="534139"/>
          <a:ext cx="6248400" cy="538201"/>
        </a:xfrm>
        <a:prstGeom prst="upArrowCallou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Преференциальные соглашения</a:t>
          </a:r>
        </a:p>
      </dgm:t>
    </dgm:pt>
    <dgm:pt modelId="{D2398CB2-BD25-5949-B151-FD344388A7C9}" type="parTrans" cxnId="{616D70F9-897E-D242-A3FE-458055B7F16E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0B30BB-B285-E945-9398-D34B38921406}" type="sibTrans" cxnId="{616D70F9-897E-D242-A3FE-458055B7F16E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CD2C92-9602-274F-A865-616E0D077C88}">
      <dgm:prSet phldrT="[Текст]" custT="1"/>
      <dgm:spPr>
        <a:xfrm rot="10800000">
          <a:off x="0" y="1067092"/>
          <a:ext cx="6248400" cy="538201"/>
        </a:xfrm>
        <a:prstGeom prst="upArrowCallou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Непреференциальные соглашения </a:t>
          </a:r>
        </a:p>
      </dgm:t>
    </dgm:pt>
    <dgm:pt modelId="{1AD910FE-6DC9-E544-A532-15F36425A6A1}" type="parTrans" cxnId="{27796DA5-1DEA-DA4B-8855-B93F8D401475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F9629B-4DB8-644E-8BE9-74735679DA2D}" type="sibTrans" cxnId="{27796DA5-1DEA-DA4B-8855-B93F8D401475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8FAE14-5C97-5D43-B360-979F4B0E4ED0}">
      <dgm:prSet phldrT="[Текст]" custT="1"/>
      <dgm:spPr>
        <a:xfrm>
          <a:off x="0" y="2132996"/>
          <a:ext cx="6248400" cy="3499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Официальные соглашения с третьими странами </a:t>
          </a:r>
        </a:p>
      </dgm:t>
    </dgm:pt>
    <dgm:pt modelId="{A0110DFB-8D38-D849-B954-6E4B249079D8}" type="parTrans" cxnId="{F4874638-DC2D-024F-81CB-7B60B12C7E3A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039FF8-50F0-5D4A-A048-C6DB97AF87D7}" type="sibTrans" cxnId="{F4874638-DC2D-024F-81CB-7B60B12C7E3A}">
      <dgm:prSet/>
      <dgm:spPr/>
      <dgm:t>
        <a:bodyPr/>
        <a:lstStyle/>
        <a:p>
          <a:pPr algn="ctr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EC81B3-2707-FA4B-8D7D-675BDB6DC733}" type="pres">
      <dgm:prSet presAssocID="{E3F3CDCA-8F4E-3346-A80A-DF7103099B3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DFD3473-9911-6241-931F-D621C2C5926A}" type="pres">
      <dgm:prSet presAssocID="{E68FAE14-5C97-5D43-B360-979F4B0E4ED0}" presName="boxAndChildren" presStyleCnt="0"/>
      <dgm:spPr/>
    </dgm:pt>
    <dgm:pt modelId="{4F16688D-D178-3D4D-95E7-5821C6C9B0E4}" type="pres">
      <dgm:prSet presAssocID="{E68FAE14-5C97-5D43-B360-979F4B0E4ED0}" presName="parentTextBox" presStyleLbl="node1" presStyleIdx="0" presStyleCnt="4"/>
      <dgm:spPr/>
      <dgm:t>
        <a:bodyPr/>
        <a:lstStyle/>
        <a:p>
          <a:endParaRPr lang="ru-RU"/>
        </a:p>
      </dgm:t>
    </dgm:pt>
    <dgm:pt modelId="{CAD8A37A-72CD-CD48-B9D6-6E9E7F3F4A6B}" type="pres">
      <dgm:prSet presAssocID="{3AF9629B-4DB8-644E-8BE9-74735679DA2D}" presName="sp" presStyleCnt="0"/>
      <dgm:spPr/>
    </dgm:pt>
    <dgm:pt modelId="{631D1E7C-C4EE-A446-A9D8-144C3AFE58EB}" type="pres">
      <dgm:prSet presAssocID="{31CD2C92-9602-274F-A865-616E0D077C88}" presName="arrowAndChildren" presStyleCnt="0"/>
      <dgm:spPr/>
    </dgm:pt>
    <dgm:pt modelId="{86A5FAF6-949D-D646-807C-5DB5504FFB28}" type="pres">
      <dgm:prSet presAssocID="{31CD2C92-9602-274F-A865-616E0D077C88}" presName="parentTextArrow" presStyleLbl="node1" presStyleIdx="1" presStyleCnt="4"/>
      <dgm:spPr/>
      <dgm:t>
        <a:bodyPr/>
        <a:lstStyle/>
        <a:p>
          <a:endParaRPr lang="ru-RU"/>
        </a:p>
      </dgm:t>
    </dgm:pt>
    <dgm:pt modelId="{8588B0B9-6AC9-634A-ADB8-345A7DE23658}" type="pres">
      <dgm:prSet presAssocID="{E70B30BB-B285-E945-9398-D34B38921406}" presName="sp" presStyleCnt="0"/>
      <dgm:spPr/>
    </dgm:pt>
    <dgm:pt modelId="{243FFAC7-69D2-9E45-9408-CE3AE3355737}" type="pres">
      <dgm:prSet presAssocID="{B52534EA-93D7-3148-807E-CAACFDDCDBDC}" presName="arrowAndChildren" presStyleCnt="0"/>
      <dgm:spPr/>
    </dgm:pt>
    <dgm:pt modelId="{B7CFC78F-A9C4-2C47-9A85-0D85D198DB11}" type="pres">
      <dgm:prSet presAssocID="{B52534EA-93D7-3148-807E-CAACFDDCDBDC}" presName="parentTextArrow" presStyleLbl="node1" presStyleIdx="2" presStyleCnt="4"/>
      <dgm:spPr/>
      <dgm:t>
        <a:bodyPr/>
        <a:lstStyle/>
        <a:p>
          <a:endParaRPr lang="ru-RU"/>
        </a:p>
      </dgm:t>
    </dgm:pt>
    <dgm:pt modelId="{082D851D-27FA-0E44-B20B-44C0D04793A2}" type="pres">
      <dgm:prSet presAssocID="{26129589-28B3-CE41-AE82-02A41630824B}" presName="sp" presStyleCnt="0"/>
      <dgm:spPr/>
    </dgm:pt>
    <dgm:pt modelId="{CFCC3B56-295E-B24F-BC5C-D6B9BCC0A48A}" type="pres">
      <dgm:prSet presAssocID="{A50DE2AA-B3FC-DD4E-93D9-B7BF58ADC0A7}" presName="arrowAndChildren" presStyleCnt="0"/>
      <dgm:spPr/>
    </dgm:pt>
    <dgm:pt modelId="{26446275-6546-A54D-86BE-187B93BC666B}" type="pres">
      <dgm:prSet presAssocID="{A50DE2AA-B3FC-DD4E-93D9-B7BF58ADC0A7}" presName="parentTextArrow" presStyleLbl="node1" presStyleIdx="3" presStyleCnt="4"/>
      <dgm:spPr/>
      <dgm:t>
        <a:bodyPr/>
        <a:lstStyle/>
        <a:p>
          <a:endParaRPr lang="ru-RU"/>
        </a:p>
      </dgm:t>
    </dgm:pt>
  </dgm:ptLst>
  <dgm:cxnLst>
    <dgm:cxn modelId="{55F2C7B1-0096-47F7-9767-A018E57B5FE5}" type="presOf" srcId="{B52534EA-93D7-3148-807E-CAACFDDCDBDC}" destId="{B7CFC78F-A9C4-2C47-9A85-0D85D198DB11}" srcOrd="0" destOrd="0" presId="urn:microsoft.com/office/officeart/2005/8/layout/process4"/>
    <dgm:cxn modelId="{3E944075-62CB-4739-AECC-C39F4035031D}" type="presOf" srcId="{E3F3CDCA-8F4E-3346-A80A-DF7103099B31}" destId="{0FEC81B3-2707-FA4B-8D7D-675BDB6DC733}" srcOrd="0" destOrd="0" presId="urn:microsoft.com/office/officeart/2005/8/layout/process4"/>
    <dgm:cxn modelId="{A614B44C-5265-4920-B2E7-E1C9F1DCF41A}" type="presOf" srcId="{A50DE2AA-B3FC-DD4E-93D9-B7BF58ADC0A7}" destId="{26446275-6546-A54D-86BE-187B93BC666B}" srcOrd="0" destOrd="0" presId="urn:microsoft.com/office/officeart/2005/8/layout/process4"/>
    <dgm:cxn modelId="{27796DA5-1DEA-DA4B-8855-B93F8D401475}" srcId="{E3F3CDCA-8F4E-3346-A80A-DF7103099B31}" destId="{31CD2C92-9602-274F-A865-616E0D077C88}" srcOrd="2" destOrd="0" parTransId="{1AD910FE-6DC9-E544-A532-15F36425A6A1}" sibTransId="{3AF9629B-4DB8-644E-8BE9-74735679DA2D}"/>
    <dgm:cxn modelId="{F4874638-DC2D-024F-81CB-7B60B12C7E3A}" srcId="{E3F3CDCA-8F4E-3346-A80A-DF7103099B31}" destId="{E68FAE14-5C97-5D43-B360-979F4B0E4ED0}" srcOrd="3" destOrd="0" parTransId="{A0110DFB-8D38-D849-B954-6E4B249079D8}" sibTransId="{3B039FF8-50F0-5D4A-A048-C6DB97AF87D7}"/>
    <dgm:cxn modelId="{1289E5EC-8D30-4A36-BA30-4CFFE32C9921}" type="presOf" srcId="{E68FAE14-5C97-5D43-B360-979F4B0E4ED0}" destId="{4F16688D-D178-3D4D-95E7-5821C6C9B0E4}" srcOrd="0" destOrd="0" presId="urn:microsoft.com/office/officeart/2005/8/layout/process4"/>
    <dgm:cxn modelId="{B9637AE7-7CB5-4870-9EF0-EDFF6C4D0185}" type="presOf" srcId="{31CD2C92-9602-274F-A865-616E0D077C88}" destId="{86A5FAF6-949D-D646-807C-5DB5504FFB28}" srcOrd="0" destOrd="0" presId="urn:microsoft.com/office/officeart/2005/8/layout/process4"/>
    <dgm:cxn modelId="{DE162EF6-BA9D-9D42-840F-78EB5326D3A1}" srcId="{E3F3CDCA-8F4E-3346-A80A-DF7103099B31}" destId="{A50DE2AA-B3FC-DD4E-93D9-B7BF58ADC0A7}" srcOrd="0" destOrd="0" parTransId="{18759862-F3FC-DF48-A2CB-DE46DBB9D0A2}" sibTransId="{26129589-28B3-CE41-AE82-02A41630824B}"/>
    <dgm:cxn modelId="{616D70F9-897E-D242-A3FE-458055B7F16E}" srcId="{E3F3CDCA-8F4E-3346-A80A-DF7103099B31}" destId="{B52534EA-93D7-3148-807E-CAACFDDCDBDC}" srcOrd="1" destOrd="0" parTransId="{D2398CB2-BD25-5949-B151-FD344388A7C9}" sibTransId="{E70B30BB-B285-E945-9398-D34B38921406}"/>
    <dgm:cxn modelId="{AE8E17E2-E8FC-4672-8479-A322254D4BAF}" type="presParOf" srcId="{0FEC81B3-2707-FA4B-8D7D-675BDB6DC733}" destId="{FDFD3473-9911-6241-931F-D621C2C5926A}" srcOrd="0" destOrd="0" presId="urn:microsoft.com/office/officeart/2005/8/layout/process4"/>
    <dgm:cxn modelId="{73D43125-99C5-4E39-969A-63629E467B32}" type="presParOf" srcId="{FDFD3473-9911-6241-931F-D621C2C5926A}" destId="{4F16688D-D178-3D4D-95E7-5821C6C9B0E4}" srcOrd="0" destOrd="0" presId="urn:microsoft.com/office/officeart/2005/8/layout/process4"/>
    <dgm:cxn modelId="{ED6EA56F-E4FE-4FEA-A5ED-7256B224F7CD}" type="presParOf" srcId="{0FEC81B3-2707-FA4B-8D7D-675BDB6DC733}" destId="{CAD8A37A-72CD-CD48-B9D6-6E9E7F3F4A6B}" srcOrd="1" destOrd="0" presId="urn:microsoft.com/office/officeart/2005/8/layout/process4"/>
    <dgm:cxn modelId="{C7C07920-E312-4AFF-B289-5E1496F6C560}" type="presParOf" srcId="{0FEC81B3-2707-FA4B-8D7D-675BDB6DC733}" destId="{631D1E7C-C4EE-A446-A9D8-144C3AFE58EB}" srcOrd="2" destOrd="0" presId="urn:microsoft.com/office/officeart/2005/8/layout/process4"/>
    <dgm:cxn modelId="{205DFDC6-0FA7-4491-8E5F-F90EE71072E7}" type="presParOf" srcId="{631D1E7C-C4EE-A446-A9D8-144C3AFE58EB}" destId="{86A5FAF6-949D-D646-807C-5DB5504FFB28}" srcOrd="0" destOrd="0" presId="urn:microsoft.com/office/officeart/2005/8/layout/process4"/>
    <dgm:cxn modelId="{E9AC4836-3521-4471-90D1-18565CFA5E43}" type="presParOf" srcId="{0FEC81B3-2707-FA4B-8D7D-675BDB6DC733}" destId="{8588B0B9-6AC9-634A-ADB8-345A7DE23658}" srcOrd="3" destOrd="0" presId="urn:microsoft.com/office/officeart/2005/8/layout/process4"/>
    <dgm:cxn modelId="{B0043257-D37A-4B0F-BFAD-183F86FE6CF5}" type="presParOf" srcId="{0FEC81B3-2707-FA4B-8D7D-675BDB6DC733}" destId="{243FFAC7-69D2-9E45-9408-CE3AE3355737}" srcOrd="4" destOrd="0" presId="urn:microsoft.com/office/officeart/2005/8/layout/process4"/>
    <dgm:cxn modelId="{83405E1A-0B93-4A8D-A59C-FFC5C611C6F5}" type="presParOf" srcId="{243FFAC7-69D2-9E45-9408-CE3AE3355737}" destId="{B7CFC78F-A9C4-2C47-9A85-0D85D198DB11}" srcOrd="0" destOrd="0" presId="urn:microsoft.com/office/officeart/2005/8/layout/process4"/>
    <dgm:cxn modelId="{A206D610-ED54-41BA-A4DA-3F3C26657F5A}" type="presParOf" srcId="{0FEC81B3-2707-FA4B-8D7D-675BDB6DC733}" destId="{082D851D-27FA-0E44-B20B-44C0D04793A2}" srcOrd="5" destOrd="0" presId="urn:microsoft.com/office/officeart/2005/8/layout/process4"/>
    <dgm:cxn modelId="{BD741AF8-F30C-4921-A693-1719B67AF3D1}" type="presParOf" srcId="{0FEC81B3-2707-FA4B-8D7D-675BDB6DC733}" destId="{CFCC3B56-295E-B24F-BC5C-D6B9BCC0A48A}" srcOrd="6" destOrd="0" presId="urn:microsoft.com/office/officeart/2005/8/layout/process4"/>
    <dgm:cxn modelId="{9B1731DB-5206-44B3-BC2C-2B777093DD3E}" type="presParOf" srcId="{CFCC3B56-295E-B24F-BC5C-D6B9BCC0A48A}" destId="{26446275-6546-A54D-86BE-187B93BC666B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F16688D-D178-3D4D-95E7-5821C6C9B0E4}">
      <dsp:nvSpPr>
        <dsp:cNvPr id="0" name=""/>
        <dsp:cNvSpPr/>
      </dsp:nvSpPr>
      <dsp:spPr>
        <a:xfrm>
          <a:off x="0" y="1418686"/>
          <a:ext cx="4572000" cy="31037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Официальные соглашения с третьими странами </a:t>
          </a:r>
        </a:p>
      </dsp:txBody>
      <dsp:txXfrm>
        <a:off x="0" y="1418686"/>
        <a:ext cx="4572000" cy="310374"/>
      </dsp:txXfrm>
    </dsp:sp>
    <dsp:sp modelId="{86A5FAF6-949D-D646-807C-5DB5504FFB28}">
      <dsp:nvSpPr>
        <dsp:cNvPr id="0" name=""/>
        <dsp:cNvSpPr/>
      </dsp:nvSpPr>
      <dsp:spPr>
        <a:xfrm rot="10800000">
          <a:off x="0" y="945987"/>
          <a:ext cx="4572000" cy="477355"/>
        </a:xfrm>
        <a:prstGeom prst="upArrowCallou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Непреференциальные соглашения </a:t>
          </a:r>
        </a:p>
      </dsp:txBody>
      <dsp:txXfrm rot="10800000">
        <a:off x="0" y="945987"/>
        <a:ext cx="4572000" cy="477355"/>
      </dsp:txXfrm>
    </dsp:sp>
    <dsp:sp modelId="{B7CFC78F-A9C4-2C47-9A85-0D85D198DB11}">
      <dsp:nvSpPr>
        <dsp:cNvPr id="0" name=""/>
        <dsp:cNvSpPr/>
      </dsp:nvSpPr>
      <dsp:spPr>
        <a:xfrm rot="10800000">
          <a:off x="0" y="473287"/>
          <a:ext cx="4572000" cy="477355"/>
        </a:xfrm>
        <a:prstGeom prst="upArrowCallou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Преференциальные соглашения</a:t>
          </a:r>
        </a:p>
      </dsp:txBody>
      <dsp:txXfrm rot="10800000">
        <a:off x="0" y="473287"/>
        <a:ext cx="4572000" cy="477355"/>
      </dsp:txXfrm>
    </dsp:sp>
    <dsp:sp modelId="{26446275-6546-A54D-86BE-187B93BC666B}">
      <dsp:nvSpPr>
        <dsp:cNvPr id="0" name=""/>
        <dsp:cNvSpPr/>
      </dsp:nvSpPr>
      <dsp:spPr>
        <a:xfrm rot="10800000">
          <a:off x="0" y="588"/>
          <a:ext cx="4572000" cy="477355"/>
        </a:xfrm>
        <a:prstGeom prst="upArrowCallou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Меморандумы о намерениях </a:t>
          </a:r>
        </a:p>
      </dsp:txBody>
      <dsp:txXfrm rot="10800000">
        <a:off x="0" y="588"/>
        <a:ext cx="4572000" cy="477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EEC1-34B6-415C-B509-A1F75A06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dcterms:created xsi:type="dcterms:W3CDTF">2025-11-12T07:04:00Z</dcterms:created>
  <dcterms:modified xsi:type="dcterms:W3CDTF">2025-11-16T15:46:00Z</dcterms:modified>
</cp:coreProperties>
</file>