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0F" w:rsidRPr="0043150F" w:rsidRDefault="0043150F" w:rsidP="004315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</w:pPr>
      <w:r w:rsidRPr="004315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>Лобанов К.Н.</w:t>
      </w:r>
    </w:p>
    <w:p w:rsidR="0043150F" w:rsidRPr="0043150F" w:rsidRDefault="0043150F" w:rsidP="004315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д.полит.н., </w:t>
      </w:r>
      <w:r w:rsidRPr="0043150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доцент,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Белгородский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юридический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институт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МВД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России</w:t>
      </w:r>
    </w:p>
    <w:p w:rsidR="0043150F" w:rsidRPr="0043150F" w:rsidRDefault="00BD3566" w:rsidP="0043150F">
      <w:pPr>
        <w:spacing w:after="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en-US"/>
        </w:rPr>
      </w:pPr>
      <w:hyperlink r:id="rId8" w:history="1">
        <w:r w:rsidR="0043150F" w:rsidRPr="0043150F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val="en-US" w:eastAsia="en-US"/>
          </w:rPr>
          <w:t>lobanov</w:t>
        </w:r>
        <w:r w:rsidR="0043150F" w:rsidRPr="0043150F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en-US"/>
          </w:rPr>
          <w:t>-</w:t>
        </w:r>
        <w:r w:rsidR="0043150F" w:rsidRPr="0043150F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val="en-US" w:eastAsia="en-US"/>
          </w:rPr>
          <w:t>pol</w:t>
        </w:r>
        <w:r w:rsidR="0043150F" w:rsidRPr="0043150F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en-US"/>
          </w:rPr>
          <w:t>@</w:t>
        </w:r>
        <w:r w:rsidR="0043150F" w:rsidRPr="0043150F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val="en-US" w:eastAsia="en-US"/>
          </w:rPr>
          <w:t>yandex</w:t>
        </w:r>
        <w:r w:rsidR="0043150F" w:rsidRPr="0043150F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en-US"/>
          </w:rPr>
          <w:t>.</w:t>
        </w:r>
        <w:r w:rsidR="0043150F" w:rsidRPr="0043150F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val="en-US" w:eastAsia="en-US"/>
          </w:rPr>
          <w:t>ru</w:t>
        </w:r>
      </w:hyperlink>
    </w:p>
    <w:p w:rsidR="0043150F" w:rsidRDefault="0043150F" w:rsidP="004315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C2F" w:rsidRPr="0043150F" w:rsidRDefault="0043150F" w:rsidP="0043150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3150F">
        <w:rPr>
          <w:rFonts w:ascii="Times New Roman" w:eastAsia="Times New Roman" w:hAnsi="Times New Roman" w:cs="Times New Roman"/>
          <w:b/>
          <w:sz w:val="24"/>
          <w:szCs w:val="24"/>
        </w:rPr>
        <w:t>РОССИЙСКАЯ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150F">
        <w:rPr>
          <w:rFonts w:ascii="Times New Roman" w:eastAsia="Times New Roman" w:hAnsi="Times New Roman" w:cs="Times New Roman"/>
          <w:b/>
          <w:sz w:val="24"/>
          <w:szCs w:val="24"/>
        </w:rPr>
        <w:t>ВНЕШНЕПОЛИТИЧЕСКАЯ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150F">
        <w:rPr>
          <w:rFonts w:ascii="Times New Roman" w:eastAsia="Times New Roman" w:hAnsi="Times New Roman" w:cs="Times New Roman"/>
          <w:b/>
          <w:sz w:val="24"/>
          <w:szCs w:val="24"/>
        </w:rPr>
        <w:t>СТРАТЕГИЯ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150F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150F">
        <w:rPr>
          <w:rFonts w:ascii="Times New Roman" w:eastAsia="Times New Roman" w:hAnsi="Times New Roman" w:cs="Times New Roman"/>
          <w:b/>
          <w:sz w:val="24"/>
          <w:szCs w:val="24"/>
        </w:rPr>
        <w:t>КОНТЕКСТЕ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150F">
        <w:rPr>
          <w:rFonts w:ascii="Times New Roman" w:eastAsia="Times New Roman" w:hAnsi="Times New Roman" w:cs="Times New Roman"/>
          <w:b/>
          <w:sz w:val="24"/>
          <w:szCs w:val="24"/>
        </w:rPr>
        <w:t>ТЕНДЕНЦИЙ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150F">
        <w:rPr>
          <w:rFonts w:ascii="Times New Roman" w:eastAsia="Times New Roman" w:hAnsi="Times New Roman" w:cs="Times New Roman"/>
          <w:b/>
          <w:sz w:val="24"/>
          <w:szCs w:val="24"/>
        </w:rPr>
        <w:t>СОВРЕМЕННЫХ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150F">
        <w:rPr>
          <w:rFonts w:ascii="Times New Roman" w:eastAsia="Times New Roman" w:hAnsi="Times New Roman" w:cs="Times New Roman"/>
          <w:b/>
          <w:sz w:val="24"/>
          <w:szCs w:val="24"/>
        </w:rPr>
        <w:t>МЕЖГОСУДАРСТВЕННЫХ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150F">
        <w:rPr>
          <w:rFonts w:ascii="Times New Roman" w:eastAsia="Times New Roman" w:hAnsi="Times New Roman" w:cs="Times New Roman"/>
          <w:b/>
          <w:sz w:val="24"/>
          <w:szCs w:val="24"/>
        </w:rPr>
        <w:t>ОТНОШЕНИЙ</w:t>
      </w:r>
    </w:p>
    <w:p w:rsidR="00D91C2F" w:rsidRPr="0043150F" w:rsidRDefault="00D91C2F" w:rsidP="004315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D91C2F" w:rsidRPr="0043150F" w:rsidRDefault="00D91C2F" w:rsidP="004315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43150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Ключевые</w:t>
      </w:r>
      <w:r w:rsidR="0043150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слова:</w:t>
      </w:r>
      <w:r w:rsid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D40CF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межгосударственные</w:t>
      </w:r>
      <w:r w:rsid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D40CF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отношения,</w:t>
      </w:r>
      <w:r w:rsid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D40CF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внешнеполитическая</w:t>
      </w:r>
      <w:r w:rsid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D40CF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стратегия,</w:t>
      </w:r>
      <w:r w:rsid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D40CF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Российская</w:t>
      </w:r>
      <w:r w:rsid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D40CF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Федерация,</w:t>
      </w:r>
      <w:r w:rsid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D40CF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постглобальная</w:t>
      </w:r>
      <w:r w:rsid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D40CF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фаза</w:t>
      </w:r>
      <w:r w:rsid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D40CF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трансформации</w:t>
      </w:r>
      <w:r w:rsid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D40CF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мироустройства.</w:t>
      </w:r>
      <w:r w:rsid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</w:p>
    <w:p w:rsidR="0065231F" w:rsidRPr="0043150F" w:rsidRDefault="0065231F" w:rsidP="0043150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E101A"/>
          <w:lang w:val="en-US"/>
        </w:rPr>
      </w:pPr>
      <w:r w:rsidRPr="0043150F">
        <w:rPr>
          <w:rStyle w:val="aa"/>
          <w:b/>
          <w:bCs/>
          <w:color w:val="0E101A"/>
          <w:lang w:val="en-US"/>
        </w:rPr>
        <w:t>Keywords:</w:t>
      </w:r>
      <w:r w:rsidR="0043150F">
        <w:rPr>
          <w:color w:val="0E101A"/>
          <w:lang w:val="en-US"/>
        </w:rPr>
        <w:t xml:space="preserve"> </w:t>
      </w:r>
      <w:r w:rsidRPr="0043150F">
        <w:rPr>
          <w:rStyle w:val="aa"/>
          <w:color w:val="0E101A"/>
          <w:lang w:val="en-US"/>
        </w:rPr>
        <w:t>international</w:t>
      </w:r>
      <w:r w:rsidR="0043150F">
        <w:rPr>
          <w:rStyle w:val="aa"/>
          <w:color w:val="0E101A"/>
          <w:lang w:val="en-US"/>
        </w:rPr>
        <w:t xml:space="preserve"> </w:t>
      </w:r>
      <w:r w:rsidRPr="0043150F">
        <w:rPr>
          <w:rStyle w:val="aa"/>
          <w:color w:val="0E101A"/>
          <w:lang w:val="en-US"/>
        </w:rPr>
        <w:t>relations,</w:t>
      </w:r>
      <w:r w:rsidR="0043150F">
        <w:rPr>
          <w:rStyle w:val="aa"/>
          <w:color w:val="0E101A"/>
          <w:lang w:val="en-US"/>
        </w:rPr>
        <w:t xml:space="preserve"> </w:t>
      </w:r>
      <w:r w:rsidRPr="0043150F">
        <w:rPr>
          <w:rStyle w:val="aa"/>
          <w:color w:val="0E101A"/>
          <w:lang w:val="en-US"/>
        </w:rPr>
        <w:t>foreign</w:t>
      </w:r>
      <w:r w:rsidR="0043150F">
        <w:rPr>
          <w:rStyle w:val="aa"/>
          <w:color w:val="0E101A"/>
          <w:lang w:val="en-US"/>
        </w:rPr>
        <w:t xml:space="preserve"> </w:t>
      </w:r>
      <w:r w:rsidRPr="0043150F">
        <w:rPr>
          <w:rStyle w:val="aa"/>
          <w:color w:val="0E101A"/>
          <w:lang w:val="en-US"/>
        </w:rPr>
        <w:t>policy</w:t>
      </w:r>
      <w:r w:rsidR="0043150F">
        <w:rPr>
          <w:rStyle w:val="aa"/>
          <w:color w:val="0E101A"/>
          <w:lang w:val="en-US"/>
        </w:rPr>
        <w:t xml:space="preserve"> </w:t>
      </w:r>
      <w:r w:rsidRPr="0043150F">
        <w:rPr>
          <w:rStyle w:val="aa"/>
          <w:color w:val="0E101A"/>
          <w:lang w:val="en-US"/>
        </w:rPr>
        <w:t>strategy,</w:t>
      </w:r>
      <w:r w:rsidR="0043150F">
        <w:rPr>
          <w:rStyle w:val="aa"/>
          <w:color w:val="0E101A"/>
          <w:lang w:val="en-US"/>
        </w:rPr>
        <w:t xml:space="preserve"> </w:t>
      </w:r>
      <w:r w:rsidRPr="0043150F">
        <w:rPr>
          <w:rStyle w:val="aa"/>
          <w:color w:val="0E101A"/>
          <w:lang w:val="en-US"/>
        </w:rPr>
        <w:t>Russian</w:t>
      </w:r>
      <w:r w:rsidR="0043150F">
        <w:rPr>
          <w:rStyle w:val="aa"/>
          <w:color w:val="0E101A"/>
          <w:lang w:val="en-US"/>
        </w:rPr>
        <w:t xml:space="preserve"> </w:t>
      </w:r>
      <w:r w:rsidRPr="0043150F">
        <w:rPr>
          <w:rStyle w:val="aa"/>
          <w:color w:val="0E101A"/>
          <w:lang w:val="en-US"/>
        </w:rPr>
        <w:t>Federation,</w:t>
      </w:r>
      <w:r w:rsidR="0043150F">
        <w:rPr>
          <w:rStyle w:val="aa"/>
          <w:color w:val="0E101A"/>
          <w:lang w:val="en-US"/>
        </w:rPr>
        <w:t xml:space="preserve"> </w:t>
      </w:r>
      <w:r w:rsidRPr="0043150F">
        <w:rPr>
          <w:rStyle w:val="aa"/>
          <w:color w:val="0E101A"/>
          <w:lang w:val="en-US"/>
        </w:rPr>
        <w:t>post-global</w:t>
      </w:r>
      <w:r w:rsidR="0043150F">
        <w:rPr>
          <w:rStyle w:val="aa"/>
          <w:color w:val="0E101A"/>
          <w:lang w:val="en-US"/>
        </w:rPr>
        <w:t xml:space="preserve"> </w:t>
      </w:r>
      <w:r w:rsidRPr="0043150F">
        <w:rPr>
          <w:rStyle w:val="aa"/>
          <w:color w:val="0E101A"/>
          <w:lang w:val="en-US"/>
        </w:rPr>
        <w:t>phase</w:t>
      </w:r>
      <w:r w:rsidR="0043150F">
        <w:rPr>
          <w:rStyle w:val="aa"/>
          <w:color w:val="0E101A"/>
          <w:lang w:val="en-US"/>
        </w:rPr>
        <w:t xml:space="preserve"> </w:t>
      </w:r>
      <w:r w:rsidRPr="0043150F">
        <w:rPr>
          <w:rStyle w:val="aa"/>
          <w:color w:val="0E101A"/>
          <w:lang w:val="en-US"/>
        </w:rPr>
        <w:t>of</w:t>
      </w:r>
      <w:r w:rsidR="0043150F">
        <w:rPr>
          <w:rStyle w:val="aa"/>
          <w:color w:val="0E101A"/>
          <w:lang w:val="en-US"/>
        </w:rPr>
        <w:t xml:space="preserve"> </w:t>
      </w:r>
      <w:r w:rsidRPr="0043150F">
        <w:rPr>
          <w:rStyle w:val="aa"/>
          <w:color w:val="0E101A"/>
          <w:lang w:val="en-US"/>
        </w:rPr>
        <w:t>world</w:t>
      </w:r>
      <w:r w:rsidR="0043150F">
        <w:rPr>
          <w:rStyle w:val="aa"/>
          <w:color w:val="0E101A"/>
          <w:lang w:val="en-US"/>
        </w:rPr>
        <w:t xml:space="preserve"> </w:t>
      </w:r>
      <w:r w:rsidRPr="0043150F">
        <w:rPr>
          <w:rStyle w:val="aa"/>
          <w:color w:val="0E101A"/>
          <w:lang w:val="en-US"/>
        </w:rPr>
        <w:t>order</w:t>
      </w:r>
      <w:r w:rsidR="0043150F">
        <w:rPr>
          <w:rStyle w:val="aa"/>
          <w:color w:val="0E101A"/>
          <w:lang w:val="en-US"/>
        </w:rPr>
        <w:t xml:space="preserve"> </w:t>
      </w:r>
      <w:r w:rsidRPr="0043150F">
        <w:rPr>
          <w:rStyle w:val="aa"/>
          <w:color w:val="0E101A"/>
          <w:lang w:val="en-US"/>
        </w:rPr>
        <w:t>transformation.</w:t>
      </w:r>
    </w:p>
    <w:p w:rsidR="0008387E" w:rsidRPr="0043150F" w:rsidRDefault="0008387E" w:rsidP="004315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1254FB" w:rsidRPr="0043150F" w:rsidRDefault="00335E97" w:rsidP="004315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Согласно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сложившейся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социоисторической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традиции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политико-институциональной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практике,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конструктивную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основу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или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модели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мироустройства</w:t>
      </w:r>
      <w:r w:rsidR="0070073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0073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как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0073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правило.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B36C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образует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0073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система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0073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межгосударственных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0073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отношений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Соответственно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1710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10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сменой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10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прообраза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10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начина</w:t>
      </w:r>
      <w:r w:rsidR="0070073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ют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10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трансформироваться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10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все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10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его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10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составляющие.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крайней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мере,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так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было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Новую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Новейшую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эпоху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10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10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продолжает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10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наблюдаться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B36C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теперь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10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Общим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10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местом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10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10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профильных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10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исследованиях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B36C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сегодня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10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является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10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признание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10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того,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10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что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548B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мир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548B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находится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548B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548B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активной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548B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фазе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548B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одной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548B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из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548B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таких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548B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метаморфоз,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548B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суть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548B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которой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548B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заключается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548B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548B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пессимизации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548B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модели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548B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либеральной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548B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глобализации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B36C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вследствие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B36C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ряда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B36C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объективных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B36C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B36C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субъективных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B36C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факторов</w:t>
      </w:r>
      <w:r w:rsidR="00117494" w:rsidRPr="0043150F">
        <w:rPr>
          <w:rStyle w:val="a7"/>
          <w:rFonts w:ascii="Times New Roman" w:eastAsia="Calibri" w:hAnsi="Times New Roman" w:cs="Times New Roman"/>
          <w:sz w:val="24"/>
          <w:szCs w:val="24"/>
          <w:lang w:eastAsia="en-US"/>
        </w:rPr>
        <w:footnoteReference w:id="1"/>
      </w:r>
      <w:r w:rsidR="00C548B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C460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Заложенная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C460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C460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основание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C460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этого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C460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мироуклада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C460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система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C460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межгосударственных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C460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отношений,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956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функционир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овавшая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956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956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принципах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956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однополярного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956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лидерства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956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956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императивности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B36C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B36C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отношениях</w:t>
      </w:r>
      <w:r w:rsidR="000956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выдерживает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груза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накопившихся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проблем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также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начинает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преобразовываться.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Вектор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глобальных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изменений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пока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вполне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понятен: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это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может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быть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интенция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сторону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воссоздания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биполярности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254F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254F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виде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антитезы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</w:t>
      </w:r>
      <w:r w:rsidR="0090020F" w:rsidRPr="0043150F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Pax</w:t>
      </w:r>
      <w:r w:rsid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Americana</w:t>
      </w:r>
      <w:r w:rsid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– </w:t>
      </w:r>
      <w:r w:rsidR="0090020F" w:rsidRPr="0043150F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Pax</w:t>
      </w:r>
      <w:r w:rsid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Sinica</w:t>
      </w:r>
      <w:r w:rsidR="0090020F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»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или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шаги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многополярной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020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конструкции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узкой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или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расширенной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конфигурациях.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Так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или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иначе,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система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межгосударственных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отношений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сегодня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пребывает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состоянии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транзита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сопутствующими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такой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кондиции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признаками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неопределенности,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разнонаправленности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67E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хаотизации</w:t>
      </w:r>
      <w:r w:rsidR="00117494" w:rsidRPr="0043150F">
        <w:rPr>
          <w:rStyle w:val="a7"/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footnoteReference w:id="2"/>
      </w:r>
      <w:r w:rsidR="00E667EF" w:rsidRPr="00431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B204DB" w:rsidRPr="0043150F" w:rsidRDefault="001254FB" w:rsidP="004315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ситуации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стратегической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сингулярности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размытости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перспектив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как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текущих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состояний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международной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среды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ведущие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акторы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политического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процесса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пытаются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найти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внешней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политике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такие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7F6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средства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которые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позволили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усилить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свои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позиции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мире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обеспечить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фундаментальную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устойчивость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национального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развития.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Самый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беглый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7F6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7F6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конечно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7F6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же,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7F6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далеко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7F6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B36C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исчерпывающий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анализ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вопроса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позволяет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выделить,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крайней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мере,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23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четыре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наиболее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очевидные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7F6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управленческие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7F6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стратегии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7F6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или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7F6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направленности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7F6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менедж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мент</w:t>
      </w:r>
      <w:r w:rsidR="00957F6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-процессов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7F6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7F6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7F6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для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актуальной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фазы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постглобальной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трансформации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мирового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порядка.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Среди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них: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концентрация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внимания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ресурсной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базы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обеспечени</w:t>
      </w:r>
      <w:r w:rsidR="0050164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национально-государственных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интересов;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164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активация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военной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силы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B36C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как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B36C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инструмента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B36C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политики</w:t>
      </w:r>
      <w:r w:rsidR="00B6170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164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164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нового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164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рисунка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164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военно-торговых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164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союзов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164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или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164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встраивание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164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164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него;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164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использование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164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потенциала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164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персональной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164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дипломатии.</w:t>
      </w:r>
    </w:p>
    <w:p w:rsidR="00C21779" w:rsidRPr="0043150F" w:rsidRDefault="001666CB" w:rsidP="004315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Нельзя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не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отметить,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что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первая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и,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наш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взгляд,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определяющая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из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отмеченных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поведенческих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практик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отличается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D4702">
        <w:rPr>
          <w:rFonts w:ascii="Times New Roman" w:eastAsia="Calibri" w:hAnsi="Times New Roman" w:cs="Times New Roman"/>
          <w:sz w:val="24"/>
          <w:szCs w:val="24"/>
          <w:lang w:eastAsia="en-US"/>
        </w:rPr>
        <w:t>некоторой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новеллой.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Со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времени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возникновения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политической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организации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общества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защита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3B90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собственных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интересов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стала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осевой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ее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функцией.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Вместе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тем,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особенностью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переживаемого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момента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3B90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является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3B90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ряд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3B90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контекстуальных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3B90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штрихов,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3B90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главным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3B90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из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3B90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>которых</w:t>
      </w:r>
      <w:r w:rsidR="0043150F" w:rsidRPr="000D4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D4702">
        <w:rPr>
          <w:rFonts w:ascii="Times New Roman" w:eastAsia="Calibri" w:hAnsi="Times New Roman" w:cs="Times New Roman"/>
          <w:sz w:val="24"/>
          <w:szCs w:val="24"/>
          <w:lang w:eastAsia="en-US"/>
        </w:rPr>
        <w:t>является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3B9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почти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3B9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полная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3B9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абсолютизация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3B9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категории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3B9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«национально-государственный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3B9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интерес»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3B9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3B9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понимании,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3B9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интерпретации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3B9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3B9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действиях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Если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эпохи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биполярности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постбиполярности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испытывали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потребность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институционально-правовых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аффилиациях,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рамках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которых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стремились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выдерживать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дисциплинарно-субординационный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подход,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теперь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угоду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эгоистически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трактуемым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интересам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они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демонтируют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пре</w:t>
      </w:r>
      <w:r w:rsidR="002562E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дыдущий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30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порядок.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Наиболее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этом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плане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является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политика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республиканской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США,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принявшейся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перекраивать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своим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лекалам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весь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конструкт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мировой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торговли,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чего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под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сомнение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попал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смысл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существования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60BD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хордовой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для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евроатлантической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цивилизации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системы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957F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8361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8361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прежнем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8361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ее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8361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виде</w:t>
      </w:r>
      <w:r w:rsidR="00190AD1" w:rsidRPr="0043150F">
        <w:rPr>
          <w:rStyle w:val="a7"/>
          <w:rFonts w:ascii="Times New Roman" w:eastAsia="Calibri" w:hAnsi="Times New Roman" w:cs="Times New Roman"/>
          <w:sz w:val="24"/>
          <w:szCs w:val="24"/>
          <w:lang w:eastAsia="en-US"/>
        </w:rPr>
        <w:footnoteReference w:id="3"/>
      </w:r>
      <w:r w:rsidR="00303CCD" w:rsidRPr="00431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</w:t>
      </w:r>
      <w:r w:rsidR="0043150F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2562E0" w:rsidRPr="00431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Одним</w:t>
      </w:r>
      <w:r w:rsidR="00431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2562E0" w:rsidRPr="00431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словом,</w:t>
      </w:r>
      <w:r w:rsidR="00431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2562E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62E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без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62E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усилий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62E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США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62E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мир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62E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сегодня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2177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движется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2177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скорее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62E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62E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Вестфальской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62E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системе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62E0" w:rsidRPr="0043150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XVII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62E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столетия,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62E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постулировавшей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62E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примат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62E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национально-государственных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62E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62E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над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62E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социально-культурными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62E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идентичностями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62E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639C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институционально-правовыми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639C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связанностями.</w:t>
      </w:r>
    </w:p>
    <w:p w:rsidR="001A213E" w:rsidRPr="0043150F" w:rsidRDefault="000137C4" w:rsidP="004315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Придание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национально-государственным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интересам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безусловного,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самодовлеющего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смысла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межгосударственных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отношениях,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наложенное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истощение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потенциала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однополярного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мироустройства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его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нормативистским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требованием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«игры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правилам»,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предоставило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государствам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возможность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прибегать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субста</w:t>
      </w:r>
      <w:r w:rsidR="000D4702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тивным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мерам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только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сферах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торговли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экономики.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отсутствие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стороны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«большого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брата»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ряд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стран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воспринял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ситуацию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транзита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миропорядка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как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1C4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шанс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решить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помощью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военной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силы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насущные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проблемы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национального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развития.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Войну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как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инструмент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политики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последние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годы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использовали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такие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страны,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как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Азербайджан,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Турция,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Израиль,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США,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Индия,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Пакистан.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вынужденному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использованию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вооруженного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насилия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прибегла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Российская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Федерация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Украине,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исключает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вероятности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реинтеграции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51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военным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51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путем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Тайваня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1B6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Китай.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Большинство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военных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вооруженных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конфликтов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пока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относятся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категории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низкой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интенсивности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или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строго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географически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локализован</w:t>
      </w:r>
      <w:r w:rsidR="000D4702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 w:rsidR="000D4702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однако,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принимая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внимание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растущую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экзистенциональную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конфронтацию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между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США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Китаем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A213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33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союзниками,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обострившийся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антагонизм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России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Западом,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мир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рискует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быть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вовлеченным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схватку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глобального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масштаба</w:t>
      </w:r>
      <w:r w:rsidR="00190AD1" w:rsidRPr="0043150F">
        <w:rPr>
          <w:rStyle w:val="a7"/>
          <w:rFonts w:ascii="Times New Roman" w:eastAsia="Calibri" w:hAnsi="Times New Roman" w:cs="Times New Roman"/>
          <w:sz w:val="24"/>
          <w:szCs w:val="24"/>
          <w:lang w:eastAsia="en-US"/>
        </w:rPr>
        <w:footnoteReference w:id="4"/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Причем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два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потенциальных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театра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военных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такой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войны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индо-тихоокеанский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европейский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уже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начали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обретать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очертания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966B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перспективу.</w:t>
      </w:r>
    </w:p>
    <w:p w:rsidR="009573B2" w:rsidRPr="0043150F" w:rsidRDefault="001A213E" w:rsidP="004315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Осознание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надвигающейся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глобальной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конфронтации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вероятностного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блокового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размежевания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мирового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пространства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побуждают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переформатированию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существующих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союзнических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партнерских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ассоциаций.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335C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Инициаторами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процесса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выступили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США,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переведя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свои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традиционные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торговые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военно-политические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связи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внутри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НАФТА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НАТО</w:t>
      </w:r>
      <w:r w:rsid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факультативные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позиции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обеспечив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приоритеты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другим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направлениям.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1749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целях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1749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противодействия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1749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росту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1749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влияния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Кита</w:t>
      </w:r>
      <w:r w:rsidR="0011749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Соединенные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Штаты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335C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теперь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концентрируют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22F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усилия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1749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1749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бассейн</w:t>
      </w:r>
      <w:r w:rsidR="006335C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1749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Индийского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1749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1749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Тихого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1749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океанов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1749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1749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90AD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 w:rsidR="0011749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ападном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1749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полушарии</w:t>
      </w:r>
      <w:r w:rsidR="00117494" w:rsidRPr="0043150F">
        <w:rPr>
          <w:rStyle w:val="a7"/>
          <w:rFonts w:ascii="Times New Roman" w:eastAsia="Calibri" w:hAnsi="Times New Roman" w:cs="Times New Roman"/>
          <w:sz w:val="24"/>
          <w:szCs w:val="24"/>
          <w:lang w:eastAsia="en-US"/>
        </w:rPr>
        <w:footnoteReference w:id="5"/>
      </w:r>
      <w:r w:rsidR="00117494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2F8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Китайский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2F8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подход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2F8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2F8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экспансии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2F8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геоэкономическо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2F8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2F8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геополитическо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2F8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пространств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2F8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2F8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це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л</w:t>
      </w:r>
      <w:r w:rsidR="00502F8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2F8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аналогичен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заключается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том,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чтобы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собрать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под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своей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эгидой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как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можно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больше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стран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из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незападной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части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мира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стать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лидером</w:t>
      </w:r>
      <w:r w:rsidR="00AD7010" w:rsidRPr="0043150F">
        <w:rPr>
          <w:rStyle w:val="a7"/>
          <w:rFonts w:ascii="Times New Roman" w:eastAsia="Calibri" w:hAnsi="Times New Roman" w:cs="Times New Roman"/>
          <w:sz w:val="24"/>
          <w:szCs w:val="24"/>
          <w:lang w:eastAsia="en-US"/>
        </w:rPr>
        <w:footnoteReference w:id="6"/>
      </w:r>
      <w:r w:rsidR="00AD70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Пекин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предлагает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своим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будущим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федератам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привлекательные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коммерческой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точки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зрения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трансграничные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полимодальные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проекты,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например,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«Один</w:t>
      </w:r>
      <w:r w:rsid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пояс</w:t>
      </w:r>
      <w:r w:rsid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–</w:t>
      </w:r>
      <w:r w:rsid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один</w:t>
      </w:r>
      <w:r w:rsid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путь»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обеспечивающие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функционирование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модели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основе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4C82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ШОС</w:t>
      </w:r>
      <w:r w:rsidR="00424C8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Остальные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крупные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либо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намерены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выстраивать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собственные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блоковые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конфигурации</w:t>
      </w:r>
      <w:r w:rsidR="000D4702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как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это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делает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Россия,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либо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занимают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выжидательную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позицию,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оставаясь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пока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C6454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внеблоковом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состоянии,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как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Индия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страны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6454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Л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атинской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Южной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48D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Америки.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6454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Тем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6454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6454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менее,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6454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6454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6454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акторы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6454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зондируют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6454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возможность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6454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6454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оказаться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6454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6454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обочине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6454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трендов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A4F5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глобального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A4F5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развития</w:t>
      </w:r>
      <w:r w:rsidR="00C64548" w:rsidRPr="0043150F">
        <w:rPr>
          <w:rStyle w:val="a7"/>
          <w:rFonts w:ascii="Times New Roman" w:eastAsia="Calibri" w:hAnsi="Times New Roman" w:cs="Times New Roman"/>
          <w:sz w:val="24"/>
          <w:szCs w:val="24"/>
          <w:lang w:eastAsia="en-US"/>
        </w:rPr>
        <w:footnoteReference w:id="7"/>
      </w:r>
      <w:r w:rsidR="00C6454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265F5D" w:rsidRPr="0043150F" w:rsidRDefault="009573B2" w:rsidP="004315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Планируя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организовывая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стратегемы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области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внешней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политики,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национальные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управляющие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все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чаще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2E5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переносят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акцент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выстраивани</w:t>
      </w:r>
      <w:r w:rsidR="00172E5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личных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контактов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связей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своими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контрагентами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извне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Происходит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это,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главным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образом,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двум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причинам: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из-за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фактического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демонтажа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институционально-правовых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оснований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прежних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мироукладов,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включая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ООН,</w:t>
      </w:r>
      <w:r w:rsid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МВФ,</w:t>
      </w:r>
      <w:r w:rsid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ВТО</w:t>
      </w:r>
      <w:r w:rsid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действующих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рамках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соглашений</w:t>
      </w:r>
      <w:r w:rsidR="0014064A" w:rsidRPr="004315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отсутствия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надежных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механизмов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обеспечения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межгосударственных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064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обязательств.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1EB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1EB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ситуации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1EB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кризиса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1EB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традиционной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1EB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дипломатии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личный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авторитет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лидеров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стран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обоюдные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персональные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ручательства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становятся,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сути,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единственной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гарантией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достигнутых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договоренностей,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межличностные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симпатии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взаимное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расположение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залогом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поддержания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рабочих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контактов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между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0D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государствами.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2E5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Возврат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2E5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2E5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«дипломатии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2E5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королей»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2E5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(персональной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2E5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дипломатии)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явление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амбивалентное,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поскольку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этом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случае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большая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политика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становится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заложницей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ряда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неполитических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факторов,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но,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другой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стороны,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предоставляет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возможность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создавать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более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или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менее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устойчивые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точки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опоры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для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принятия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политически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значимых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решений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межгосударственных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32C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отношениях</w:t>
      </w:r>
      <w:r w:rsidR="00E35548" w:rsidRPr="0043150F">
        <w:rPr>
          <w:rStyle w:val="a7"/>
          <w:rFonts w:ascii="Times New Roman" w:eastAsia="Calibri" w:hAnsi="Times New Roman" w:cs="Times New Roman"/>
          <w:sz w:val="24"/>
          <w:szCs w:val="24"/>
          <w:lang w:eastAsia="en-US"/>
        </w:rPr>
        <w:footnoteReference w:id="8"/>
      </w:r>
      <w:r w:rsidR="0072736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97E88" w:rsidRPr="0043150F" w:rsidRDefault="00B61A4B" w:rsidP="004315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Значительные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изменения,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затронувшие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систему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межгосударственн</w:t>
      </w:r>
      <w:r w:rsidR="000A6E0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A6E0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общения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последние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годы,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стали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видимой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частью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глубоких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тектонических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сдвигов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мировой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экономике,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рынках,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политике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системах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безопасности,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которые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свою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очередь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берут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начало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финансовых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кризисов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нулевых-десятых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годов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пандемийного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коллапса.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A2E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Своевременный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A2E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учет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A2E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этих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A2E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трансформаций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A2E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A2E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адекватная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A2E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A2E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сверка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A2E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внешнеполитической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A2E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стратегии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A2E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A2E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тактики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A2E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A2E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позволит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A2E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властям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A2E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принимать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A2E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взвешенные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A2E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A2E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ответственные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A2EF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решения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A6E0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A6E0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обстановке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A6E0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нео</w:t>
      </w:r>
      <w:r w:rsidR="00AA68F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тчетливых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A68F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перспектив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A6E0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A6E0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динамично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A6E0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меняющихся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A6E0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фонов.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A68F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Для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A68F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военно-политического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A68F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руководства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A68F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Российской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A68F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Федерации,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A68F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попавшей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A68F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под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A68F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западные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A68F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рестрикции</w:t>
      </w:r>
      <w:r w:rsidR="00F512F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A68F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втянутой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A68F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A68F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вооруженную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A68F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конфронтацию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A68F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A68F9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Украине,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512F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провоцируем</w:t>
      </w:r>
      <w:r w:rsidR="00D469C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512F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512F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новую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512F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«Большую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D3B7D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F512F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гру»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512F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512F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постсоветском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512F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пространстве,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512F2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задача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469C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эта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469C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более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469C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чем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469C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актуальна.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Акцентуация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обеспечении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национально-государственных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должна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оставаться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непреложной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внешней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политике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российского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государства.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Другое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дело,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что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приоритеты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шкале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должны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быть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выстроены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духе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87817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времени.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21F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21F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свете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21F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грядущей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21F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биполярности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21F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или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21F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полиполярности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21F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мирового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21F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пространства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21F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России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21F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жизненно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21F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важно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21F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сохраниться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21F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как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21F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центр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21F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влияния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21F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21F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силы</w:t>
      </w:r>
      <w:r w:rsidR="00077D1E" w:rsidRPr="0043150F">
        <w:rPr>
          <w:rStyle w:val="a7"/>
          <w:rFonts w:ascii="Times New Roman" w:eastAsia="Calibri" w:hAnsi="Times New Roman" w:cs="Times New Roman"/>
          <w:sz w:val="24"/>
          <w:szCs w:val="24"/>
          <w:lang w:eastAsia="en-US"/>
        </w:rPr>
        <w:footnoteReference w:id="9"/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Это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означает,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что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преимущество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распределении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ресурсов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вовне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необходимо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предоставлять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ближайшим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границам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странам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субрегионам,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пересмотрев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или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отказавшись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политики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повышения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престижа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C7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географически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далеких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поэтому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малоперспективных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локациях.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Целью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такой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фокусировки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внимания,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энергетики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ресурсов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было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остается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создание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вокруг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России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пояса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дружественных,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безопасных,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процветающих,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стабильных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стран,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образующих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A669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совместно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A669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A669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самодостаточный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полюс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77D1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поступательного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интеграционной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756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гравитации.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C97E88" w:rsidRPr="0043150F" w:rsidRDefault="00077D1E" w:rsidP="004315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Учитывая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реалии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сегодняшней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мировой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политики,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Россия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вольна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выборе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инструментов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обеспечения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своих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стратегических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национально-государственных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интересов.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0405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Военная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0405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сила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0405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0405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является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0405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исключением,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0405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разумеется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0405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2A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2A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качестве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E53D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господствующ</w:t>
      </w:r>
      <w:r w:rsidR="00872A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его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E53D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способ</w:t>
      </w:r>
      <w:r w:rsidR="00872A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E53D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внутриполюсной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E53D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консолидации,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E53D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2AAE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как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E53D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меры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E53D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обеспечения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E53D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собственной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E53D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E53D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союзников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E53D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безопасности.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A669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Достижение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A669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поставленных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A669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целей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A669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D3B7D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A669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пециальной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A669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военной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A669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операции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8759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4A669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A669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Украине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A6698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послужит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8759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показателем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8759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способности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8759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России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8759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8759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эту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8759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функцию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8759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для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8759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потенциальных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8759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партнеров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8759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8759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станет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8759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предостережением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8759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для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8759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очевидных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8759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8759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латентных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8759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противников.</w:t>
      </w:r>
    </w:p>
    <w:p w:rsidR="00E315B1" w:rsidRPr="0043150F" w:rsidRDefault="00C97E88" w:rsidP="004315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обстановке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растущей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геополитической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конкуренции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спроса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опцию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войны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межгосударственных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отношениях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союзничество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становится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ценным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дефицитным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активом.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3D1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Существующую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3D1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ныне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3D1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систему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3D1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торговых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3D1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3D1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военно-политических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3D1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альянсов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3D1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России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3D1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3D1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другими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3D1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странами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3D1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стоит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3D1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3D1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ситуативной,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3D1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ограниченной,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3D1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3D1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потому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3D16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малофункциональной.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Нельзя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замечать,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что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торгово-экономическая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стратегия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экспансии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грандов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Глобального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Юга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отвергает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какую-либо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значительную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интеграцию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синергию,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почти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терпит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партнерств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Россия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интересует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более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чем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рынок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сбыта.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другой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стороны,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среди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лоялистов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симпатизантов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России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оказалось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желающих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заключить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полноценный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военный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союз,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том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числе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целях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оказания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помощи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проведении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СВО</w:t>
      </w:r>
      <w:r w:rsidR="003D248D" w:rsidRPr="0043150F">
        <w:rPr>
          <w:rStyle w:val="a7"/>
          <w:rFonts w:ascii="Times New Roman" w:eastAsia="Calibri" w:hAnsi="Times New Roman" w:cs="Times New Roman"/>
          <w:sz w:val="24"/>
          <w:szCs w:val="24"/>
          <w:lang w:eastAsia="en-US"/>
        </w:rPr>
        <w:footnoteReference w:id="10"/>
      </w:r>
      <w:r w:rsidR="00FF019F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Отсюда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следует,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что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насущной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задачей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становится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проведение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ревизии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B457B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уточнение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партнерских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отношений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странами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Ближнего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Дальнего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Зарубежья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российскими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национально-государственными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интересами.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2D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смену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D248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рыхлым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D248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D248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контекстуальным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D248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объединениям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D248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D248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участием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D248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России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D248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должны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D248D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прийти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15B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крепкие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15B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15B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долговременные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15B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торгово-военные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15B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унии,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15B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способствующие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15B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ее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15B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социально-экономическому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15B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процветанию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15B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15B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обеспечивающие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15B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милитарную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15B1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поддержку.</w:t>
      </w:r>
    </w:p>
    <w:p w:rsidR="00F44E23" w:rsidRPr="0043150F" w:rsidRDefault="002B457B" w:rsidP="004315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Динамично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меняющаяся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международная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среда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елает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подвижными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только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фундаментальные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концептуальные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платформы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внешнеполитических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стратегий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требует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гибкости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универсальности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тактических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действий.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числу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последних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относится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упомянутая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выше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персональная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дипломатия,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использование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потенциала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которой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позволит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российскому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политическому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26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руководству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облегчить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бинарной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задачи</w:t>
      </w:r>
      <w:r w:rsidR="00FD3B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блокировать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попытки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противников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изолировать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Россию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торгово-экономическом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политико-дипломатическом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плане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внести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разлад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ряды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недругов,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лишив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возможности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солидарно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выступать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против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нашей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150E5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страны.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E59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Простор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E59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для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E59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E59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этой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E59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задачи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E59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имеется.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E59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Тем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E59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более,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E59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что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E59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наши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E59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оппоненты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E59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сами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E59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себе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E59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создают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E59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сложные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E59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ситуации</w:t>
      </w:r>
      <w:r w:rsidR="006E5910" w:rsidRPr="0043150F">
        <w:rPr>
          <w:rStyle w:val="a7"/>
          <w:rFonts w:ascii="Times New Roman" w:eastAsia="Calibri" w:hAnsi="Times New Roman" w:cs="Times New Roman"/>
          <w:sz w:val="24"/>
          <w:szCs w:val="24"/>
          <w:lang w:eastAsia="en-US"/>
        </w:rPr>
        <w:footnoteReference w:id="11"/>
      </w:r>
      <w:r w:rsidR="006E5910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Нужно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только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правильно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воспользоваться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имеющимися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шансами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своевременно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осуществлять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необходимые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дипломатические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маневры,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которых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лидеру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государства,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как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центровой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фигуре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внешней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политики,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принадлежит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безусловное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683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первенство.</w:t>
      </w:r>
    </w:p>
    <w:p w:rsidR="006A558C" w:rsidRPr="0043150F" w:rsidRDefault="006A558C" w:rsidP="004315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Подытоживая,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стоит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отметить,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что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мир,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вместе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ним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Россия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сегодня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находятся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состоянии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перехода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одного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мироуклада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другому.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этой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фазе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глобального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политического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процесса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много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развилок,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подобных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узловым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станциям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железных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дорогах.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Выбор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правильного,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т.е.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соответствующего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коренным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потребностям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базовым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интересам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национального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движения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многом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зависит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от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продуманной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выверенной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внешнеполитической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78C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стратегии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которая,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свою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очередь,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являясь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сплавом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планирования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управляющих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субъектов,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возможна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без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непрерывной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комплексной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оценки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ими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актуального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состояния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межгосударственных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отношений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международной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среды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315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4AFA" w:rsidRPr="0043150F">
        <w:rPr>
          <w:rFonts w:ascii="Times New Roman" w:eastAsia="Calibri" w:hAnsi="Times New Roman" w:cs="Times New Roman"/>
          <w:sz w:val="24"/>
          <w:szCs w:val="24"/>
          <w:lang w:eastAsia="en-US"/>
        </w:rPr>
        <w:t>целом.</w:t>
      </w:r>
    </w:p>
    <w:sectPr w:rsidR="006A558C" w:rsidRPr="0043150F" w:rsidSect="0043150F">
      <w:footerReference w:type="default" r:id="rId9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50F" w:rsidRDefault="0043150F" w:rsidP="008B3CA4">
      <w:pPr>
        <w:spacing w:after="0" w:line="240" w:lineRule="auto"/>
      </w:pPr>
      <w:r>
        <w:separator/>
      </w:r>
    </w:p>
  </w:endnote>
  <w:endnote w:type="continuationSeparator" w:id="0">
    <w:p w:rsidR="0043150F" w:rsidRDefault="0043150F" w:rsidP="008B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28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3150F" w:rsidRPr="0043150F" w:rsidRDefault="00BD3566" w:rsidP="0043150F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15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3150F" w:rsidRPr="0043150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15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021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315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50F" w:rsidRDefault="0043150F" w:rsidP="008B3CA4">
      <w:pPr>
        <w:spacing w:after="0" w:line="240" w:lineRule="auto"/>
      </w:pPr>
      <w:r>
        <w:separator/>
      </w:r>
    </w:p>
  </w:footnote>
  <w:footnote w:type="continuationSeparator" w:id="0">
    <w:p w:rsidR="0043150F" w:rsidRDefault="0043150F" w:rsidP="008B3CA4">
      <w:pPr>
        <w:spacing w:after="0" w:line="240" w:lineRule="auto"/>
      </w:pPr>
      <w:r>
        <w:continuationSeparator/>
      </w:r>
    </w:p>
  </w:footnote>
  <w:footnote w:id="1">
    <w:p w:rsidR="0043150F" w:rsidRPr="000D4702" w:rsidRDefault="0043150F" w:rsidP="004315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3150F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43150F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3150F">
        <w:rPr>
          <w:rFonts w:ascii="Times New Roman" w:hAnsi="Times New Roman" w:cs="Times New Roman"/>
          <w:i/>
          <w:sz w:val="20"/>
          <w:szCs w:val="20"/>
          <w:lang w:val="en-GB"/>
        </w:rPr>
        <w:t>Haass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3150F">
        <w:rPr>
          <w:rFonts w:ascii="Times New Roman" w:hAnsi="Times New Roman" w:cs="Times New Roman"/>
          <w:i/>
          <w:sz w:val="20"/>
          <w:szCs w:val="20"/>
          <w:lang w:val="en-GB"/>
        </w:rPr>
        <w:t>R</w:t>
      </w:r>
      <w:r w:rsidRPr="0043150F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3150F">
        <w:rPr>
          <w:rFonts w:ascii="Times New Roman" w:hAnsi="Times New Roman" w:cs="Times New Roman"/>
          <w:sz w:val="20"/>
          <w:szCs w:val="20"/>
          <w:lang w:val="en-GB"/>
        </w:rPr>
        <w:t>How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3150F">
        <w:rPr>
          <w:rFonts w:ascii="Times New Roman" w:hAnsi="Times New Roman" w:cs="Times New Roman"/>
          <w:sz w:val="20"/>
          <w:szCs w:val="20"/>
          <w:lang w:val="en-GB"/>
        </w:rPr>
        <w:t>a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3150F">
        <w:rPr>
          <w:rFonts w:ascii="Times New Roman" w:hAnsi="Times New Roman" w:cs="Times New Roman"/>
          <w:sz w:val="20"/>
          <w:szCs w:val="20"/>
          <w:lang w:val="en-GB"/>
        </w:rPr>
        <w:t>World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3150F">
        <w:rPr>
          <w:rFonts w:ascii="Times New Roman" w:hAnsi="Times New Roman" w:cs="Times New Roman"/>
          <w:sz w:val="20"/>
          <w:szCs w:val="20"/>
          <w:lang w:val="en-GB"/>
        </w:rPr>
        <w:t>Order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3150F">
        <w:rPr>
          <w:rFonts w:ascii="Times New Roman" w:hAnsi="Times New Roman" w:cs="Times New Roman"/>
          <w:sz w:val="20"/>
          <w:szCs w:val="20"/>
          <w:lang w:val="en-GB"/>
        </w:rPr>
        <w:t>Ends</w:t>
      </w:r>
      <w:r w:rsidRPr="0043150F">
        <w:rPr>
          <w:rFonts w:ascii="Times New Roman" w:hAnsi="Times New Roman" w:cs="Times New Roman"/>
          <w:sz w:val="20"/>
          <w:szCs w:val="20"/>
          <w:lang w:val="en-US"/>
        </w:rPr>
        <w:t xml:space="preserve"> //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GB"/>
        </w:rPr>
        <w:t>Foreign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GB"/>
        </w:rPr>
        <w:t>Affairs.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2019.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–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GB"/>
        </w:rPr>
        <w:t>January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-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GB"/>
        </w:rPr>
        <w:t>February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–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hyperlink r:id="rId1" w:history="1"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https://www.foreignaffairs.com/articles/2018-12-11/how-world-order-ends?cid=int-nbb&amp;pgtype=hpg</w:t>
        </w:r>
      </w:hyperlink>
    </w:p>
  </w:footnote>
  <w:footnote w:id="2">
    <w:p w:rsidR="0043150F" w:rsidRPr="0043150F" w:rsidRDefault="0043150F" w:rsidP="000D4702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3150F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43150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150F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Лавров С.В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Выступление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и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ответы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на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вопросы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СМИ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Министра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иностранных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дел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Российской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Федерации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С.В.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Лаврова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в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ходе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пресс-конференции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по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итогам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деятельности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российской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дипломатии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в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2024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году</w:t>
      </w:r>
      <w:r w:rsidR="000D4702">
        <w:rPr>
          <w:rFonts w:ascii="Times New Roman" w:eastAsia="Calibri" w:hAnsi="Times New Roman" w:cs="Times New Roman"/>
          <w:sz w:val="20"/>
          <w:szCs w:val="20"/>
          <w:lang w:eastAsia="en-US"/>
        </w:rPr>
        <w:t>. – 2025. –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14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января</w:t>
      </w:r>
      <w:r w:rsidR="000D470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//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</w:rPr>
        <w:t>Официальный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</w:rPr>
        <w:t>сайт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</w:rPr>
        <w:t>Министерства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</w:rPr>
        <w:t>иностранных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</w:rPr>
        <w:t>дел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D4702">
        <w:rPr>
          <w:rFonts w:ascii="Times New Roman" w:hAnsi="Times New Roman" w:cs="Times New Roman"/>
          <w:color w:val="000000" w:themeColor="text1"/>
          <w:sz w:val="20"/>
          <w:szCs w:val="20"/>
        </w:rPr>
        <w:t>РФ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D4702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2" w:history="1"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https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://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www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.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mid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.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ru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/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ru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/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foreign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_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policy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/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news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/1991476/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</w:footnote>
  <w:footnote w:id="3">
    <w:p w:rsidR="0043150F" w:rsidRPr="0043150F" w:rsidRDefault="0043150F" w:rsidP="000D4702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3150F">
        <w:rPr>
          <w:rStyle w:val="a7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4702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Евстафьев Д.Г.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«Крепость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Америка»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Дональда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Трампа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и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неоглобальный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мир</w:t>
      </w:r>
      <w:r w:rsidR="000D470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//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Россия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в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глобальной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политике.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0D470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–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2025.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0D470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–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21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eastAsia="en-US"/>
        </w:rPr>
        <w:t>января.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0D4702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3" w:history="1"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https://globalaffairs.ru/articles/krepost-amerika-evstafev/</w:t>
        </w:r>
      </w:hyperlink>
    </w:p>
  </w:footnote>
  <w:footnote w:id="4">
    <w:p w:rsidR="0043150F" w:rsidRPr="000D4702" w:rsidRDefault="0043150F" w:rsidP="0043150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150F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43150F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D4702">
        <w:rPr>
          <w:rFonts w:ascii="Times New Roman" w:eastAsia="Calibri" w:hAnsi="Times New Roman" w:cs="Times New Roman"/>
          <w:i/>
          <w:sz w:val="20"/>
          <w:szCs w:val="20"/>
          <w:lang w:val="en-US" w:eastAsia="en-US"/>
        </w:rPr>
        <w:t>Lavrov S.V.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The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Russian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Foreign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Ministry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noted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the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danger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of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the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Third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World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War</w:t>
      </w:r>
      <w:r w:rsidR="000D4702" w:rsidRPr="000D4702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//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r w:rsidRPr="0043150F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Izvestiya</w:t>
      </w:r>
      <w:r w:rsidRPr="000D4702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. </w:t>
      </w:r>
      <w:r w:rsidR="000D4702" w:rsidRPr="000D4702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– </w:t>
      </w:r>
      <w:r w:rsidRPr="000D4702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2025. </w:t>
      </w:r>
      <w:r w:rsidR="000D4702" w:rsidRPr="000D4702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– </w:t>
      </w:r>
      <w:r w:rsidRPr="0043150F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June</w:t>
      </w:r>
      <w:r w:rsidRPr="000D4702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18. </w:t>
      </w:r>
      <w:r w:rsidR="000D4702" w:rsidRPr="000D470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–</w:t>
      </w:r>
      <w:r w:rsidRPr="000D470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hyperlink r:id="rId4" w:history="1"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https</w:t>
        </w:r>
        <w:r w:rsidRPr="000D4702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://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en</w:t>
        </w:r>
        <w:r w:rsidRPr="000D4702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.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iz</w:t>
        </w:r>
        <w:r w:rsidRPr="000D4702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.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ru</w:t>
        </w:r>
        <w:r w:rsidRPr="000D4702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/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en</w:t>
        </w:r>
        <w:r w:rsidRPr="000D4702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/1905986/2025-06-18/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russian</w:t>
        </w:r>
        <w:r w:rsidRPr="000D4702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-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foreign</w:t>
        </w:r>
        <w:r w:rsidRPr="000D4702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-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ministry</w:t>
        </w:r>
        <w:r w:rsidRPr="000D4702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-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noted</w:t>
        </w:r>
        <w:r w:rsidRPr="000D4702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-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danger</w:t>
        </w:r>
        <w:r w:rsidRPr="000D4702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-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third</w:t>
        </w:r>
        <w:r w:rsidRPr="000D4702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-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world</w:t>
        </w:r>
        <w:r w:rsidRPr="000D4702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-</w:t>
        </w:r>
        <w:r w:rsidRPr="0043150F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war</w:t>
        </w:r>
      </w:hyperlink>
    </w:p>
  </w:footnote>
  <w:footnote w:id="5">
    <w:p w:rsidR="0043150F" w:rsidRPr="0043150F" w:rsidRDefault="0043150F" w:rsidP="0043150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3150F">
        <w:rPr>
          <w:rStyle w:val="a7"/>
          <w:rFonts w:ascii="Times New Roman" w:hAnsi="Times New Roman" w:cs="Times New Roman"/>
        </w:rPr>
        <w:footnoteRef/>
      </w:r>
      <w:r w:rsidRPr="004315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Стратегия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США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обозначенных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локациях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реализуется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двумя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способами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0D4702">
        <w:rPr>
          <w:rFonts w:ascii="Times New Roman" w:hAnsi="Times New Roman" w:cs="Times New Roman"/>
          <w:color w:val="000000" w:themeColor="text1"/>
        </w:rPr>
        <w:t>–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через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армирование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своего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присутствия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конструируемых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ими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же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новых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военно-политических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образованиях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i/>
          <w:color w:val="000000" w:themeColor="text1"/>
          <w:lang w:val="en-US"/>
        </w:rPr>
        <w:t>AUKUS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i/>
          <w:color w:val="000000" w:themeColor="text1"/>
          <w:lang w:val="en-US"/>
        </w:rPr>
        <w:t>QUAD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путем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возврата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к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</w:rPr>
        <w:t>реализации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D4702">
        <w:rPr>
          <w:rFonts w:ascii="Times New Roman" w:hAnsi="Times New Roman" w:cs="Times New Roman"/>
          <w:color w:val="000000" w:themeColor="text1"/>
        </w:rPr>
        <w:t>Доктрины Монро</w:t>
      </w:r>
      <w:r w:rsidRPr="0043150F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</w:footnote>
  <w:footnote w:id="6">
    <w:p w:rsidR="0043150F" w:rsidRPr="000D4702" w:rsidRDefault="0043150F" w:rsidP="0043150F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3150F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43150F">
        <w:rPr>
          <w:rFonts w:ascii="Times New Roman" w:hAnsi="Times New Roman" w:cs="Times New Roman"/>
          <w:color w:val="000000" w:themeColor="text1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0D4702">
        <w:rPr>
          <w:rFonts w:ascii="Times New Roman" w:hAnsi="Times New Roman" w:cs="Times New Roman"/>
          <w:i/>
          <w:color w:val="000000" w:themeColor="text1"/>
          <w:lang w:val="en-US"/>
        </w:rPr>
        <w:t>Gewirtz J.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lang w:val="en-US"/>
        </w:rPr>
        <w:t>How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lang w:val="en-US"/>
        </w:rPr>
        <w:t>China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lang w:val="en-US"/>
        </w:rPr>
        <w:t>Wins</w:t>
      </w:r>
      <w:r w:rsidR="000D4702" w:rsidRPr="000D4702">
        <w:rPr>
          <w:rFonts w:ascii="Times New Roman" w:hAnsi="Times New Roman" w:cs="Times New Roman"/>
          <w:color w:val="000000" w:themeColor="text1"/>
          <w:lang w:val="en-US"/>
        </w:rPr>
        <w:t xml:space="preserve"> //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lang w:val="en-US"/>
        </w:rPr>
        <w:t>Foreign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lang w:val="en-US"/>
        </w:rPr>
        <w:t>Affairs.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D4702" w:rsidRPr="000D4702">
        <w:rPr>
          <w:rFonts w:ascii="Times New Roman" w:hAnsi="Times New Roman" w:cs="Times New Roman"/>
          <w:color w:val="000000" w:themeColor="text1"/>
          <w:lang w:val="en-US"/>
        </w:rPr>
        <w:t xml:space="preserve">– </w:t>
      </w:r>
      <w:r w:rsidRPr="0043150F">
        <w:rPr>
          <w:rFonts w:ascii="Times New Roman" w:hAnsi="Times New Roman" w:cs="Times New Roman"/>
          <w:color w:val="000000" w:themeColor="text1"/>
          <w:lang w:val="en-US"/>
        </w:rPr>
        <w:t>2025.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D4702" w:rsidRPr="000D4702">
        <w:rPr>
          <w:rFonts w:ascii="Times New Roman" w:hAnsi="Times New Roman" w:cs="Times New Roman"/>
          <w:color w:val="000000" w:themeColor="text1"/>
          <w:lang w:val="en-US"/>
        </w:rPr>
        <w:t xml:space="preserve">– </w:t>
      </w:r>
      <w:r w:rsidRPr="0043150F">
        <w:rPr>
          <w:rFonts w:ascii="Times New Roman" w:hAnsi="Times New Roman" w:cs="Times New Roman"/>
          <w:color w:val="000000" w:themeColor="text1"/>
          <w:lang w:val="en-US"/>
        </w:rPr>
        <w:t>July-August.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D4702" w:rsidRPr="000D4702">
        <w:rPr>
          <w:rFonts w:ascii="Times New Roman" w:hAnsi="Times New Roman" w:cs="Times New Roman"/>
          <w:color w:val="000000" w:themeColor="text1"/>
          <w:lang w:val="en-US"/>
        </w:rPr>
        <w:t>–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hyperlink r:id="rId5" w:history="1">
        <w:r w:rsidRPr="0043150F">
          <w:rPr>
            <w:rStyle w:val="a3"/>
            <w:rFonts w:ascii="Times New Roman" w:hAnsi="Times New Roman" w:cs="Times New Roman"/>
            <w:color w:val="000000" w:themeColor="text1"/>
            <w:u w:val="none"/>
            <w:lang w:val="en-US"/>
          </w:rPr>
          <w:t>https://www.foreignaffairs.com/reviews/how-china-wins-gewirtz</w:t>
        </w:r>
      </w:hyperlink>
    </w:p>
  </w:footnote>
  <w:footnote w:id="7">
    <w:p w:rsidR="0043150F" w:rsidRPr="0043150F" w:rsidRDefault="0043150F" w:rsidP="0043150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3150F">
        <w:rPr>
          <w:rStyle w:val="a7"/>
          <w:rFonts w:ascii="Times New Roman" w:hAnsi="Times New Roman" w:cs="Times New Roman"/>
        </w:rPr>
        <w:footnoteRef/>
      </w:r>
      <w:r w:rsidRPr="004315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Знаковыми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событиями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пути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многополярному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мироустройству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стал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саммит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  <w:i/>
        </w:rPr>
        <w:t>ШОС</w:t>
      </w:r>
      <w:r>
        <w:rPr>
          <w:rFonts w:ascii="Times New Roman" w:hAnsi="Times New Roman" w:cs="Times New Roman"/>
          <w:i/>
        </w:rPr>
        <w:t xml:space="preserve"> </w:t>
      </w:r>
      <w:r w:rsidRPr="0043150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Тяньцзине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последовавшие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встречи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глав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государств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правительств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незападных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стран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Пекине,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также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онлайн-саммит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  <w:i/>
        </w:rPr>
        <w:t>БРИКС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инициативе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Бразилии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сентябре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</w:p>
  </w:footnote>
  <w:footnote w:id="8">
    <w:p w:rsidR="0043150F" w:rsidRPr="0043150F" w:rsidRDefault="0043150F" w:rsidP="0043150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3150F">
        <w:rPr>
          <w:rStyle w:val="a7"/>
          <w:rFonts w:ascii="Times New Roman" w:hAnsi="Times New Roman" w:cs="Times New Roman"/>
        </w:rPr>
        <w:footnoteRef/>
      </w:r>
      <w:r w:rsidRPr="004315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Наиболее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рельефным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образцом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относительно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позитивной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результативности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персональной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дипломатии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могут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служить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контакты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президентов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России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США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вопросам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украинского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урегулирования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разблокирования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двусторонних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отношений.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Примером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низкой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продуктивности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этого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механизма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межличностного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общения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лидеров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являются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контакты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премьер-министра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Индии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президента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США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проблемам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таможенно-тарифных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ограничений.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43150F" w:rsidRPr="00FD3B7D" w:rsidRDefault="0043150F" w:rsidP="0043150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3150F">
        <w:rPr>
          <w:rStyle w:val="a7"/>
          <w:rFonts w:ascii="Times New Roman" w:hAnsi="Times New Roman" w:cs="Times New Roman"/>
        </w:rPr>
        <w:footnoteRef/>
      </w:r>
      <w:r w:rsidRPr="004315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D3B7D">
        <w:rPr>
          <w:rFonts w:ascii="Times New Roman" w:hAnsi="Times New Roman" w:cs="Times New Roman"/>
          <w:i/>
        </w:rPr>
        <w:t>Путин В.В.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Послание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Президента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Федеральному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Собранию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февраля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года</w:t>
      </w:r>
      <w:r w:rsidR="00FD3B7D">
        <w:rPr>
          <w:rFonts w:ascii="Times New Roman" w:hAnsi="Times New Roman" w:cs="Times New Roman"/>
        </w:rPr>
        <w:t xml:space="preserve"> //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Официальный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сайт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Президента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России.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="00FD3B7D" w:rsidRPr="00FD3B7D">
          <w:rPr>
            <w:rStyle w:val="a3"/>
            <w:rFonts w:ascii="Times New Roman" w:hAnsi="Times New Roman" w:cs="Times New Roman"/>
            <w:color w:val="auto"/>
            <w:u w:val="none"/>
          </w:rPr>
          <w:t>– http://www.kremlin.ru/events/president/transcripts/messages</w:t>
        </w:r>
      </w:hyperlink>
    </w:p>
  </w:footnote>
  <w:footnote w:id="10">
    <w:p w:rsidR="0043150F" w:rsidRPr="0043150F" w:rsidRDefault="0043150F" w:rsidP="0043150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3150F">
        <w:rPr>
          <w:rStyle w:val="a7"/>
          <w:rFonts w:ascii="Times New Roman" w:hAnsi="Times New Roman" w:cs="Times New Roman"/>
        </w:rPr>
        <w:footnoteRef/>
      </w:r>
      <w:r w:rsidRPr="004315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исключением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КНДР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частично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Республики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Беларусь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нет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союзнических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обязательств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другими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государствами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военной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области.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Имеющиеся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соглашения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договоры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затрагивают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отдельные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аспекты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обеспечения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безопасности,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главным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образом,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военно-технического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сотрудничество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антитеррористическую</w:t>
      </w:r>
      <w:r>
        <w:rPr>
          <w:rFonts w:ascii="Times New Roman" w:hAnsi="Times New Roman" w:cs="Times New Roman"/>
        </w:rPr>
        <w:t xml:space="preserve"> </w:t>
      </w:r>
      <w:r w:rsidRPr="0043150F">
        <w:rPr>
          <w:rFonts w:ascii="Times New Roman" w:hAnsi="Times New Roman" w:cs="Times New Roman"/>
        </w:rPr>
        <w:t>деятельность.</w:t>
      </w:r>
      <w:r>
        <w:rPr>
          <w:rFonts w:ascii="Times New Roman" w:hAnsi="Times New Roman" w:cs="Times New Roman"/>
        </w:rPr>
        <w:t xml:space="preserve"> </w:t>
      </w:r>
    </w:p>
  </w:footnote>
  <w:footnote w:id="11">
    <w:p w:rsidR="0043150F" w:rsidRPr="0043150F" w:rsidRDefault="0043150F" w:rsidP="00FD3B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150F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43150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Наиболее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очевидной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иллюстрацией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противоречий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внутри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западной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коалиции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является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выстраивание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республиканской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администрацией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FD3B7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Д. Трампа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прямой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зависимости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защиты,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предоставляемой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военными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союзами,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от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закупок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американского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оружия,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энергоносителей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промышленной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продукции.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То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есть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во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имя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национальных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интересов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безопасности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Соединенные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Штаты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сейчас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наносят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ущерб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своим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ближайшим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наиболее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последовательным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союзникам,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внесшим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наибольший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вклад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их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экономическое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благополучие.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подобными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сейсмическими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действиями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США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скрываются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глубокие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расхождения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ценностно-идеологического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характера,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разделяющие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оба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полюса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евроатлантического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пространства.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При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ближайшем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рассмотрении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сама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Европа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большой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натяжкой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может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считаться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консолидированным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субъектом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военно-политическом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политико-институциональном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смысле,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хотя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бы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причине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того,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что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там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нет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лица,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которым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можно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было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бы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вести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переговоры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чье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решение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могло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быть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релевантным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для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31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всех.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D7938"/>
    <w:multiLevelType w:val="hybridMultilevel"/>
    <w:tmpl w:val="729AD9EA"/>
    <w:lvl w:ilvl="0" w:tplc="0419000F">
      <w:start w:val="1"/>
      <w:numFmt w:val="decimal"/>
      <w:lvlText w:val="%1."/>
      <w:lvlJc w:val="left"/>
      <w:pPr>
        <w:ind w:left="1580" w:hanging="360"/>
      </w:p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ind w:left="73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EFA"/>
    <w:rsid w:val="00005C7D"/>
    <w:rsid w:val="000071CD"/>
    <w:rsid w:val="000137C4"/>
    <w:rsid w:val="0004365D"/>
    <w:rsid w:val="000620BE"/>
    <w:rsid w:val="00072944"/>
    <w:rsid w:val="00077D1E"/>
    <w:rsid w:val="0008387E"/>
    <w:rsid w:val="00087B4C"/>
    <w:rsid w:val="00092E20"/>
    <w:rsid w:val="000956FF"/>
    <w:rsid w:val="000A13DD"/>
    <w:rsid w:val="000A34BD"/>
    <w:rsid w:val="000A6E0D"/>
    <w:rsid w:val="000B53E4"/>
    <w:rsid w:val="000C7AC2"/>
    <w:rsid w:val="000D4702"/>
    <w:rsid w:val="000F1FB9"/>
    <w:rsid w:val="000F55FC"/>
    <w:rsid w:val="00115AC7"/>
    <w:rsid w:val="00117494"/>
    <w:rsid w:val="001254FB"/>
    <w:rsid w:val="00133CD1"/>
    <w:rsid w:val="0014051C"/>
    <w:rsid w:val="0014064A"/>
    <w:rsid w:val="001423EA"/>
    <w:rsid w:val="001536AC"/>
    <w:rsid w:val="00154ECF"/>
    <w:rsid w:val="0015630A"/>
    <w:rsid w:val="001666CB"/>
    <w:rsid w:val="00171007"/>
    <w:rsid w:val="00172E12"/>
    <w:rsid w:val="00172E58"/>
    <w:rsid w:val="00190AD1"/>
    <w:rsid w:val="001A03F2"/>
    <w:rsid w:val="001A0A31"/>
    <w:rsid w:val="001A213E"/>
    <w:rsid w:val="001B269C"/>
    <w:rsid w:val="001B4060"/>
    <w:rsid w:val="001E683A"/>
    <w:rsid w:val="002004CF"/>
    <w:rsid w:val="002103BC"/>
    <w:rsid w:val="00242D6D"/>
    <w:rsid w:val="0025301E"/>
    <w:rsid w:val="002562E0"/>
    <w:rsid w:val="00265F5D"/>
    <w:rsid w:val="002804F7"/>
    <w:rsid w:val="00285B62"/>
    <w:rsid w:val="002A2958"/>
    <w:rsid w:val="002B457B"/>
    <w:rsid w:val="002D1B61"/>
    <w:rsid w:val="002F2696"/>
    <w:rsid w:val="002F3E28"/>
    <w:rsid w:val="00303CCD"/>
    <w:rsid w:val="00312630"/>
    <w:rsid w:val="00313D16"/>
    <w:rsid w:val="00335E97"/>
    <w:rsid w:val="003375D6"/>
    <w:rsid w:val="00356F83"/>
    <w:rsid w:val="003711A3"/>
    <w:rsid w:val="00371C49"/>
    <w:rsid w:val="00377335"/>
    <w:rsid w:val="0038118B"/>
    <w:rsid w:val="0039479F"/>
    <w:rsid w:val="003A4F58"/>
    <w:rsid w:val="003D248D"/>
    <w:rsid w:val="003E4EA7"/>
    <w:rsid w:val="00424C82"/>
    <w:rsid w:val="0043150F"/>
    <w:rsid w:val="004325CF"/>
    <w:rsid w:val="00434950"/>
    <w:rsid w:val="00440DAE"/>
    <w:rsid w:val="00464573"/>
    <w:rsid w:val="00492091"/>
    <w:rsid w:val="0049255F"/>
    <w:rsid w:val="004965DA"/>
    <w:rsid w:val="004A2EFA"/>
    <w:rsid w:val="004A6698"/>
    <w:rsid w:val="004C3EC5"/>
    <w:rsid w:val="004E7427"/>
    <w:rsid w:val="004F7BE7"/>
    <w:rsid w:val="00501644"/>
    <w:rsid w:val="00502F89"/>
    <w:rsid w:val="00525453"/>
    <w:rsid w:val="00527DD8"/>
    <w:rsid w:val="0057630D"/>
    <w:rsid w:val="00580D2F"/>
    <w:rsid w:val="00592FAD"/>
    <w:rsid w:val="005966BC"/>
    <w:rsid w:val="005C76A7"/>
    <w:rsid w:val="005D55B9"/>
    <w:rsid w:val="005D6275"/>
    <w:rsid w:val="005E2912"/>
    <w:rsid w:val="006012A2"/>
    <w:rsid w:val="006335C7"/>
    <w:rsid w:val="0063445E"/>
    <w:rsid w:val="0063540C"/>
    <w:rsid w:val="00641C2C"/>
    <w:rsid w:val="0065231F"/>
    <w:rsid w:val="00657DA3"/>
    <w:rsid w:val="00684B75"/>
    <w:rsid w:val="00693D11"/>
    <w:rsid w:val="00694279"/>
    <w:rsid w:val="006A1E5A"/>
    <w:rsid w:val="006A558C"/>
    <w:rsid w:val="006B36C6"/>
    <w:rsid w:val="006D4457"/>
    <w:rsid w:val="006E5910"/>
    <w:rsid w:val="006F69F8"/>
    <w:rsid w:val="006F7077"/>
    <w:rsid w:val="0070073B"/>
    <w:rsid w:val="0070413B"/>
    <w:rsid w:val="007076D1"/>
    <w:rsid w:val="007128E2"/>
    <w:rsid w:val="00727360"/>
    <w:rsid w:val="0074280E"/>
    <w:rsid w:val="00752038"/>
    <w:rsid w:val="007554FF"/>
    <w:rsid w:val="00756685"/>
    <w:rsid w:val="007639C8"/>
    <w:rsid w:val="00765427"/>
    <w:rsid w:val="00770E31"/>
    <w:rsid w:val="00774AFA"/>
    <w:rsid w:val="00797410"/>
    <w:rsid w:val="007B19AF"/>
    <w:rsid w:val="007C17D3"/>
    <w:rsid w:val="007C5A9C"/>
    <w:rsid w:val="007D40CF"/>
    <w:rsid w:val="007F40F3"/>
    <w:rsid w:val="00804058"/>
    <w:rsid w:val="00805FB8"/>
    <w:rsid w:val="00813A17"/>
    <w:rsid w:val="008241E4"/>
    <w:rsid w:val="0085540A"/>
    <w:rsid w:val="00860AA0"/>
    <w:rsid w:val="00860BD8"/>
    <w:rsid w:val="00863E80"/>
    <w:rsid w:val="00872AAE"/>
    <w:rsid w:val="00887817"/>
    <w:rsid w:val="008957FD"/>
    <w:rsid w:val="008B3CA4"/>
    <w:rsid w:val="008C460D"/>
    <w:rsid w:val="008D59FD"/>
    <w:rsid w:val="008E4661"/>
    <w:rsid w:val="008E7ED8"/>
    <w:rsid w:val="0090020F"/>
    <w:rsid w:val="00902519"/>
    <w:rsid w:val="00914052"/>
    <w:rsid w:val="00916325"/>
    <w:rsid w:val="009248D2"/>
    <w:rsid w:val="00931A4D"/>
    <w:rsid w:val="00940135"/>
    <w:rsid w:val="00952D8C"/>
    <w:rsid w:val="00952E75"/>
    <w:rsid w:val="009573B2"/>
    <w:rsid w:val="00957F64"/>
    <w:rsid w:val="009859C9"/>
    <w:rsid w:val="0099178C"/>
    <w:rsid w:val="009947DA"/>
    <w:rsid w:val="009A23FC"/>
    <w:rsid w:val="009A4D60"/>
    <w:rsid w:val="009A57AC"/>
    <w:rsid w:val="009A5DD7"/>
    <w:rsid w:val="009C203B"/>
    <w:rsid w:val="009D2788"/>
    <w:rsid w:val="009E4CBF"/>
    <w:rsid w:val="009F6E77"/>
    <w:rsid w:val="00A0414C"/>
    <w:rsid w:val="00A05B3D"/>
    <w:rsid w:val="00A07D4B"/>
    <w:rsid w:val="00A17C65"/>
    <w:rsid w:val="00A25F53"/>
    <w:rsid w:val="00A34516"/>
    <w:rsid w:val="00A4114C"/>
    <w:rsid w:val="00A43B0D"/>
    <w:rsid w:val="00A47583"/>
    <w:rsid w:val="00A505F1"/>
    <w:rsid w:val="00A50A99"/>
    <w:rsid w:val="00A70107"/>
    <w:rsid w:val="00A73ACB"/>
    <w:rsid w:val="00A82B1D"/>
    <w:rsid w:val="00AA68F9"/>
    <w:rsid w:val="00AC130B"/>
    <w:rsid w:val="00AD7010"/>
    <w:rsid w:val="00AE53D5"/>
    <w:rsid w:val="00B204DB"/>
    <w:rsid w:val="00B22D7E"/>
    <w:rsid w:val="00B266B5"/>
    <w:rsid w:val="00B42EFA"/>
    <w:rsid w:val="00B61707"/>
    <w:rsid w:val="00B61A4B"/>
    <w:rsid w:val="00B62672"/>
    <w:rsid w:val="00B8719F"/>
    <w:rsid w:val="00B872F5"/>
    <w:rsid w:val="00B92C7C"/>
    <w:rsid w:val="00BA6B17"/>
    <w:rsid w:val="00BD2581"/>
    <w:rsid w:val="00BD3566"/>
    <w:rsid w:val="00BD57BF"/>
    <w:rsid w:val="00C01415"/>
    <w:rsid w:val="00C03A92"/>
    <w:rsid w:val="00C2114D"/>
    <w:rsid w:val="00C21779"/>
    <w:rsid w:val="00C248DB"/>
    <w:rsid w:val="00C265BE"/>
    <w:rsid w:val="00C2734E"/>
    <w:rsid w:val="00C4271B"/>
    <w:rsid w:val="00C4283D"/>
    <w:rsid w:val="00C4777C"/>
    <w:rsid w:val="00C548BB"/>
    <w:rsid w:val="00C561E8"/>
    <w:rsid w:val="00C6021D"/>
    <w:rsid w:val="00C63438"/>
    <w:rsid w:val="00C64548"/>
    <w:rsid w:val="00C7568C"/>
    <w:rsid w:val="00C8433A"/>
    <w:rsid w:val="00C8759B"/>
    <w:rsid w:val="00C93AD0"/>
    <w:rsid w:val="00C94349"/>
    <w:rsid w:val="00C97E88"/>
    <w:rsid w:val="00CD21FE"/>
    <w:rsid w:val="00CD32CA"/>
    <w:rsid w:val="00CD7A20"/>
    <w:rsid w:val="00CE3949"/>
    <w:rsid w:val="00CF7047"/>
    <w:rsid w:val="00D06B17"/>
    <w:rsid w:val="00D11217"/>
    <w:rsid w:val="00D41398"/>
    <w:rsid w:val="00D469C5"/>
    <w:rsid w:val="00D522C7"/>
    <w:rsid w:val="00D83616"/>
    <w:rsid w:val="00D86605"/>
    <w:rsid w:val="00D91C2F"/>
    <w:rsid w:val="00DA2EFF"/>
    <w:rsid w:val="00DB5A4D"/>
    <w:rsid w:val="00DD5800"/>
    <w:rsid w:val="00DD7757"/>
    <w:rsid w:val="00DE0496"/>
    <w:rsid w:val="00E00D6C"/>
    <w:rsid w:val="00E0537E"/>
    <w:rsid w:val="00E07B04"/>
    <w:rsid w:val="00E150E5"/>
    <w:rsid w:val="00E315B1"/>
    <w:rsid w:val="00E35548"/>
    <w:rsid w:val="00E45512"/>
    <w:rsid w:val="00E46F4C"/>
    <w:rsid w:val="00E52FA3"/>
    <w:rsid w:val="00E61EB7"/>
    <w:rsid w:val="00E656CC"/>
    <w:rsid w:val="00E667EF"/>
    <w:rsid w:val="00E8626C"/>
    <w:rsid w:val="00EA5FD5"/>
    <w:rsid w:val="00EC0F71"/>
    <w:rsid w:val="00ED204E"/>
    <w:rsid w:val="00EF3B90"/>
    <w:rsid w:val="00EF426B"/>
    <w:rsid w:val="00F44E23"/>
    <w:rsid w:val="00F45C67"/>
    <w:rsid w:val="00F512F2"/>
    <w:rsid w:val="00F9246A"/>
    <w:rsid w:val="00FA335B"/>
    <w:rsid w:val="00FA7735"/>
    <w:rsid w:val="00FC3D16"/>
    <w:rsid w:val="00FD3B7D"/>
    <w:rsid w:val="00FD5879"/>
    <w:rsid w:val="00FE65EB"/>
    <w:rsid w:val="00FF019F"/>
    <w:rsid w:val="00FF2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2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92F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4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C2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54F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B3CA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B3CA4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B3CA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92F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014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65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5231F"/>
    <w:rPr>
      <w:b/>
      <w:bCs/>
    </w:rPr>
  </w:style>
  <w:style w:type="character" w:styleId="aa">
    <w:name w:val="Emphasis"/>
    <w:basedOn w:val="a0"/>
    <w:uiPriority w:val="20"/>
    <w:qFormat/>
    <w:rsid w:val="0065231F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431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3150F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431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150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banov-pol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globalaffairs.ru/articles/krepost-amerika-evstafev/" TargetMode="External"/><Relationship Id="rId2" Type="http://schemas.openxmlformats.org/officeDocument/2006/relationships/hyperlink" Target="https://www.mid.ru/ru/foreign_policy/news/1991476/" TargetMode="External"/><Relationship Id="rId1" Type="http://schemas.openxmlformats.org/officeDocument/2006/relationships/hyperlink" Target="https://www.foreignaffairs.com/articles/2018-12-11/how-world-order-ends?cid=int-nbb&amp;pgtype=hpg" TargetMode="External"/><Relationship Id="rId6" Type="http://schemas.openxmlformats.org/officeDocument/2006/relationships/hyperlink" Target="&#8211;%20http://www.kremlin.ru/events/president/transcripts/messages" TargetMode="External"/><Relationship Id="rId5" Type="http://schemas.openxmlformats.org/officeDocument/2006/relationships/hyperlink" Target="https://www.foreignaffairs.com/reviews/how-china-wins-gewirtz" TargetMode="External"/><Relationship Id="rId4" Type="http://schemas.openxmlformats.org/officeDocument/2006/relationships/hyperlink" Target="https://en.iz.ru/en/1905986/2025-06-18/russian-foreign-ministry-noted-danger-third-world-w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C0A50-1C1F-4CCA-A497-A6DACD06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</cp:lastModifiedBy>
  <cp:revision>5</cp:revision>
  <dcterms:created xsi:type="dcterms:W3CDTF">2025-09-20T14:19:00Z</dcterms:created>
  <dcterms:modified xsi:type="dcterms:W3CDTF">2025-10-11T15:26:00Z</dcterms:modified>
</cp:coreProperties>
</file>