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C9" w:rsidRPr="00C366C9" w:rsidRDefault="002673BB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Койчуманов</w:t>
      </w:r>
      <w:r w:rsid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="00C366C9" w:rsidRP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.Дж</w:t>
      </w:r>
      <w:r w:rsidR="00C366C9"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C366C9" w:rsidRPr="00C366C9" w:rsidRDefault="00C366C9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д.э.н.,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профессор,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советник,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Парк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высоких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технологий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Кыргызской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Республики</w:t>
      </w:r>
    </w:p>
    <w:p w:rsidR="002673BB" w:rsidRPr="00C366C9" w:rsidRDefault="002673BB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Cs/>
          <w:sz w:val="24"/>
          <w:szCs w:val="24"/>
        </w:rPr>
        <w:t>tkoichumanov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@</w:t>
      </w:r>
      <w:r w:rsidRPr="00C366C9">
        <w:rPr>
          <w:rFonts w:ascii="Times New Roman" w:hAnsi="Times New Roman" w:cs="Times New Roman"/>
          <w:bCs/>
          <w:sz w:val="24"/>
          <w:szCs w:val="24"/>
        </w:rPr>
        <w:t>gmail</w:t>
      </w:r>
      <w:r w:rsidRPr="00C366C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C366C9">
        <w:rPr>
          <w:rFonts w:ascii="Times New Roman" w:hAnsi="Times New Roman" w:cs="Times New Roman"/>
          <w:bCs/>
          <w:sz w:val="24"/>
          <w:szCs w:val="24"/>
        </w:rPr>
        <w:t>com</w:t>
      </w:r>
    </w:p>
    <w:p w:rsidR="002673BB" w:rsidRPr="00C366C9" w:rsidRDefault="002673BB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F24B3" w:rsidRPr="00C366C9" w:rsidRDefault="00C366C9" w:rsidP="00C366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ТЕХНОЛОГИЧЕСКИЙ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СКАЧОК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РАЗВИВАЮЩИХСЯ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ИСКУССТВЕННЫЙ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ИНТЕЛЛЕКТ: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КОНЦЕПЦИИ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</w:rPr>
        <w:t>SMILE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</w:rPr>
        <w:t>CURVE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</w:rPr>
        <w:t>DEEPVINE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Ключевые</w:t>
      </w:r>
      <w:r w:rsidR="00C366C9" w:rsidRP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слова: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</w:rPr>
        <w:t>IT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-индустрия,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искусственный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интеллект,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</w:rPr>
        <w:t>Smile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</w:rPr>
        <w:t>Curve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</w:rPr>
        <w:t>DeepVine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экономическая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комплексность,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технологический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скачок,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развивающиеся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страны,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научные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исследования,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  <w:lang w:val="ru-RU"/>
        </w:rPr>
        <w:t>инновации,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i/>
          <w:sz w:val="24"/>
          <w:szCs w:val="24"/>
        </w:rPr>
        <w:t>DeepTech</w:t>
      </w:r>
      <w:r w:rsidR="00C366C9" w:rsidRPr="00C366C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C366C9" w:rsidRDefault="00C366C9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Введение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lastRenderedPageBreak/>
        <w:t>Многие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развивающиеся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Кыргызскую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Республику,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остаются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цикле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относительной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бедности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экономикой,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зависимой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низкодоходных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секторов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текстильного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производства,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сельского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хозяйства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добычи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ресурсов.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Несмотря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ИТ-сектора,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преобразования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ограничен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разобщённостью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системами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образования.</w:t>
      </w:r>
    </w:p>
    <w:p w:rsidR="00BF24B3" w:rsidRPr="00C366C9" w:rsidRDefault="00672BA2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т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еори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Smil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Curve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наибольшая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добавленная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стоимость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этапах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исследований,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разработок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маркетинга,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производство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низкую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маржинальность.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объясняет,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специализирующиеся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производстве,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сталкиваются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убывающей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доходностью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нестабильностью.</w:t>
      </w:r>
    </w:p>
    <w:p w:rsidR="00BF24B3" w:rsidRPr="00C366C9" w:rsidRDefault="00672BA2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Нами п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редлагается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концептуальная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модель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«лианы»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DeepVine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связывающей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образование,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науку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бизнес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ускоренного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высокие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технологии.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Выявляется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ключевого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инструмента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DeepVine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способного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радикально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снизить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транзакционные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издержки,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автоматизировать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создавать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интеллектуальные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системы.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Дается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сравнительный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стран,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успешно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осуществивших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скачки,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конкретными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выводами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контексте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Республики.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</w:rPr>
        <w:t>Smile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Curve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визуализирует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распределение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добавленной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стоимости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цепочке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продукта: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6E8E" w:rsidRPr="00C366C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евая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«ветвь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улыбки»: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R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C366C9">
        <w:rPr>
          <w:rFonts w:ascii="Times New Roman" w:hAnsi="Times New Roman" w:cs="Times New Roman"/>
          <w:sz w:val="24"/>
          <w:szCs w:val="24"/>
        </w:rPr>
        <w:t>D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инновации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2BA2" w:rsidRPr="00672B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добавленная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стоимость.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Нижняя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часть: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массовое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производство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2BA2" w:rsidRPr="00672B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низкая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маржинальность.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Правая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«ветвь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улыбки»: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маркетинг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брендинг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2BA2" w:rsidRPr="00672B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добавленная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стоимость.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Таким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образом,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ограниченные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низкодоходным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производством,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теряют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значительную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выгоду.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центры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инноваций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(США,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Германия,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Япония)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контролируют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R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C366C9">
        <w:rPr>
          <w:rFonts w:ascii="Times New Roman" w:hAnsi="Times New Roman" w:cs="Times New Roman"/>
          <w:sz w:val="24"/>
          <w:szCs w:val="24"/>
        </w:rPr>
        <w:t>D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брендинг,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оставляя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производство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странам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низкими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доходами</w:t>
      </w:r>
      <w:r w:rsidR="00672BA2">
        <w:rPr>
          <w:rStyle w:val="a9"/>
          <w:rFonts w:ascii="Times New Roman" w:hAnsi="Times New Roman" w:cs="Times New Roman"/>
          <w:sz w:val="24"/>
          <w:szCs w:val="24"/>
          <w:lang w:val="ru-RU"/>
        </w:rPr>
        <w:footnoteReference w:id="2"/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комплексности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366C9">
        <w:rPr>
          <w:rFonts w:ascii="Times New Roman" w:hAnsi="Times New Roman" w:cs="Times New Roman"/>
          <w:sz w:val="24"/>
          <w:szCs w:val="24"/>
        </w:rPr>
        <w:t>ECI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60390">
        <w:rPr>
          <w:rStyle w:val="a9"/>
          <w:rFonts w:ascii="Times New Roman" w:hAnsi="Times New Roman" w:cs="Times New Roman"/>
          <w:sz w:val="24"/>
          <w:szCs w:val="24"/>
          <w:lang w:val="ru-RU"/>
        </w:rPr>
        <w:footnoteReference w:id="3"/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измеряет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производить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разнообразные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сложные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товары.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ECI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коррелирует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долгосрочным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экономическим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ростом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инновационной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способностью,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важным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индикатором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скачкам.</w:t>
      </w:r>
    </w:p>
    <w:p w:rsidR="00E60390" w:rsidRPr="00E60390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0390">
        <w:rPr>
          <w:rFonts w:ascii="Times New Roman" w:hAnsi="Times New Roman" w:cs="Times New Roman"/>
          <w:b/>
          <w:sz w:val="24"/>
          <w:szCs w:val="24"/>
          <w:lang w:val="ru-RU"/>
        </w:rPr>
        <w:t>Концепция</w:t>
      </w:r>
      <w:r w:rsidR="00C366C9" w:rsidRPr="00E603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60390">
        <w:rPr>
          <w:rFonts w:ascii="Times New Roman" w:hAnsi="Times New Roman" w:cs="Times New Roman"/>
          <w:b/>
          <w:sz w:val="24"/>
          <w:szCs w:val="24"/>
        </w:rPr>
        <w:t>DeepVine</w:t>
      </w:r>
    </w:p>
    <w:p w:rsidR="009D76FC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Метафора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DeepVine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описывает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«лиану»,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соединяющую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ИТ-бизнес,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развивающиеся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«перепрыгнуть»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традиционные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этапы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индустриализации.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DeepVine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включает:</w:t>
      </w:r>
    </w:p>
    <w:p w:rsidR="009D76FC" w:rsidRPr="00C366C9" w:rsidRDefault="00C366C9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нижение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барьеров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выхода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глобальные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рынки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цифровые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ормирование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квалифицированной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инновационной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инфраструктуры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асштабирование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инноваций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стартапы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корпоративные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R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="00BF24B3" w:rsidRPr="00C366C9">
        <w:rPr>
          <w:rFonts w:ascii="Times New Roman" w:hAnsi="Times New Roman" w:cs="Times New Roman"/>
          <w:sz w:val="24"/>
          <w:szCs w:val="24"/>
        </w:rPr>
        <w:t>D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-проекты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оздание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экосистем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DeepTech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включающ</w:t>
      </w:r>
      <w:r w:rsidR="00E6039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квантовые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вычисления,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материалы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биотехнологии.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рассматривается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«лиана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поколения»,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способная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радикально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ускорять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прогресс.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Международные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примеры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технологических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скачков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390">
        <w:rPr>
          <w:rFonts w:ascii="Times New Roman" w:hAnsi="Times New Roman" w:cs="Times New Roman"/>
          <w:b/>
          <w:sz w:val="24"/>
          <w:szCs w:val="24"/>
          <w:lang w:val="ru-RU"/>
        </w:rPr>
        <w:t>Вьетнам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2000-х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экономика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Вьетнама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ориентирована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хозяйство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текстиль.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инвестировало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R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C366C9">
        <w:rPr>
          <w:rFonts w:ascii="Times New Roman" w:hAnsi="Times New Roman" w:cs="Times New Roman"/>
          <w:sz w:val="24"/>
          <w:szCs w:val="24"/>
        </w:rPr>
        <w:t>D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цифровую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инфраструктуру,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создало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технопарки,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стимулируют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бизнеса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университетов.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привело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росту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высокотехнологичного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экспорта,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электроники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программного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обеспечения.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Важной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особенностью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интеграция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ИТ-образования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научных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исследований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политикой,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соответствует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DeepVine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390">
        <w:rPr>
          <w:rFonts w:ascii="Times New Roman" w:hAnsi="Times New Roman" w:cs="Times New Roman"/>
          <w:b/>
          <w:sz w:val="24"/>
          <w:szCs w:val="24"/>
          <w:lang w:val="ru-RU"/>
        </w:rPr>
        <w:t>Эстония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рограмма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Tiigrih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C366C9">
        <w:rPr>
          <w:rFonts w:ascii="Times New Roman" w:hAnsi="Times New Roman" w:cs="Times New Roman"/>
          <w:sz w:val="24"/>
          <w:szCs w:val="24"/>
        </w:rPr>
        <w:t>pe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1990-х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цифровизировала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образование,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госуправление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инфраструктуру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связи.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Университеты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взаимодействуют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ИТ-компаниями,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стимулируя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инновации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экспорт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цифровых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услуг.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Эстония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мировых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лидеров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цифрового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экспорта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электронного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BD5DA5">
        <w:rPr>
          <w:rStyle w:val="a9"/>
          <w:rFonts w:ascii="Times New Roman" w:hAnsi="Times New Roman" w:cs="Times New Roman"/>
          <w:sz w:val="24"/>
          <w:szCs w:val="24"/>
          <w:lang w:val="ru-RU"/>
        </w:rPr>
        <w:footnoteReference w:id="4"/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демонстрирует,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скачок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возможен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ограниченных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ресурсах,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формирует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устойчивую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DeepTech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-экосистему.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A5">
        <w:rPr>
          <w:rFonts w:ascii="Times New Roman" w:hAnsi="Times New Roman" w:cs="Times New Roman"/>
          <w:b/>
          <w:sz w:val="24"/>
          <w:szCs w:val="24"/>
          <w:lang w:val="ru-RU"/>
        </w:rPr>
        <w:t>Руанда</w:t>
      </w:r>
      <w:r w:rsidR="009D76FC"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Руанда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пропустила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этап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проводного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D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нтернета,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внедрив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мобильные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платежи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цифровые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госуслуги.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достигла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быстрого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роста,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обеспечила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доступ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финансовым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услугам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населению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создала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стартапов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IT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-секторе.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подтверждает,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DeepVine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странах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ограниченной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инфраструктурой.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26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726" w:rsidRPr="00C366C9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примеры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подтверждают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концепцию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DeepVine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гибкой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«лианы»,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соединяющей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рынок,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ускоряющей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прогресс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устойчивой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Кыргызская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Республика: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вызовы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возможности</w:t>
      </w:r>
    </w:p>
    <w:p w:rsidR="00254726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Кыргызская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Республика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демонстрирует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рост,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остаётся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зависимой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низкодоходных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секторов.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D76FC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вызовы: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изкие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расходы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R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="00BF24B3" w:rsidRPr="00C366C9">
        <w:rPr>
          <w:rFonts w:ascii="Times New Roman" w:hAnsi="Times New Roman" w:cs="Times New Roman"/>
          <w:sz w:val="24"/>
          <w:szCs w:val="24"/>
        </w:rPr>
        <w:t>D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(0,06%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году)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лабое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частного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бизнеса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инновациях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изкий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комплексности.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Позитивные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факторы: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олодое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население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высоким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потенциалом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цифровой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астущая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инфраструктура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ИТ-образования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стартап-экосистема</w:t>
      </w:r>
      <w:r w:rsidR="00BD5DA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нициативы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Hi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F24B3" w:rsidRPr="00C366C9">
        <w:rPr>
          <w:rFonts w:ascii="Times New Roman" w:hAnsi="Times New Roman" w:cs="Times New Roman"/>
          <w:sz w:val="24"/>
          <w:szCs w:val="24"/>
        </w:rPr>
        <w:t>Tech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Park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(инкубаторы,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лаборатории,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AI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-проекты).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KaniTTS</w:t>
      </w:r>
      <w:r w:rsidR="00BD5DA5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разработанного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больших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языковых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моделей,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демонстрирует,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DeepVine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кыргызским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компаниям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выходить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глобальный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рынок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высокотехнологичными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продуктами.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Рекомендации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ускорения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DeepTech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-сектора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Кыргызстане: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оздание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платформ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науки,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бизнеса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одернизация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STEM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-образования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акцентом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цифровые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навыки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6FC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нституциональная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поддержка: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налоговые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льготы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R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="00BF24B3" w:rsidRPr="00C366C9">
        <w:rPr>
          <w:rFonts w:ascii="Times New Roman" w:hAnsi="Times New Roman" w:cs="Times New Roman"/>
          <w:sz w:val="24"/>
          <w:szCs w:val="24"/>
        </w:rPr>
        <w:t>D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технопарки,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международное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сотрудничество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ормирование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</w:rPr>
        <w:t>DeepTech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-экосистемы: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большие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данные,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агротехнологии,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финтех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F24B3" w:rsidRPr="00C366C9" w:rsidRDefault="009D76FC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одготовка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машинному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обучению,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робототехнике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аналитике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4B3" w:rsidRPr="00C366C9">
        <w:rPr>
          <w:rFonts w:ascii="Times New Roman" w:hAnsi="Times New Roman" w:cs="Times New Roman"/>
          <w:sz w:val="24"/>
          <w:szCs w:val="24"/>
          <w:lang w:val="ru-RU"/>
        </w:rPr>
        <w:t>данных.</w:t>
      </w:r>
    </w:p>
    <w:p w:rsidR="00BD5DA5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Заключение</w:t>
      </w:r>
    </w:p>
    <w:p w:rsidR="00BF24B3" w:rsidRPr="00C366C9" w:rsidRDefault="00BF24B3" w:rsidP="00C36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статье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показано,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IT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выступать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«лианой»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DeepVine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соединяющей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науку,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бизнес,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позволяющей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развивающимся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странам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совершать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технологические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скачки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секторам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добавленной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стоимостью.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Международный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подтверждает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необходимость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интеграции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</w:rPr>
        <w:t>DeepTech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инновационной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политики.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подход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открывает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росту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комплексности,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устойчивого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укреплению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устойчивости.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Государственная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политика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стимулировать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альянс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науки,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бизнеса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раскрытия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технологического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скачка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C36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6C9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9D07FE" w:rsidRPr="00C36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BF24B3" w:rsidRPr="00C366C9" w:rsidSect="00C366C9">
      <w:headerReference w:type="default" r:id="rId7"/>
      <w:footerReference w:type="default" r:id="rId8"/>
      <w:pgSz w:w="12240" w:h="15840" w:code="1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C9" w:rsidRDefault="00C366C9" w:rsidP="00C366C9">
      <w:pPr>
        <w:spacing w:after="0" w:line="240" w:lineRule="auto"/>
      </w:pPr>
      <w:r>
        <w:separator/>
      </w:r>
    </w:p>
  </w:endnote>
  <w:endnote w:type="continuationSeparator" w:id="0">
    <w:p w:rsidR="00C366C9" w:rsidRDefault="00C366C9" w:rsidP="00C3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66C9" w:rsidRPr="00C366C9" w:rsidRDefault="00C366C9" w:rsidP="00C366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6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66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6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2CB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36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C9" w:rsidRDefault="00C366C9" w:rsidP="00C366C9">
      <w:pPr>
        <w:spacing w:after="0" w:line="240" w:lineRule="auto"/>
      </w:pPr>
      <w:r>
        <w:separator/>
      </w:r>
    </w:p>
  </w:footnote>
  <w:footnote w:type="continuationSeparator" w:id="0">
    <w:p w:rsidR="00C366C9" w:rsidRDefault="00C366C9" w:rsidP="00C366C9">
      <w:pPr>
        <w:spacing w:after="0" w:line="240" w:lineRule="auto"/>
      </w:pPr>
      <w:r>
        <w:continuationSeparator/>
      </w:r>
    </w:p>
  </w:footnote>
  <w:footnote w:id="1">
    <w:p w:rsidR="00672BA2" w:rsidRPr="00BD5DA5" w:rsidRDefault="00672BA2" w:rsidP="00BD5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5DA5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BD5DA5">
        <w:rPr>
          <w:rFonts w:ascii="Times New Roman" w:hAnsi="Times New Roman" w:cs="Times New Roman"/>
          <w:sz w:val="20"/>
          <w:szCs w:val="20"/>
        </w:rPr>
        <w:t xml:space="preserve"> </w:t>
      </w:r>
      <w:r w:rsidRPr="00BD5DA5">
        <w:rPr>
          <w:rFonts w:ascii="Times New Roman" w:eastAsia="Times New Roman" w:hAnsi="Times New Roman" w:cs="Times New Roman"/>
          <w:i/>
          <w:color w:val="34343C"/>
          <w:sz w:val="20"/>
          <w:szCs w:val="20"/>
          <w:lang w:eastAsia="ru-RU"/>
        </w:rPr>
        <w:t>Shih, S.</w:t>
      </w:r>
      <w:r w:rsidRPr="00BD5DA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 Me-Too is Not My Style: Challenge Difficulties, Break through Bottlenecks, </w:t>
      </w:r>
      <w:r w:rsidRPr="00672BA2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Create Values</w:t>
      </w:r>
      <w:r w:rsidRPr="00BD5DA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. –</w:t>
      </w:r>
      <w:r w:rsidRPr="00672BA2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Taipei: The Acer Foundation</w:t>
      </w:r>
      <w:r w:rsidRPr="00BD5DA5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, 1996.</w:t>
      </w:r>
    </w:p>
  </w:footnote>
  <w:footnote w:id="2">
    <w:p w:rsidR="00672BA2" w:rsidRPr="00BD5DA5" w:rsidRDefault="00672BA2" w:rsidP="00BD5DA5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D5DA5">
        <w:rPr>
          <w:rStyle w:val="a9"/>
          <w:rFonts w:ascii="Times New Roman" w:hAnsi="Times New Roman" w:cs="Times New Roman"/>
        </w:rPr>
        <w:footnoteRef/>
      </w:r>
      <w:r w:rsidRPr="00BD5DA5">
        <w:rPr>
          <w:rFonts w:ascii="Times New Roman" w:hAnsi="Times New Roman" w:cs="Times New Roman"/>
        </w:rPr>
        <w:t xml:space="preserve"> Ibid.</w:t>
      </w:r>
    </w:p>
  </w:footnote>
  <w:footnote w:id="3">
    <w:p w:rsidR="00E60390" w:rsidRPr="00BD5DA5" w:rsidRDefault="00E60390" w:rsidP="00BD5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5DA5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BD5DA5">
        <w:rPr>
          <w:rFonts w:ascii="Times New Roman" w:hAnsi="Times New Roman" w:cs="Times New Roman"/>
          <w:sz w:val="20"/>
          <w:szCs w:val="20"/>
        </w:rPr>
        <w:t xml:space="preserve"> </w:t>
      </w:r>
      <w:r w:rsidRPr="00BD5DA5">
        <w:rPr>
          <w:rFonts w:ascii="Times New Roman" w:eastAsia="Times New Roman" w:hAnsi="Times New Roman" w:cs="Times New Roman"/>
          <w:i/>
          <w:iCs/>
          <w:color w:val="202122"/>
          <w:sz w:val="20"/>
          <w:szCs w:val="20"/>
          <w:lang w:eastAsia="ru-RU"/>
        </w:rPr>
        <w:t xml:space="preserve">Hidalgo C.A., Hausmann R. </w:t>
      </w:r>
      <w:hyperlink r:id="rId1" w:history="1">
        <w:r w:rsidRPr="00BD5DA5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The Building Blocks of Eco</w:t>
        </w:r>
        <w:r w:rsidRPr="00BD5DA5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n</w:t>
        </w:r>
        <w:r w:rsidRPr="00BD5DA5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omic Complexity</w:t>
        </w:r>
      </w:hyperlink>
      <w:r w:rsidRPr="00BD5DA5">
        <w:rPr>
          <w:rFonts w:ascii="Times New Roman" w:eastAsia="Times New Roman" w:hAnsi="Times New Roman" w:cs="Times New Roman"/>
          <w:iCs/>
          <w:color w:val="202122"/>
          <w:sz w:val="20"/>
          <w:szCs w:val="20"/>
          <w:lang w:eastAsia="ru-RU"/>
        </w:rPr>
        <w:t xml:space="preserve"> // Proceedings of the National Academy of Sciences. – 2009. – Vol. </w:t>
      </w:r>
      <w:r w:rsidRPr="00BD5DA5">
        <w:rPr>
          <w:rFonts w:ascii="Times New Roman" w:eastAsia="Times New Roman" w:hAnsi="Times New Roman" w:cs="Times New Roman"/>
          <w:bCs/>
          <w:iCs/>
          <w:color w:val="202122"/>
          <w:sz w:val="20"/>
          <w:szCs w:val="20"/>
          <w:lang w:eastAsia="ru-RU"/>
        </w:rPr>
        <w:t xml:space="preserve">106, N </w:t>
      </w:r>
      <w:r w:rsidRPr="00BD5DA5">
        <w:rPr>
          <w:rFonts w:ascii="Times New Roman" w:eastAsia="Times New Roman" w:hAnsi="Times New Roman" w:cs="Times New Roman"/>
          <w:iCs/>
          <w:color w:val="202122"/>
          <w:sz w:val="20"/>
          <w:szCs w:val="20"/>
          <w:lang w:eastAsia="ru-RU"/>
        </w:rPr>
        <w:t xml:space="preserve">26. </w:t>
      </w:r>
      <w:r w:rsidRPr="00BD5DA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– https://www.pnas.org/doi/pdf/10.1073/pnas.0900943106</w:t>
      </w:r>
    </w:p>
  </w:footnote>
  <w:footnote w:id="4">
    <w:p w:rsidR="00BD5DA5" w:rsidRPr="00BD5DA5" w:rsidRDefault="00BD5DA5" w:rsidP="00BD5DA5">
      <w:pPr>
        <w:pStyle w:val="a7"/>
        <w:ind w:firstLine="709"/>
        <w:jc w:val="both"/>
        <w:rPr>
          <w:rFonts w:ascii="Times New Roman" w:hAnsi="Times New Roman" w:cs="Times New Roman"/>
          <w:lang w:val="ru-RU"/>
        </w:rPr>
      </w:pPr>
      <w:r w:rsidRPr="00BD5DA5">
        <w:rPr>
          <w:rStyle w:val="a9"/>
          <w:rFonts w:ascii="Times New Roman" w:hAnsi="Times New Roman" w:cs="Times New Roman"/>
        </w:rPr>
        <w:footnoteRef/>
      </w:r>
      <w:r w:rsidRPr="00BD5DA5">
        <w:rPr>
          <w:rFonts w:ascii="Times New Roman" w:hAnsi="Times New Roman" w:cs="Times New Roman"/>
        </w:rPr>
        <w:t xml:space="preserve"> https</w:t>
      </w:r>
      <w:r w:rsidRPr="00BD5DA5">
        <w:rPr>
          <w:rFonts w:ascii="Times New Roman" w:hAnsi="Times New Roman" w:cs="Times New Roman"/>
          <w:lang w:val="ru-RU"/>
        </w:rPr>
        <w:t>://</w:t>
      </w:r>
      <w:r w:rsidRPr="00BD5DA5">
        <w:rPr>
          <w:rFonts w:ascii="Times New Roman" w:hAnsi="Times New Roman" w:cs="Times New Roman"/>
        </w:rPr>
        <w:t>e</w:t>
      </w:r>
      <w:r w:rsidRPr="00BD5DA5">
        <w:rPr>
          <w:rFonts w:ascii="Times New Roman" w:hAnsi="Times New Roman" w:cs="Times New Roman"/>
          <w:lang w:val="ru-RU"/>
        </w:rPr>
        <w:t>-</w:t>
      </w:r>
      <w:r w:rsidRPr="00BD5DA5">
        <w:rPr>
          <w:rFonts w:ascii="Times New Roman" w:hAnsi="Times New Roman" w:cs="Times New Roman"/>
        </w:rPr>
        <w:t>estonia</w:t>
      </w:r>
      <w:r w:rsidRPr="00BD5DA5">
        <w:rPr>
          <w:rFonts w:ascii="Times New Roman" w:hAnsi="Times New Roman" w:cs="Times New Roman"/>
          <w:lang w:val="ru-RU"/>
        </w:rPr>
        <w:t>.</w:t>
      </w:r>
      <w:r w:rsidRPr="00BD5DA5">
        <w:rPr>
          <w:rFonts w:ascii="Times New Roman" w:hAnsi="Times New Roman" w:cs="Times New Roman"/>
        </w:rPr>
        <w:t>com</w:t>
      </w:r>
    </w:p>
  </w:footnote>
  <w:footnote w:id="5">
    <w:p w:rsidR="00BD5DA5" w:rsidRPr="00BD5DA5" w:rsidRDefault="00BD5DA5" w:rsidP="00BD5DA5">
      <w:pPr>
        <w:pStyle w:val="a7"/>
        <w:ind w:firstLine="709"/>
        <w:jc w:val="both"/>
        <w:rPr>
          <w:rFonts w:ascii="Times New Roman" w:hAnsi="Times New Roman" w:cs="Times New Roman"/>
          <w:lang w:val="ru-RU"/>
        </w:rPr>
      </w:pPr>
      <w:r w:rsidRPr="00BD5DA5">
        <w:rPr>
          <w:rStyle w:val="a9"/>
          <w:rFonts w:ascii="Times New Roman" w:hAnsi="Times New Roman" w:cs="Times New Roman"/>
        </w:rPr>
        <w:footnoteRef/>
      </w:r>
      <w:r w:rsidRPr="00BD5DA5">
        <w:rPr>
          <w:rFonts w:ascii="Times New Roman" w:hAnsi="Times New Roman" w:cs="Times New Roman"/>
        </w:rPr>
        <w:t xml:space="preserve"> https://kanitts.com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C9" w:rsidRPr="00C366C9" w:rsidRDefault="00C366C9" w:rsidP="00C366C9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BF8"/>
    <w:rsid w:val="00053DDB"/>
    <w:rsid w:val="001D09B1"/>
    <w:rsid w:val="00254726"/>
    <w:rsid w:val="002673BB"/>
    <w:rsid w:val="002A5F2F"/>
    <w:rsid w:val="002A7BF8"/>
    <w:rsid w:val="00602CB1"/>
    <w:rsid w:val="00672BA2"/>
    <w:rsid w:val="00733167"/>
    <w:rsid w:val="007C6557"/>
    <w:rsid w:val="009D07FE"/>
    <w:rsid w:val="009D76FC"/>
    <w:rsid w:val="00A96E8E"/>
    <w:rsid w:val="00BD5DA5"/>
    <w:rsid w:val="00BF24B3"/>
    <w:rsid w:val="00C366C9"/>
    <w:rsid w:val="00C81F6C"/>
    <w:rsid w:val="00E6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66C9"/>
  </w:style>
  <w:style w:type="paragraph" w:styleId="a5">
    <w:name w:val="footer"/>
    <w:basedOn w:val="a"/>
    <w:link w:val="a6"/>
    <w:uiPriority w:val="99"/>
    <w:unhideWhenUsed/>
    <w:rsid w:val="00C3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6C9"/>
  </w:style>
  <w:style w:type="paragraph" w:styleId="a7">
    <w:name w:val="footnote text"/>
    <w:basedOn w:val="a"/>
    <w:link w:val="a8"/>
    <w:uiPriority w:val="99"/>
    <w:semiHidden/>
    <w:unhideWhenUsed/>
    <w:rsid w:val="00672BA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2BA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2B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mc/articles/PMC2705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9EC7-6FBB-4D05-B863-D72EE93D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 HTP</dc:creator>
  <cp:lastModifiedBy>Владимир</cp:lastModifiedBy>
  <cp:revision>4</cp:revision>
  <dcterms:created xsi:type="dcterms:W3CDTF">2025-11-03T06:42:00Z</dcterms:created>
  <dcterms:modified xsi:type="dcterms:W3CDTF">2025-11-03T09:43:00Z</dcterms:modified>
</cp:coreProperties>
</file>