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93" w:rsidRPr="00960C93" w:rsidRDefault="00144C3A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 w:rsidRPr="00960C93">
        <w:rPr>
          <w:b/>
          <w:i/>
          <w:sz w:val="24"/>
          <w:szCs w:val="24"/>
        </w:rPr>
        <w:t>Елинсон</w:t>
      </w:r>
      <w:r w:rsidR="00960C93" w:rsidRPr="00960C93">
        <w:rPr>
          <w:b/>
          <w:i/>
          <w:sz w:val="24"/>
          <w:szCs w:val="24"/>
        </w:rPr>
        <w:t xml:space="preserve"> </w:t>
      </w:r>
      <w:r w:rsidRPr="00960C93">
        <w:rPr>
          <w:b/>
          <w:i/>
          <w:sz w:val="24"/>
          <w:szCs w:val="24"/>
        </w:rPr>
        <w:t>А</w:t>
      </w:r>
      <w:r w:rsidR="00960C93" w:rsidRPr="00960C93">
        <w:rPr>
          <w:b/>
          <w:i/>
          <w:sz w:val="24"/>
          <w:szCs w:val="24"/>
        </w:rPr>
        <w:t>.М.</w:t>
      </w:r>
    </w:p>
    <w:p w:rsidR="00960C93" w:rsidRDefault="00144C3A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960C93">
        <w:rPr>
          <w:sz w:val="24"/>
          <w:szCs w:val="24"/>
        </w:rPr>
        <w:t>аспирант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ИКСА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РАН</w:t>
      </w:r>
    </w:p>
    <w:p w:rsidR="00960C93" w:rsidRPr="00960C93" w:rsidRDefault="00144C3A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 w:rsidRPr="00960C93">
        <w:rPr>
          <w:b/>
          <w:i/>
          <w:sz w:val="24"/>
          <w:szCs w:val="24"/>
        </w:rPr>
        <w:t>Ли</w:t>
      </w:r>
      <w:r w:rsidR="00960C93" w:rsidRPr="00960C93">
        <w:rPr>
          <w:b/>
          <w:i/>
          <w:sz w:val="24"/>
          <w:szCs w:val="24"/>
        </w:rPr>
        <w:t xml:space="preserve"> </w:t>
      </w:r>
      <w:r w:rsidRPr="00960C93">
        <w:rPr>
          <w:b/>
          <w:i/>
          <w:sz w:val="24"/>
          <w:szCs w:val="24"/>
        </w:rPr>
        <w:t>Фэн</w:t>
      </w:r>
    </w:p>
    <w:p w:rsidR="00960C93" w:rsidRDefault="00144C3A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960C93">
        <w:rPr>
          <w:sz w:val="24"/>
          <w:szCs w:val="24"/>
        </w:rPr>
        <w:t>аспирант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ИКСА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РАН</w:t>
      </w:r>
    </w:p>
    <w:p w:rsidR="00960C93" w:rsidRPr="00960C93" w:rsidRDefault="00144C3A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 w:rsidRPr="00960C93">
        <w:rPr>
          <w:b/>
          <w:i/>
          <w:sz w:val="24"/>
          <w:szCs w:val="24"/>
        </w:rPr>
        <w:t>Сазонов</w:t>
      </w:r>
      <w:r w:rsidR="00960C93" w:rsidRPr="00960C93">
        <w:rPr>
          <w:b/>
          <w:i/>
          <w:sz w:val="24"/>
          <w:szCs w:val="24"/>
        </w:rPr>
        <w:t xml:space="preserve"> </w:t>
      </w:r>
      <w:r w:rsidRPr="00960C93">
        <w:rPr>
          <w:b/>
          <w:i/>
          <w:sz w:val="24"/>
          <w:szCs w:val="24"/>
        </w:rPr>
        <w:t>С</w:t>
      </w:r>
      <w:r w:rsidR="00960C93" w:rsidRPr="00960C93">
        <w:rPr>
          <w:b/>
          <w:i/>
          <w:sz w:val="24"/>
          <w:szCs w:val="24"/>
        </w:rPr>
        <w:t>.Л.</w:t>
      </w:r>
    </w:p>
    <w:p w:rsidR="00144C3A" w:rsidRPr="00960C93" w:rsidRDefault="00144C3A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960C93">
        <w:rPr>
          <w:sz w:val="24"/>
          <w:szCs w:val="24"/>
        </w:rPr>
        <w:t>к.э.н.,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в.н.с.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ИКСА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РАН</w:t>
      </w:r>
    </w:p>
    <w:p w:rsidR="0048635F" w:rsidRPr="00960C93" w:rsidRDefault="0048635F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  <w:sz w:val="24"/>
          <w:szCs w:val="24"/>
        </w:rPr>
      </w:pPr>
    </w:p>
    <w:p w:rsidR="0020431D" w:rsidRPr="00960C93" w:rsidRDefault="00960C93" w:rsidP="00960C9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b/>
          <w:bCs/>
          <w:sz w:val="24"/>
          <w:szCs w:val="24"/>
        </w:rPr>
      </w:pPr>
      <w:r w:rsidRPr="00960C93">
        <w:rPr>
          <w:b/>
          <w:bCs/>
          <w:sz w:val="24"/>
          <w:szCs w:val="24"/>
        </w:rPr>
        <w:t>РАЗВИТИЕ</w:t>
      </w:r>
      <w:r>
        <w:rPr>
          <w:b/>
          <w:bCs/>
          <w:sz w:val="24"/>
          <w:szCs w:val="24"/>
        </w:rPr>
        <w:t xml:space="preserve"> </w:t>
      </w:r>
      <w:r w:rsidRPr="00960C93">
        <w:rPr>
          <w:b/>
          <w:bCs/>
          <w:sz w:val="24"/>
          <w:szCs w:val="24"/>
        </w:rPr>
        <w:t>СИСТЕМЫ</w:t>
      </w:r>
      <w:r>
        <w:rPr>
          <w:b/>
          <w:bCs/>
          <w:sz w:val="24"/>
          <w:szCs w:val="24"/>
        </w:rPr>
        <w:t xml:space="preserve"> </w:t>
      </w:r>
      <w:r w:rsidRPr="00960C93">
        <w:rPr>
          <w:b/>
          <w:bCs/>
          <w:sz w:val="24"/>
          <w:szCs w:val="24"/>
        </w:rPr>
        <w:t>УГЛЕРОДНОГО</w:t>
      </w:r>
      <w:r>
        <w:rPr>
          <w:b/>
          <w:bCs/>
          <w:sz w:val="24"/>
          <w:szCs w:val="24"/>
        </w:rPr>
        <w:t xml:space="preserve"> </w:t>
      </w:r>
      <w:r w:rsidRPr="00960C93">
        <w:rPr>
          <w:b/>
          <w:bCs/>
          <w:sz w:val="24"/>
          <w:szCs w:val="24"/>
        </w:rPr>
        <w:t>РЕГУЛИРОВАНИЯ</w:t>
      </w:r>
      <w:r>
        <w:rPr>
          <w:b/>
          <w:bCs/>
          <w:sz w:val="24"/>
          <w:szCs w:val="24"/>
        </w:rPr>
        <w:t xml:space="preserve"> </w:t>
      </w:r>
      <w:r w:rsidRPr="00960C93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 w:rsidRPr="00960C93">
        <w:rPr>
          <w:b/>
          <w:bCs/>
          <w:sz w:val="24"/>
          <w:szCs w:val="24"/>
        </w:rPr>
        <w:t>КНР</w:t>
      </w:r>
    </w:p>
    <w:p w:rsidR="00A65476" w:rsidRPr="00960C93" w:rsidRDefault="00A65476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bCs/>
          <w:sz w:val="24"/>
          <w:szCs w:val="24"/>
        </w:rPr>
      </w:pPr>
    </w:p>
    <w:p w:rsidR="001547C7" w:rsidRPr="00960C93" w:rsidRDefault="001547C7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/>
          <w:sz w:val="24"/>
          <w:szCs w:val="24"/>
        </w:rPr>
      </w:pPr>
      <w:r w:rsidRPr="00960C93">
        <w:rPr>
          <w:b/>
          <w:i/>
          <w:sz w:val="24"/>
          <w:szCs w:val="24"/>
        </w:rPr>
        <w:t>Ключевые</w:t>
      </w:r>
      <w:r w:rsidR="00960C93" w:rsidRPr="00960C93">
        <w:rPr>
          <w:b/>
          <w:i/>
          <w:sz w:val="24"/>
          <w:szCs w:val="24"/>
        </w:rPr>
        <w:t xml:space="preserve"> </w:t>
      </w:r>
      <w:r w:rsidRPr="00960C93">
        <w:rPr>
          <w:b/>
          <w:i/>
          <w:sz w:val="24"/>
          <w:szCs w:val="24"/>
        </w:rPr>
        <w:t>слова: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Китай,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сектор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энергетики,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з</w:t>
      </w:r>
      <w:r w:rsidR="0098244B" w:rsidRPr="00960C93">
        <w:rPr>
          <w:i/>
          <w:sz w:val="24"/>
          <w:szCs w:val="24"/>
        </w:rPr>
        <w:t>е</w:t>
      </w:r>
      <w:r w:rsidR="0020431D" w:rsidRPr="00960C93">
        <w:rPr>
          <w:i/>
          <w:sz w:val="24"/>
          <w:szCs w:val="24"/>
        </w:rPr>
        <w:t>леное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и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низкоуглеродное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развитие,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система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углеродного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регулирования,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квоты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на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выбросы</w:t>
      </w:r>
      <w:r w:rsidR="00960C93" w:rsidRPr="00960C93">
        <w:rPr>
          <w:i/>
          <w:sz w:val="24"/>
          <w:szCs w:val="24"/>
        </w:rPr>
        <w:t xml:space="preserve"> </w:t>
      </w:r>
      <w:r w:rsidR="0020431D" w:rsidRPr="00960C93">
        <w:rPr>
          <w:i/>
          <w:sz w:val="24"/>
          <w:szCs w:val="24"/>
        </w:rPr>
        <w:t>СО</w:t>
      </w:r>
      <w:r w:rsidR="0020431D" w:rsidRPr="00960C93">
        <w:rPr>
          <w:i/>
          <w:sz w:val="24"/>
          <w:szCs w:val="24"/>
          <w:vertAlign w:val="subscript"/>
        </w:rPr>
        <w:t>2</w:t>
      </w:r>
      <w:r w:rsidR="0020431D" w:rsidRPr="00960C93">
        <w:rPr>
          <w:i/>
          <w:sz w:val="24"/>
          <w:szCs w:val="24"/>
        </w:rPr>
        <w:t>.</w:t>
      </w:r>
    </w:p>
    <w:p w:rsidR="0020431D" w:rsidRPr="00960C93" w:rsidRDefault="00DE66CF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ezkurwreuab5ozgtqnkl"/>
          <w:i/>
          <w:sz w:val="24"/>
          <w:szCs w:val="24"/>
          <w:lang w:val="en-US"/>
        </w:rPr>
      </w:pPr>
      <w:r w:rsidRPr="00960C93">
        <w:rPr>
          <w:rStyle w:val="ezkurwreuab5ozgtqnkl"/>
          <w:b/>
          <w:i/>
          <w:sz w:val="24"/>
          <w:szCs w:val="24"/>
          <w:lang w:val="en-US"/>
        </w:rPr>
        <w:t>Keywords: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China,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energy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sector,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green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and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i/>
          <w:sz w:val="24"/>
          <w:szCs w:val="24"/>
          <w:lang w:val="en-US"/>
        </w:rPr>
        <w:t>low-</w:t>
      </w:r>
      <w:r w:rsidRPr="00960C93">
        <w:rPr>
          <w:rStyle w:val="ezkurwreuab5ozgtqnkl"/>
          <w:i/>
          <w:sz w:val="24"/>
          <w:szCs w:val="24"/>
          <w:lang w:val="en-US"/>
        </w:rPr>
        <w:t>carbon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development,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carbon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regulation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system,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CO</w:t>
      </w:r>
      <w:r w:rsidRPr="00960C93">
        <w:rPr>
          <w:rStyle w:val="ezkurwreuab5ozgtqnkl"/>
          <w:i/>
          <w:sz w:val="24"/>
          <w:szCs w:val="24"/>
          <w:vertAlign w:val="subscript"/>
          <w:lang w:val="en-US"/>
        </w:rPr>
        <w:t>2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emission</w:t>
      </w:r>
      <w:r w:rsidR="00960C93" w:rsidRPr="00960C93">
        <w:rPr>
          <w:i/>
          <w:sz w:val="24"/>
          <w:szCs w:val="24"/>
          <w:lang w:val="en-US"/>
        </w:rPr>
        <w:t xml:space="preserve"> </w:t>
      </w:r>
      <w:r w:rsidRPr="00960C93">
        <w:rPr>
          <w:rStyle w:val="ezkurwreuab5ozgtqnkl"/>
          <w:i/>
          <w:sz w:val="24"/>
          <w:szCs w:val="24"/>
          <w:lang w:val="en-US"/>
        </w:rPr>
        <w:t>quotas.</w:t>
      </w:r>
    </w:p>
    <w:p w:rsidR="00A65476" w:rsidRPr="00960C93" w:rsidRDefault="00A65476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  <w:lang w:val="en-US"/>
        </w:rPr>
      </w:pPr>
    </w:p>
    <w:p w:rsidR="002A3F90" w:rsidRPr="00960C93" w:rsidRDefault="002A3F90" w:rsidP="00960C93">
      <w:pPr>
        <w:spacing w:after="0" w:line="360" w:lineRule="auto"/>
        <w:ind w:firstLine="709"/>
        <w:jc w:val="both"/>
        <w:rPr>
          <w:sz w:val="24"/>
          <w:szCs w:val="24"/>
        </w:rPr>
      </w:pPr>
      <w:r w:rsidRPr="00960C93">
        <w:rPr>
          <w:sz w:val="24"/>
          <w:szCs w:val="24"/>
        </w:rPr>
        <w:t>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начала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  <w:lang w:val="en-US"/>
        </w:rPr>
        <w:t>XXI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КНР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стала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крупнейшим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мире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потребителем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энергии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эмитентом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углерода</w:t>
      </w:r>
      <w:r w:rsidR="00960C93">
        <w:rPr>
          <w:sz w:val="24"/>
          <w:szCs w:val="24"/>
        </w:rPr>
        <w:t xml:space="preserve"> –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2023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на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Китай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пришлось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более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25%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мировых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объемов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выбросов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color w:val="333333"/>
          <w:sz w:val="24"/>
          <w:szCs w:val="24"/>
          <w:shd w:val="clear" w:color="auto" w:fill="FFFFFF"/>
        </w:rPr>
        <w:t>угле</w:t>
      </w:r>
      <w:r w:rsidR="001547C7" w:rsidRPr="00960C93">
        <w:rPr>
          <w:color w:val="333333"/>
          <w:sz w:val="24"/>
          <w:szCs w:val="24"/>
          <w:shd w:val="clear" w:color="auto" w:fill="FFFFFF"/>
        </w:rPr>
        <w:t>кислого</w:t>
      </w:r>
      <w:r w:rsidR="00960C93">
        <w:rPr>
          <w:color w:val="333333"/>
          <w:sz w:val="24"/>
          <w:szCs w:val="24"/>
          <w:shd w:val="clear" w:color="auto" w:fill="FFFFFF"/>
        </w:rPr>
        <w:t xml:space="preserve"> </w:t>
      </w:r>
      <w:r w:rsidR="001547C7" w:rsidRPr="00960C93">
        <w:rPr>
          <w:color w:val="333333"/>
          <w:sz w:val="24"/>
          <w:szCs w:val="24"/>
          <w:shd w:val="clear" w:color="auto" w:fill="FFFFFF"/>
        </w:rPr>
        <w:t>газа</w:t>
      </w:r>
      <w:r w:rsidR="00960C93">
        <w:rPr>
          <w:color w:val="333333"/>
          <w:sz w:val="24"/>
          <w:szCs w:val="24"/>
          <w:shd w:val="clear" w:color="auto" w:fill="FFFFFF"/>
        </w:rPr>
        <w:t xml:space="preserve"> </w:t>
      </w:r>
      <w:r w:rsidR="001547C7" w:rsidRPr="00960C93">
        <w:rPr>
          <w:color w:val="333333"/>
          <w:sz w:val="24"/>
          <w:szCs w:val="24"/>
          <w:shd w:val="clear" w:color="auto" w:fill="FFFFFF"/>
        </w:rPr>
        <w:t>(более</w:t>
      </w:r>
      <w:r w:rsidR="00960C93">
        <w:rPr>
          <w:color w:val="333333"/>
          <w:sz w:val="24"/>
          <w:szCs w:val="24"/>
          <w:shd w:val="clear" w:color="auto" w:fill="FFFFFF"/>
        </w:rPr>
        <w:t xml:space="preserve"> </w:t>
      </w:r>
      <w:r w:rsidR="001547C7" w:rsidRPr="00960C93">
        <w:rPr>
          <w:color w:val="333333"/>
          <w:sz w:val="24"/>
          <w:szCs w:val="24"/>
          <w:shd w:val="clear" w:color="auto" w:fill="FFFFFF"/>
        </w:rPr>
        <w:t>10</w:t>
      </w:r>
      <w:r w:rsidR="00960C93">
        <w:rPr>
          <w:color w:val="333333"/>
          <w:sz w:val="24"/>
          <w:szCs w:val="24"/>
          <w:shd w:val="clear" w:color="auto" w:fill="FFFFFF"/>
        </w:rPr>
        <w:t xml:space="preserve"> </w:t>
      </w:r>
      <w:r w:rsidR="001547C7" w:rsidRPr="00960C93">
        <w:rPr>
          <w:color w:val="333333"/>
          <w:sz w:val="24"/>
          <w:szCs w:val="24"/>
          <w:shd w:val="clear" w:color="auto" w:fill="FFFFFF"/>
        </w:rPr>
        <w:t>млрд</w:t>
      </w:r>
      <w:r w:rsidR="00960C93">
        <w:rPr>
          <w:color w:val="333333"/>
          <w:sz w:val="24"/>
          <w:szCs w:val="24"/>
          <w:shd w:val="clear" w:color="auto" w:fill="FFFFFF"/>
        </w:rPr>
        <w:t xml:space="preserve"> </w:t>
      </w:r>
      <w:r w:rsidR="001547C7" w:rsidRPr="00960C93">
        <w:rPr>
          <w:color w:val="333333"/>
          <w:sz w:val="24"/>
          <w:szCs w:val="24"/>
          <w:shd w:val="clear" w:color="auto" w:fill="FFFFFF"/>
        </w:rPr>
        <w:t>т)</w:t>
      </w:r>
      <w:r w:rsidR="00960C93">
        <w:rPr>
          <w:color w:val="333333"/>
          <w:sz w:val="24"/>
          <w:szCs w:val="24"/>
          <w:shd w:val="clear" w:color="auto" w:fill="FFFFFF"/>
        </w:rPr>
        <w:t xml:space="preserve"> </w:t>
      </w:r>
      <w:r w:rsidR="001547C7" w:rsidRPr="00960C93">
        <w:rPr>
          <w:color w:val="333333"/>
          <w:sz w:val="24"/>
          <w:szCs w:val="24"/>
          <w:shd w:val="clear" w:color="auto" w:fill="FFFFFF"/>
        </w:rPr>
        <w:t>и,</w:t>
      </w:r>
      <w:r w:rsidR="00960C93">
        <w:rPr>
          <w:color w:val="333333"/>
          <w:sz w:val="24"/>
          <w:szCs w:val="24"/>
          <w:shd w:val="clear" w:color="auto" w:fill="FFFFFF"/>
        </w:rPr>
        <w:t xml:space="preserve"> </w:t>
      </w:r>
      <w:r w:rsidR="001547C7" w:rsidRPr="00960C93">
        <w:rPr>
          <w:color w:val="333333"/>
          <w:sz w:val="24"/>
          <w:szCs w:val="24"/>
          <w:shd w:val="clear" w:color="auto" w:fill="FFFFFF"/>
        </w:rPr>
        <w:t>поэтому,</w:t>
      </w:r>
      <w:r w:rsidR="00960C93">
        <w:rPr>
          <w:color w:val="333333"/>
          <w:sz w:val="24"/>
          <w:szCs w:val="24"/>
          <w:shd w:val="clear" w:color="auto" w:fill="FFFFFF"/>
        </w:rPr>
        <w:t xml:space="preserve"> </w:t>
      </w:r>
      <w:r w:rsidR="001547C7" w:rsidRPr="00960C93">
        <w:rPr>
          <w:color w:val="333333"/>
          <w:sz w:val="24"/>
          <w:szCs w:val="24"/>
          <w:shd w:val="clear" w:color="auto" w:fill="FFFFFF"/>
        </w:rPr>
        <w:t>к</w:t>
      </w:r>
      <w:r w:rsidRPr="00960C93">
        <w:rPr>
          <w:rFonts w:eastAsia="TimesNewRomanPSMT"/>
          <w:sz w:val="24"/>
          <w:szCs w:val="24"/>
        </w:rPr>
        <w:t>итайская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политика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декарбонизации</w:t>
      </w:r>
      <w:r w:rsidR="00960C93">
        <w:rPr>
          <w:sz w:val="24"/>
          <w:szCs w:val="24"/>
        </w:rPr>
        <w:t xml:space="preserve"> </w:t>
      </w:r>
      <w:r w:rsidR="001547C7"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="001547C7" w:rsidRPr="00960C93">
        <w:rPr>
          <w:sz w:val="24"/>
          <w:szCs w:val="24"/>
        </w:rPr>
        <w:t>основе</w:t>
      </w:r>
      <w:r w:rsidR="00960C93">
        <w:rPr>
          <w:sz w:val="24"/>
          <w:szCs w:val="24"/>
        </w:rPr>
        <w:t xml:space="preserve"> </w:t>
      </w:r>
      <w:r w:rsidR="001547C7" w:rsidRPr="00960C93">
        <w:rPr>
          <w:sz w:val="24"/>
          <w:szCs w:val="24"/>
        </w:rPr>
        <w:t>системы</w:t>
      </w:r>
      <w:r w:rsidR="00960C93">
        <w:rPr>
          <w:sz w:val="24"/>
          <w:szCs w:val="24"/>
        </w:rPr>
        <w:t xml:space="preserve"> </w:t>
      </w:r>
      <w:r w:rsidR="001547C7" w:rsidRPr="00960C93">
        <w:rPr>
          <w:sz w:val="24"/>
          <w:szCs w:val="24"/>
        </w:rPr>
        <w:t>углеродного</w:t>
      </w:r>
      <w:r w:rsidR="00960C93">
        <w:rPr>
          <w:sz w:val="24"/>
          <w:szCs w:val="24"/>
        </w:rPr>
        <w:t xml:space="preserve"> </w:t>
      </w:r>
      <w:r w:rsidR="001547C7" w:rsidRPr="00960C93">
        <w:rPr>
          <w:sz w:val="24"/>
          <w:szCs w:val="24"/>
        </w:rPr>
        <w:t>регулирования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будет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иметь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последствия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глобальном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уровне</w:t>
      </w:r>
      <w:r w:rsidR="001547C7" w:rsidRPr="00960C93">
        <w:rPr>
          <w:sz w:val="24"/>
          <w:szCs w:val="24"/>
        </w:rPr>
        <w:t>.</w:t>
      </w:r>
      <w:r w:rsidRPr="00960C93">
        <w:rPr>
          <w:rStyle w:val="a6"/>
          <w:sz w:val="24"/>
          <w:szCs w:val="24"/>
        </w:rPr>
        <w:footnoteReference w:id="1"/>
      </w:r>
    </w:p>
    <w:p w:rsidR="00F33BD1" w:rsidRPr="00960C93" w:rsidRDefault="002A3F90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NewRomanPSMT"/>
          <w:sz w:val="24"/>
          <w:szCs w:val="24"/>
        </w:rPr>
      </w:pPr>
      <w:r w:rsidRPr="00960C93">
        <w:rPr>
          <w:sz w:val="24"/>
          <w:szCs w:val="24"/>
        </w:rPr>
        <w:t>Китай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сравнительно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начал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экспериментировать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области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разработки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запуска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системы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торговли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квотами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углекислого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газа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(</w:t>
      </w:r>
      <w:r w:rsidRPr="00960C93">
        <w:rPr>
          <w:color w:val="000000"/>
          <w:sz w:val="24"/>
          <w:szCs w:val="24"/>
          <w:shd w:val="clear" w:color="auto" w:fill="FFFFFF"/>
        </w:rPr>
        <w:t>далее</w:t>
      </w:r>
      <w:r w:rsidR="00960C93">
        <w:rPr>
          <w:color w:val="000000"/>
          <w:sz w:val="24"/>
          <w:szCs w:val="24"/>
          <w:shd w:val="clear" w:color="auto" w:fill="FFFFFF"/>
        </w:rPr>
        <w:t xml:space="preserve"> – </w:t>
      </w:r>
      <w:r w:rsidRPr="00960C93">
        <w:rPr>
          <w:color w:val="000000"/>
          <w:sz w:val="24"/>
          <w:szCs w:val="24"/>
          <w:shd w:val="clear" w:color="auto" w:fill="FFFFFF"/>
        </w:rPr>
        <w:t>СТК</w:t>
      </w:r>
      <w:r w:rsidRPr="00960C93">
        <w:rPr>
          <w:sz w:val="24"/>
          <w:szCs w:val="24"/>
        </w:rPr>
        <w:t>).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2011-2016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восемь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административных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единиц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провинциального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уровня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КНР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(города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центрального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подчинения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Пекин,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Шанхай,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Тяньцзинь,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Чунцин,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провинции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Хубэй,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Гуандун,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Фуцзянь,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Сычуань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Шэньчжэнь)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были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определены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для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начала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реализации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пилотных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проектов</w:t>
      </w:r>
      <w:r w:rsidR="00960C93">
        <w:rPr>
          <w:sz w:val="24"/>
          <w:szCs w:val="24"/>
        </w:rPr>
        <w:t xml:space="preserve"> </w:t>
      </w:r>
      <w:r w:rsidRPr="00960C93">
        <w:rPr>
          <w:color w:val="000000"/>
          <w:sz w:val="24"/>
          <w:szCs w:val="24"/>
          <w:shd w:val="clear" w:color="auto" w:fill="FFFFFF"/>
        </w:rPr>
        <w:t>углеродного</w:t>
      </w:r>
      <w:r w:rsidR="00960C93">
        <w:rPr>
          <w:color w:val="000000"/>
          <w:sz w:val="24"/>
          <w:szCs w:val="24"/>
          <w:shd w:val="clear" w:color="auto" w:fill="FFFFFF"/>
        </w:rPr>
        <w:t xml:space="preserve"> </w:t>
      </w:r>
      <w:r w:rsidRPr="00960C93">
        <w:rPr>
          <w:color w:val="000000"/>
          <w:sz w:val="24"/>
          <w:szCs w:val="24"/>
          <w:shd w:val="clear" w:color="auto" w:fill="FFFFFF"/>
        </w:rPr>
        <w:t>регулирования</w:t>
      </w:r>
      <w:r w:rsidR="00960C93">
        <w:rPr>
          <w:color w:val="000000"/>
          <w:sz w:val="24"/>
          <w:szCs w:val="24"/>
          <w:shd w:val="clear" w:color="auto" w:fill="FFFFFF"/>
        </w:rPr>
        <w:t xml:space="preserve"> </w:t>
      </w:r>
      <w:r w:rsidRPr="00960C93">
        <w:rPr>
          <w:color w:val="000000"/>
          <w:sz w:val="24"/>
          <w:szCs w:val="24"/>
          <w:shd w:val="clear" w:color="auto" w:fill="FFFFFF"/>
        </w:rPr>
        <w:t>в</w:t>
      </w:r>
      <w:r w:rsidR="00960C93">
        <w:rPr>
          <w:color w:val="000000"/>
          <w:sz w:val="24"/>
          <w:szCs w:val="24"/>
          <w:shd w:val="clear" w:color="auto" w:fill="FFFFFF"/>
        </w:rPr>
        <w:t xml:space="preserve"> </w:t>
      </w:r>
      <w:r w:rsidRPr="00960C93">
        <w:rPr>
          <w:color w:val="000000"/>
          <w:sz w:val="24"/>
          <w:szCs w:val="24"/>
          <w:shd w:val="clear" w:color="auto" w:fill="FFFFFF"/>
        </w:rPr>
        <w:t>рамках</w:t>
      </w:r>
      <w:r w:rsidR="00960C93">
        <w:rPr>
          <w:color w:val="000000"/>
          <w:sz w:val="24"/>
          <w:szCs w:val="24"/>
          <w:shd w:val="clear" w:color="auto" w:fill="FFFFFF"/>
        </w:rPr>
        <w:t xml:space="preserve"> </w:t>
      </w:r>
      <w:r w:rsidRPr="00960C93">
        <w:rPr>
          <w:color w:val="000000"/>
          <w:sz w:val="24"/>
          <w:szCs w:val="24"/>
          <w:shd w:val="clear" w:color="auto" w:fill="FFFFFF"/>
        </w:rPr>
        <w:t>СТК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августе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2013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Шэньчжэнь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был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официально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запущен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первый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Китае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рынок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торговли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квотами,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декабре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2013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подобный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рынок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заработал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Гуанчжоу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(пров.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Гуандун).</w:t>
      </w:r>
      <w:r w:rsidR="00F33BD1" w:rsidRPr="00960C93">
        <w:rPr>
          <w:rStyle w:val="a6"/>
          <w:sz w:val="24"/>
          <w:szCs w:val="24"/>
        </w:rPr>
        <w:footnoteReference w:id="2"/>
      </w:r>
      <w:r w:rsidR="00960C93">
        <w:rPr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январе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2021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г.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Министерство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экологии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окружающей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среды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КНР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(МЭОС)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объявило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вступлении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силу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экспериментального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регулирования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СТК,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16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июля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2021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г.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была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официально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запущена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действие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СТК,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которая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i/>
          <w:sz w:val="24"/>
          <w:szCs w:val="24"/>
        </w:rPr>
        <w:t>первом</w:t>
      </w:r>
      <w:r w:rsidR="00960C93" w:rsidRPr="00960C93">
        <w:rPr>
          <w:rFonts w:eastAsia="TimesNewRomanPSMT"/>
          <w:i/>
          <w:sz w:val="24"/>
          <w:szCs w:val="24"/>
        </w:rPr>
        <w:t xml:space="preserve"> </w:t>
      </w:r>
      <w:r w:rsidR="00F33BD1" w:rsidRPr="00960C93">
        <w:rPr>
          <w:rFonts w:eastAsia="TimesNewRomanPSMT"/>
          <w:i/>
          <w:sz w:val="24"/>
          <w:szCs w:val="24"/>
        </w:rPr>
        <w:t>этапе</w:t>
      </w:r>
      <w:r w:rsidR="00960C93">
        <w:rPr>
          <w:rFonts w:eastAsia="TimesNewRomanPSMT"/>
          <w:b/>
          <w:i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охватывала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одну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из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ведущих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отраслей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экономики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КНР</w:t>
      </w:r>
      <w:r w:rsidR="00960C93">
        <w:rPr>
          <w:rFonts w:eastAsia="TimesNewRomanPSMT"/>
          <w:sz w:val="24"/>
          <w:szCs w:val="24"/>
        </w:rPr>
        <w:t xml:space="preserve"> – </w:t>
      </w:r>
      <w:r w:rsidR="00F33BD1" w:rsidRPr="00960C93">
        <w:rPr>
          <w:rFonts w:eastAsia="TimesNewRomanPSMT"/>
          <w:sz w:val="24"/>
          <w:szCs w:val="24"/>
        </w:rPr>
        <w:t>топливную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электроэнергетику.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Китай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создал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самую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большую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мире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систему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углеродного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регулирования,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которая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охватывала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ежегодные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объемы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выбросов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углекислого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газа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в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размере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около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4,5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млрд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т,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что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составляло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более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40%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от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общего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объема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выбросов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в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color w:val="414040"/>
          <w:sz w:val="24"/>
          <w:szCs w:val="24"/>
          <w:shd w:val="clear" w:color="auto" w:fill="FFFFFF"/>
        </w:rPr>
        <w:t>стране.</w:t>
      </w:r>
      <w:r w:rsidR="00F33BD1" w:rsidRPr="00960C93">
        <w:rPr>
          <w:rStyle w:val="a6"/>
          <w:color w:val="414040"/>
          <w:sz w:val="24"/>
          <w:szCs w:val="24"/>
          <w:shd w:val="clear" w:color="auto" w:fill="FFFFFF"/>
        </w:rPr>
        <w:footnoteReference w:id="3"/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СТК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были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включены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2162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ТЭС,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для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которых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был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установлен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предельный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нормативный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показатель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по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выбросам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СО</w:t>
      </w:r>
      <w:r w:rsidR="00F33BD1" w:rsidRPr="00960C93">
        <w:rPr>
          <w:rFonts w:eastAsia="TimesNewRomanPSMT"/>
          <w:sz w:val="24"/>
          <w:szCs w:val="24"/>
          <w:vertAlign w:val="subscript"/>
        </w:rPr>
        <w:t>2</w:t>
      </w:r>
      <w:r w:rsidR="00F33BD1" w:rsidRPr="00960C93">
        <w:rPr>
          <w:rFonts w:eastAsia="TimesNewRomanPSMT"/>
          <w:sz w:val="24"/>
          <w:szCs w:val="24"/>
        </w:rPr>
        <w:t>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который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рассчитывался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как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объем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выбросов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единицу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производимой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энергии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составлял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0,88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т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СО</w:t>
      </w:r>
      <w:r w:rsidR="00F33BD1" w:rsidRPr="00960C93">
        <w:rPr>
          <w:rFonts w:eastAsia="TimesNewRomanPSMT"/>
          <w:sz w:val="24"/>
          <w:szCs w:val="24"/>
          <w:vertAlign w:val="subscript"/>
        </w:rPr>
        <w:t>2</w:t>
      </w:r>
      <w:r w:rsidR="00F33BD1" w:rsidRPr="00960C93">
        <w:rPr>
          <w:rFonts w:eastAsia="TimesNewRomanPSMT"/>
          <w:sz w:val="24"/>
          <w:szCs w:val="24"/>
        </w:rPr>
        <w:t>/МВт/час.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Еще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одним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показателем,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определенным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МЭОС,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стал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суммарный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выброс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каждой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компании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течение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года,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который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сопоставлялся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объемами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2019</w:t>
      </w:r>
      <w:r w:rsidR="00960C93">
        <w:rPr>
          <w:rFonts w:eastAsia="TimesNewRomanPSMT"/>
          <w:sz w:val="24"/>
          <w:szCs w:val="24"/>
        </w:rPr>
        <w:t>-</w:t>
      </w:r>
      <w:r w:rsidR="00F33BD1" w:rsidRPr="00960C93">
        <w:rPr>
          <w:rFonts w:eastAsia="TimesNewRomanPSMT"/>
          <w:sz w:val="24"/>
          <w:szCs w:val="24"/>
        </w:rPr>
        <w:t>2020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гг.</w:t>
      </w:r>
      <w:r w:rsidR="00F33BD1" w:rsidRPr="00960C93">
        <w:rPr>
          <w:rStyle w:val="a6"/>
          <w:rFonts w:eastAsia="TimesNewRomanPSMT"/>
          <w:sz w:val="24"/>
          <w:szCs w:val="24"/>
        </w:rPr>
        <w:footnoteReference w:id="4"/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Первоначальная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предельная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квота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выбросов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ТЭС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зависела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как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от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ее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текущей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выработки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энергии,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так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и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от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интенсивности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выбросов,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которая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в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свою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очередь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зависела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от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типа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используемого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угля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и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оборудования.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Исходя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из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этих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показателей</w:t>
      </w:r>
      <w:r w:rsidR="00960C93">
        <w:rPr>
          <w:rFonts w:eastAsia="TimesNewRomanPSMT"/>
          <w:sz w:val="24"/>
          <w:szCs w:val="24"/>
        </w:rPr>
        <w:t xml:space="preserve">,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правительство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выделяло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ТЭС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определенную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квоту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на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выбросы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углерода,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те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ТЭС,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объемы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выбросов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которых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были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ниже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нормативного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показателя,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получали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возможность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продавать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неиспользуемые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квоты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рынке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(через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учрежденную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Шанхайскую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экологическую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энергетическую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биржу/ШЭЭБ),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ТЭС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объемами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выбросов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выше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нормативного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показателя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должны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были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докупать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квоты.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Если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у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ТЭС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color w:val="000000"/>
          <w:sz w:val="24"/>
          <w:szCs w:val="24"/>
          <w:lang w:eastAsia="ru-RU"/>
        </w:rPr>
        <w:t>заканчивались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квоты,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им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приходилось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либо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приостанавливать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деятельность,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либо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покупать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дополнительные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квоты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на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углеродном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рынке.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случае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продолжения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работы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без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предварительного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получения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дополнительных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квот,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ТЭС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грозили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большие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штрафы,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rFonts w:eastAsia="Times New Roman"/>
          <w:sz w:val="24"/>
          <w:szCs w:val="24"/>
          <w:lang w:eastAsia="ru-RU"/>
        </w:rPr>
        <w:t>т.е.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суть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СТК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заключалась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в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том,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что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она</w:t>
      </w:r>
      <w:r w:rsidR="00960C93">
        <w:rPr>
          <w:iCs/>
          <w:color w:val="333333"/>
          <w:sz w:val="24"/>
          <w:szCs w:val="24"/>
        </w:rPr>
        <w:t xml:space="preserve"> создавала </w:t>
      </w:r>
      <w:r w:rsidR="00F33BD1" w:rsidRPr="00960C93">
        <w:rPr>
          <w:iCs/>
          <w:color w:val="333333"/>
          <w:sz w:val="24"/>
          <w:szCs w:val="24"/>
        </w:rPr>
        <w:t>стимул</w:t>
      </w:r>
      <w:r w:rsidR="00960C93">
        <w:rPr>
          <w:iCs/>
          <w:color w:val="333333"/>
          <w:sz w:val="24"/>
          <w:szCs w:val="24"/>
        </w:rPr>
        <w:t xml:space="preserve">ы </w:t>
      </w:r>
      <w:r w:rsidR="00F33BD1" w:rsidRPr="00960C93">
        <w:rPr>
          <w:iCs/>
          <w:color w:val="333333"/>
          <w:sz w:val="24"/>
          <w:szCs w:val="24"/>
        </w:rPr>
        <w:t>для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более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эффективного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производства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или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выработки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менее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углеродоемкой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iCs/>
          <w:color w:val="333333"/>
          <w:sz w:val="24"/>
          <w:szCs w:val="24"/>
        </w:rPr>
        <w:t>энергии.</w:t>
      </w:r>
      <w:r w:rsidR="00960C93">
        <w:rPr>
          <w:iCs/>
          <w:color w:val="333333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Были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другие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способы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получения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квот</w:t>
      </w:r>
      <w:r w:rsidR="00960C93">
        <w:rPr>
          <w:rFonts w:eastAsia="TimesNewRomanPSMT"/>
          <w:sz w:val="24"/>
          <w:szCs w:val="24"/>
        </w:rPr>
        <w:t xml:space="preserve"> – </w:t>
      </w:r>
      <w:r w:rsidR="00F33BD1" w:rsidRPr="00960C93">
        <w:rPr>
          <w:rFonts w:eastAsia="TimesNewRomanPSMT"/>
          <w:sz w:val="24"/>
          <w:szCs w:val="24"/>
        </w:rPr>
        <w:t>бесплатное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предоставление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государством,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приобретение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аукционах,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покупка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на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бирже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и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обмен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между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компаниями.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В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конце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2022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rFonts w:eastAsia="TimesNewRomanPSMT"/>
          <w:sz w:val="24"/>
          <w:szCs w:val="24"/>
        </w:rPr>
        <w:t>г.</w:t>
      </w:r>
      <w:r w:rsidR="00960C93">
        <w:rPr>
          <w:rFonts w:eastAsia="TimesNewRomanPSMT"/>
          <w:sz w:val="24"/>
          <w:szCs w:val="24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совокупный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объем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квот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на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выбросы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углерода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на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национальном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углеродном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рынке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составлял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около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235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млн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т,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оборот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составил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почти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10,79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млрд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юаней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(1,5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млрд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="00F33BD1" w:rsidRPr="00960C93">
        <w:rPr>
          <w:sz w:val="24"/>
          <w:szCs w:val="24"/>
          <w:shd w:val="clear" w:color="auto" w:fill="FFFFFF"/>
        </w:rPr>
        <w:t>долл.).</w:t>
      </w:r>
      <w:r w:rsidR="00F33BD1" w:rsidRPr="00960C93">
        <w:rPr>
          <w:rStyle w:val="a6"/>
          <w:rFonts w:eastAsia="TimesNewRomanPSMT"/>
          <w:sz w:val="24"/>
          <w:szCs w:val="24"/>
        </w:rPr>
        <w:footnoteReference w:id="5"/>
      </w:r>
    </w:p>
    <w:p w:rsidR="00F33BD1" w:rsidRPr="00960C93" w:rsidRDefault="00F33BD1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60C93">
        <w:rPr>
          <w:sz w:val="24"/>
          <w:szCs w:val="24"/>
        </w:rPr>
        <w:t>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2023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Китае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начался</w:t>
      </w:r>
      <w:r w:rsidR="00960C93">
        <w:rPr>
          <w:sz w:val="24"/>
          <w:szCs w:val="24"/>
        </w:rPr>
        <w:t xml:space="preserve"> </w:t>
      </w:r>
      <w:r w:rsidRPr="00960C93">
        <w:rPr>
          <w:i/>
          <w:sz w:val="24"/>
          <w:szCs w:val="24"/>
        </w:rPr>
        <w:t>второй</w:t>
      </w:r>
      <w:r w:rsidR="00960C93" w:rsidRPr="00960C93">
        <w:rPr>
          <w:i/>
          <w:sz w:val="24"/>
          <w:szCs w:val="24"/>
        </w:rPr>
        <w:t xml:space="preserve"> </w:t>
      </w:r>
      <w:r w:rsidRPr="00960C93">
        <w:rPr>
          <w:i/>
          <w:sz w:val="24"/>
          <w:szCs w:val="24"/>
        </w:rPr>
        <w:t>этап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регулирования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СТК,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причем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число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ТЭС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рынке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увеличилось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2257,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ежегодный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объем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выбросов,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которые</w:t>
      </w:r>
      <w:r w:rsidR="00960C93">
        <w:rPr>
          <w:sz w:val="24"/>
          <w:szCs w:val="24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которая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охватывала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СТК</w:t>
      </w:r>
      <w:r w:rsidRPr="00960C93">
        <w:rPr>
          <w:color w:val="414040"/>
          <w:sz w:val="24"/>
          <w:szCs w:val="24"/>
          <w:shd w:val="clear" w:color="auto" w:fill="FFFFFF"/>
        </w:rPr>
        <w:t>,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</w:rPr>
        <w:t>достиг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примерно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5,1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млрд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т.</w:t>
      </w:r>
      <w:r w:rsidRPr="00960C93">
        <w:rPr>
          <w:sz w:val="24"/>
          <w:szCs w:val="24"/>
          <w:vertAlign w:val="superscript"/>
        </w:rPr>
        <w:footnoteReference w:id="6"/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рамках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Китайской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сертифицированной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программы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сокращения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(</w:t>
      </w:r>
      <w:r w:rsidRPr="00960C93">
        <w:rPr>
          <w:sz w:val="24"/>
          <w:szCs w:val="24"/>
          <w:shd w:val="clear" w:color="auto" w:fill="FFFFFF"/>
        </w:rPr>
        <w:t>China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Certified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Emission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Reduction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program/CCER),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утвержденной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МЭОС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в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ноябре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2023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г.,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дополнени</w:t>
      </w:r>
      <w:r w:rsidR="00B94A48">
        <w:rPr>
          <w:rFonts w:eastAsia="Times New Roman"/>
          <w:sz w:val="24"/>
          <w:szCs w:val="24"/>
          <w:lang w:eastAsia="ru-RU"/>
        </w:rPr>
        <w:t>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обязательной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системе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углеродного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регулирования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Китае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допускается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зачет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«добровольных»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углеродных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единиц,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размере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более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5%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квоты,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сами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единицы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–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сертифицированные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единицы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сокращения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выбросов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(СЕСВ),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которыми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предприятия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также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могут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торговать,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образуются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результате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реализации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проектов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трех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областях,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именно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восстановление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лесов,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солнечная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энергетика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морская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ветроэнергетика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(производство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энергии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из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возобновляемых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источников)</w:t>
      </w:r>
      <w:r w:rsidRPr="00960C93">
        <w:rPr>
          <w:rFonts w:eastAsia="Times New Roman"/>
          <w:sz w:val="24"/>
          <w:szCs w:val="24"/>
          <w:lang w:eastAsia="ru-RU"/>
        </w:rPr>
        <w:t>.</w:t>
      </w:r>
      <w:r w:rsidRPr="00960C93">
        <w:rPr>
          <w:sz w:val="24"/>
          <w:szCs w:val="24"/>
          <w:vertAlign w:val="superscript"/>
        </w:rPr>
        <w:footnoteReference w:id="7"/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</w:p>
    <w:p w:rsidR="00F33BD1" w:rsidRPr="00960C93" w:rsidRDefault="00F33BD1" w:rsidP="00960C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60C93">
        <w:rPr>
          <w:rFonts w:eastAsia="TimesNewRomanPSMT"/>
          <w:sz w:val="24"/>
          <w:szCs w:val="24"/>
        </w:rPr>
        <w:t>Китайские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власти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рассматривают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также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возможность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расширения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финансовой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инфраструктуры,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занимающейся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торговлей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квотами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за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счет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распространения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торговли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на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дополнительные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биржевые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площадки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(например,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color w:val="212121"/>
          <w:sz w:val="24"/>
          <w:szCs w:val="24"/>
        </w:rPr>
        <w:t>Гуанчжоуская</w:t>
      </w:r>
      <w:r w:rsidR="00960C93">
        <w:rPr>
          <w:color w:val="212121"/>
          <w:sz w:val="24"/>
          <w:szCs w:val="24"/>
        </w:rPr>
        <w:t xml:space="preserve"> </w:t>
      </w:r>
      <w:r w:rsidRPr="00960C93">
        <w:rPr>
          <w:color w:val="212121"/>
          <w:sz w:val="24"/>
          <w:szCs w:val="24"/>
        </w:rPr>
        <w:t>биржа</w:t>
      </w:r>
      <w:r w:rsidR="00960C93">
        <w:rPr>
          <w:color w:val="212121"/>
          <w:sz w:val="24"/>
          <w:szCs w:val="24"/>
        </w:rPr>
        <w:t xml:space="preserve"> </w:t>
      </w:r>
      <w:r w:rsidRPr="00960C93">
        <w:rPr>
          <w:color w:val="212121"/>
          <w:sz w:val="24"/>
          <w:szCs w:val="24"/>
        </w:rPr>
        <w:t>торговли</w:t>
      </w:r>
      <w:r w:rsidR="00960C93">
        <w:rPr>
          <w:color w:val="212121"/>
          <w:sz w:val="24"/>
          <w:szCs w:val="24"/>
        </w:rPr>
        <w:t xml:space="preserve"> </w:t>
      </w:r>
      <w:r w:rsidRPr="00960C93">
        <w:rPr>
          <w:color w:val="212121"/>
          <w:sz w:val="24"/>
          <w:szCs w:val="24"/>
        </w:rPr>
        <w:t>выбросами/</w:t>
      </w:r>
      <w:r w:rsidRPr="00960C93">
        <w:rPr>
          <w:color w:val="212121"/>
          <w:sz w:val="24"/>
          <w:szCs w:val="24"/>
          <w:shd w:val="clear" w:color="auto" w:fill="FFFFFF"/>
        </w:rPr>
        <w:t>Guangzhou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Emissions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Exchange)</w:t>
      </w:r>
      <w:r w:rsidRPr="00960C93">
        <w:rPr>
          <w:rFonts w:eastAsia="TimesNewRomanPSMT"/>
          <w:sz w:val="24"/>
          <w:szCs w:val="24"/>
        </w:rPr>
        <w:t>,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использования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не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только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текущей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цены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на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квоты,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но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и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фьючерсов,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допуска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к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торгам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иностранных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инвесторов.</w:t>
      </w:r>
      <w:r w:rsidR="00960C93">
        <w:rPr>
          <w:rFonts w:eastAsia="TimesNewRomanPSMT"/>
          <w:sz w:val="24"/>
          <w:szCs w:val="24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Кроме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того,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помимо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платы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за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выбросы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углерода,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установленной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для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китайских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компаний,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правительство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КНР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рассматривает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вопрос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создании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трансграничной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корректировки,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направленной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уравнивание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условий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для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импортеров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определенных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видов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продукции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для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китайских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производителей.</w:t>
      </w:r>
      <w:r w:rsidRPr="00960C93">
        <w:rPr>
          <w:rStyle w:val="a6"/>
          <w:color w:val="000000"/>
          <w:sz w:val="24"/>
          <w:szCs w:val="24"/>
        </w:rPr>
        <w:footnoteReference w:id="8"/>
      </w:r>
    </w:p>
    <w:p w:rsidR="00F33BD1" w:rsidRPr="00960C93" w:rsidRDefault="00F33BD1" w:rsidP="00960C93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январе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2024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Председатель</w:t>
      </w:r>
      <w:r w:rsidR="00960C93">
        <w:rPr>
          <w:sz w:val="24"/>
          <w:szCs w:val="24"/>
        </w:rPr>
        <w:t xml:space="preserve"> </w:t>
      </w:r>
      <w:r w:rsidRPr="00960C93">
        <w:rPr>
          <w:rFonts w:eastAsia="TimesNewRomanPSMT"/>
          <w:sz w:val="24"/>
          <w:szCs w:val="24"/>
        </w:rPr>
        <w:t>ШЭЭБ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Лай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Сяомин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отметил,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что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«Китай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настоящее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время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может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похвастаться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крупнейшим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мире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рынком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торговли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квотами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углерода.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началу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2024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совокупный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объем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квот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на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выбросы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углерода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на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национальном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углеродном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рынке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</w:rPr>
        <w:t>достиг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440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млн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общую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сумму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24,9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млрд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юаней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(3,5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млрд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долл.).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О</w:t>
      </w:r>
      <w:r w:rsidRPr="00960C93">
        <w:rPr>
          <w:sz w:val="24"/>
          <w:szCs w:val="24"/>
        </w:rPr>
        <w:t>бъем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торговли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квотами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втором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этапе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регулирования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сравнению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первым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вырос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89%,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поднялась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60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юаней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сравнению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48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юанями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когда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рынок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был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запущен.</w:t>
      </w:r>
      <w:r w:rsidRPr="00960C93">
        <w:rPr>
          <w:rStyle w:val="a6"/>
          <w:sz w:val="24"/>
          <w:szCs w:val="24"/>
        </w:rPr>
        <w:footnoteReference w:id="9"/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целом,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</w:t>
      </w:r>
      <w:r w:rsidRPr="00960C93">
        <w:rPr>
          <w:rFonts w:eastAsia="Times New Roman"/>
          <w:sz w:val="24"/>
          <w:szCs w:val="24"/>
          <w:lang w:eastAsia="ru-RU"/>
        </w:rPr>
        <w:t>бщее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сокращение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выбросов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углерода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течение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двух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этапов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СТК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энергетическом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секторе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Китая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ценовом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выражении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составило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примерно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35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млрд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юаней».</w:t>
      </w:r>
      <w:r w:rsidRPr="00960C93">
        <w:rPr>
          <w:sz w:val="24"/>
          <w:szCs w:val="24"/>
          <w:vertAlign w:val="superscript"/>
        </w:rPr>
        <w:footnoteReference w:id="10"/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По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данным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Государственного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управления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по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энергетике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при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Госсовете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КНР,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в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2023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г.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годовое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производство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возобновляемой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электроэнергии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достигло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почти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3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трлн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кВт/ч.,</w:t>
      </w:r>
      <w:r w:rsidRPr="00960C93">
        <w:rPr>
          <w:sz w:val="24"/>
          <w:szCs w:val="24"/>
          <w:shd w:val="clear" w:color="auto" w:fill="FFFFFF"/>
          <w:vertAlign w:val="superscript"/>
        </w:rPr>
        <w:footnoteReference w:id="11"/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к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началу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2024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г.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общая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установленная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мощность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возобновляемых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источников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энергии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в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Китае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превысила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1516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ГВт,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что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составило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51,9%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от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общей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установленной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мощности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по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производству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электроэнергии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в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Китае,</w:t>
      </w:r>
      <w:r w:rsidRPr="00960C93">
        <w:rPr>
          <w:rStyle w:val="a6"/>
          <w:color w:val="212121"/>
          <w:sz w:val="24"/>
          <w:szCs w:val="24"/>
          <w:shd w:val="clear" w:color="auto" w:fill="FFFFFF"/>
        </w:rPr>
        <w:footnoteReference w:id="12"/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а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также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составило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почти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40%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мировой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установленной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мощности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возобновляемых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источников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энергии.</w:t>
      </w:r>
      <w:r w:rsidRPr="00960C93">
        <w:rPr>
          <w:rStyle w:val="a6"/>
          <w:color w:val="212121"/>
          <w:sz w:val="24"/>
          <w:szCs w:val="24"/>
          <w:shd w:val="clear" w:color="auto" w:fill="FFFFFF"/>
        </w:rPr>
        <w:footnoteReference w:id="13"/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Согласно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заявлению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руководства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ГУЭ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КНР,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«</w:t>
      </w:r>
      <w:r w:rsidR="00B94A48">
        <w:rPr>
          <w:color w:val="414040"/>
          <w:sz w:val="24"/>
          <w:szCs w:val="24"/>
          <w:shd w:val="clear" w:color="auto" w:fill="FFFFFF"/>
        </w:rPr>
        <w:t>з</w:t>
      </w:r>
      <w:r w:rsidRPr="00960C93">
        <w:rPr>
          <w:color w:val="414040"/>
          <w:sz w:val="24"/>
          <w:szCs w:val="24"/>
          <w:shd w:val="clear" w:color="auto" w:fill="FFFFFF"/>
        </w:rPr>
        <w:t>еленое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и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низкоуглеродное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развитие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Китая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приведет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к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огромному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ускорению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экономического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роста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и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развитию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рынка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инвестиций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и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потребления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объемом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10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трлн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юаней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(1,41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трлн</w:t>
      </w:r>
      <w:r w:rsidR="00960C93">
        <w:rPr>
          <w:color w:val="414040"/>
          <w:sz w:val="24"/>
          <w:szCs w:val="24"/>
          <w:shd w:val="clear" w:color="auto" w:fill="FFFFFF"/>
        </w:rPr>
        <w:t xml:space="preserve"> </w:t>
      </w:r>
      <w:r w:rsidRPr="00960C93">
        <w:rPr>
          <w:color w:val="414040"/>
          <w:sz w:val="24"/>
          <w:szCs w:val="24"/>
          <w:shd w:val="clear" w:color="auto" w:fill="FFFFFF"/>
        </w:rPr>
        <w:t>долл.).</w:t>
      </w:r>
      <w:r w:rsidRPr="00960C93">
        <w:rPr>
          <w:rStyle w:val="a6"/>
          <w:color w:val="414040"/>
          <w:sz w:val="24"/>
          <w:szCs w:val="24"/>
          <w:shd w:val="clear" w:color="auto" w:fill="FFFFFF"/>
        </w:rPr>
        <w:footnoteReference w:id="14"/>
      </w:r>
    </w:p>
    <w:p w:rsidR="00F33BD1" w:rsidRPr="00960C93" w:rsidRDefault="00F33BD1" w:rsidP="00960C93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960C93">
        <w:rPr>
          <w:rFonts w:eastAsia="Times New Roman"/>
          <w:sz w:val="24"/>
          <w:szCs w:val="24"/>
          <w:lang w:eastAsia="ru-RU"/>
        </w:rPr>
        <w:t>1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мая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2024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г.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вступил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силу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указ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Госсовета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КНР,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ужесточающий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регулирование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торговли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квотами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выбросы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углекислого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газа.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Закон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призван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обеспечить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правовую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основу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для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работы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китайского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рынка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торговли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выбросами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углекислого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газа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обеспечить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ужесточение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мер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борьбы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фальсификацией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данных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выбросах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B94A48">
        <w:rPr>
          <w:rFonts w:eastAsia="Times New Roman"/>
          <w:sz w:val="24"/>
          <w:szCs w:val="24"/>
          <w:lang w:eastAsia="ru-RU"/>
        </w:rPr>
        <w:t>–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фактически,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речь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идет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новой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системе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надзора,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вынуждающей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участников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рынка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контролировать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качество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своих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данных.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Положения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документа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дают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властям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больше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полномочий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для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расследования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случаев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фальсификации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наказания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компаний,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включая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сторонние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фирмы,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участвующие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мониторинге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проверке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выбросов.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Причем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отмечено,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что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</w:t>
      </w:r>
      <w:r w:rsidRPr="00960C93">
        <w:rPr>
          <w:sz w:val="24"/>
          <w:szCs w:val="24"/>
          <w:shd w:val="clear" w:color="auto" w:fill="FFFFFF"/>
        </w:rPr>
        <w:t>равительство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Китая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будет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стремиться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наращивать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свой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статистический,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учетный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и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контрольный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потенциал,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связанный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с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выбросами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углерода,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ежегодная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отчетность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будет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институционализирована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как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по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общенациональным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выбросам,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так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и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по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выбросам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отдельных</w:t>
      </w:r>
      <w:r w:rsidR="00960C93">
        <w:rPr>
          <w:sz w:val="24"/>
          <w:szCs w:val="24"/>
          <w:shd w:val="clear" w:color="auto" w:fill="FFFFFF"/>
        </w:rPr>
        <w:t xml:space="preserve"> </w:t>
      </w:r>
      <w:r w:rsidRPr="00960C93">
        <w:rPr>
          <w:sz w:val="24"/>
          <w:szCs w:val="24"/>
          <w:shd w:val="clear" w:color="auto" w:fill="FFFFFF"/>
        </w:rPr>
        <w:t>регионов.</w:t>
      </w:r>
      <w:r w:rsidRPr="00960C93">
        <w:rPr>
          <w:sz w:val="24"/>
          <w:szCs w:val="24"/>
          <w:shd w:val="clear" w:color="auto" w:fill="FFFFFF"/>
          <w:vertAlign w:val="superscript"/>
        </w:rPr>
        <w:footnoteReference w:id="15"/>
      </w:r>
    </w:p>
    <w:p w:rsidR="00F33BD1" w:rsidRPr="00960C93" w:rsidRDefault="00F33BD1" w:rsidP="00960C93">
      <w:pPr>
        <w:spacing w:after="0" w:line="360" w:lineRule="auto"/>
        <w:ind w:firstLine="709"/>
        <w:jc w:val="both"/>
        <w:rPr>
          <w:sz w:val="24"/>
          <w:szCs w:val="24"/>
        </w:rPr>
      </w:pPr>
      <w:r w:rsidRPr="00960C93">
        <w:rPr>
          <w:sz w:val="24"/>
          <w:szCs w:val="24"/>
        </w:rPr>
        <w:t>Хотя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Китай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создал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национальную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СТК,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его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новый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рынок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торговли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выбросами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по-прежнему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сталкивается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рядом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проб</w:t>
      </w:r>
      <w:r w:rsidR="006A687C" w:rsidRPr="00960C93">
        <w:rPr>
          <w:sz w:val="24"/>
          <w:szCs w:val="24"/>
        </w:rPr>
        <w:t>лем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нуждается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дальнейшем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совершенствовании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для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обеспечения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эффективного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распределения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ресурсов.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Например,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колеблются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относительно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скромных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уровнях</w:t>
      </w:r>
      <w:r w:rsidR="00960C93">
        <w:rPr>
          <w:sz w:val="24"/>
          <w:szCs w:val="24"/>
        </w:rPr>
        <w:t xml:space="preserve"> </w:t>
      </w:r>
      <w:r w:rsidR="00B94A48">
        <w:rPr>
          <w:sz w:val="24"/>
          <w:szCs w:val="24"/>
        </w:rPr>
        <w:t>–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примерно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50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юаней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(7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долл.)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60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юаней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тонну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незначительными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колебаниями.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Однако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данные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Всемирного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банка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показывают,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что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должны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вырасти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40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80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долл.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чтобы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достичь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контроля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повышения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температуры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пределах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2°C.</w:t>
      </w:r>
      <w:r w:rsidRPr="00960C93">
        <w:rPr>
          <w:rStyle w:val="a6"/>
          <w:sz w:val="24"/>
          <w:szCs w:val="24"/>
        </w:rPr>
        <w:footnoteReference w:id="16"/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Объем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торгов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квотами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</w:t>
      </w:r>
      <w:r w:rsidRPr="00B94A48">
        <w:rPr>
          <w:sz w:val="24"/>
          <w:szCs w:val="24"/>
          <w:vertAlign w:val="subscript"/>
        </w:rPr>
        <w:t>2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Китае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также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недостаточен</w:t>
      </w:r>
      <w:r w:rsidR="00960C93">
        <w:rPr>
          <w:sz w:val="24"/>
          <w:szCs w:val="24"/>
        </w:rPr>
        <w:t xml:space="preserve"> </w:t>
      </w:r>
      <w:r w:rsidR="00B94A48">
        <w:rPr>
          <w:sz w:val="24"/>
          <w:szCs w:val="24"/>
        </w:rPr>
        <w:t>–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2023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он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составил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менее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500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млн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</w:t>
      </w:r>
      <w:r w:rsidR="00960C93">
        <w:rPr>
          <w:sz w:val="24"/>
          <w:szCs w:val="24"/>
        </w:rPr>
        <w:t xml:space="preserve"> </w:t>
      </w:r>
      <w:r w:rsidR="00B94A48">
        <w:rPr>
          <w:sz w:val="24"/>
          <w:szCs w:val="24"/>
        </w:rPr>
        <w:t>–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около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1/20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годового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объема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торгов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углеродном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рынке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Европейского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союза</w:t>
      </w:r>
      <w:r w:rsidRPr="00960C93">
        <w:rPr>
          <w:rFonts w:eastAsia="Times New Roman"/>
          <w:sz w:val="24"/>
          <w:szCs w:val="24"/>
          <w:lang w:eastAsia="ru-RU"/>
        </w:rPr>
        <w:t>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причем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цены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рынке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ЕС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составляют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около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80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евро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за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тонну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СО</w:t>
      </w:r>
      <w:r w:rsidRPr="00B94A48">
        <w:rPr>
          <w:rFonts w:eastAsia="Times New Roman"/>
          <w:sz w:val="24"/>
          <w:szCs w:val="24"/>
          <w:vertAlign w:val="subscript"/>
          <w:lang w:eastAsia="ru-RU"/>
        </w:rPr>
        <w:t>2</w:t>
      </w:r>
      <w:r w:rsidRPr="00960C93">
        <w:rPr>
          <w:sz w:val="24"/>
          <w:szCs w:val="24"/>
        </w:rPr>
        <w:t>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Наконец,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еще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приобрели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широкого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влияния.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Эффективное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ценообразование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может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предоставить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инвесторам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ценные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ценовые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сигналы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для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распределения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активов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управления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рисками,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однако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нынешний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углеродный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рынок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основном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функционирует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как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инструмент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распределения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этом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его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роль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финансовом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ценообразовании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управлении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рисками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еще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недостаточно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оценена.</w:t>
      </w:r>
      <w:r w:rsidRPr="00960C93">
        <w:rPr>
          <w:rStyle w:val="a6"/>
          <w:sz w:val="24"/>
          <w:szCs w:val="24"/>
        </w:rPr>
        <w:footnoteReference w:id="17"/>
      </w:r>
    </w:p>
    <w:p w:rsidR="00F33BD1" w:rsidRPr="00960C93" w:rsidRDefault="00F33BD1" w:rsidP="00960C93">
      <w:pPr>
        <w:spacing w:after="0" w:line="360" w:lineRule="auto"/>
        <w:ind w:firstLine="709"/>
        <w:jc w:val="both"/>
        <w:rPr>
          <w:sz w:val="24"/>
          <w:szCs w:val="24"/>
        </w:rPr>
      </w:pPr>
      <w:r w:rsidRPr="00960C93">
        <w:rPr>
          <w:sz w:val="24"/>
          <w:szCs w:val="24"/>
        </w:rPr>
        <w:t>Ученые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Китайской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академии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общественных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наук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отмечают,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что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эффективности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стимулировании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сокращения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мобилизации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низкоуглеродных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инвестиций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препятствует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ряд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проблем,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для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решения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которых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выполнения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своей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предполагаемой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роли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рынок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торговли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должен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быть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оптимизирован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следующих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аспектах.</w:t>
      </w:r>
    </w:p>
    <w:p w:rsidR="00F33BD1" w:rsidRPr="00960C93" w:rsidRDefault="00F33BD1" w:rsidP="00960C93">
      <w:pPr>
        <w:spacing w:after="0" w:line="360" w:lineRule="auto"/>
        <w:ind w:firstLine="709"/>
        <w:jc w:val="both"/>
        <w:rPr>
          <w:sz w:val="24"/>
          <w:szCs w:val="24"/>
        </w:rPr>
      </w:pPr>
      <w:r w:rsidRPr="00960C93">
        <w:rPr>
          <w:sz w:val="24"/>
          <w:szCs w:val="24"/>
        </w:rPr>
        <w:t>Во-первых,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крайне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важно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установить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четкий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лимит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следует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установить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максимальную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квоту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конкретный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будущий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период,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основываясь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прошлых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объемах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общих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целях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сокращения.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Во-вторых,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следует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поэтапно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отказаться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распределения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бесплатной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обеспечить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постепенное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сокращение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бесплатной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сочетании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увеличением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выставленной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аукцион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квоты.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В-третьих,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важно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расширить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охват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СТК,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включив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него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отрасли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пределами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энергетического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сектора.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Отрасли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высоким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уровнем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выбросов,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такие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как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сталелитейная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химическая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промышленность,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производство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бумаги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авиация,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которые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приходится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75%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объема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СО</w:t>
      </w:r>
      <w:r w:rsidRPr="00B94A48">
        <w:rPr>
          <w:sz w:val="24"/>
          <w:szCs w:val="24"/>
          <w:vertAlign w:val="subscript"/>
        </w:rPr>
        <w:t>2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стране,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учитываются,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что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требует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оптимизации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ближайшем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будущем.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В-четвертых,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активное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участие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развитии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углеродного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рынка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должны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принимать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финансовые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институты,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чье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участие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имеет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решающее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значение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для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эффективного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определения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цен,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прогнозирования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ожиданий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управления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рисками.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Кроме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того,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использование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существующей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финансовой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инфраструктуры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могло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облегчить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торговлю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расчеты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национальном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углеродном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рынке,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также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стимулировать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развитие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углеродных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деривативов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углеродных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кредитов.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В-пятых,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следует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придавать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большее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значение</w:t>
      </w:r>
      <w:r w:rsidR="00960C93">
        <w:rPr>
          <w:sz w:val="24"/>
          <w:szCs w:val="24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сертифицированным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единицам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сокращения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выбросов,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которые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получают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компании,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добровольно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участвующие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проектах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производства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энергии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из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возобновляемых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источников.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настоящее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время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предприятия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могут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использовать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СЕСВ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для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компенсации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5%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требуемой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нормы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выбросов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углекислого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газа,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хотя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разумность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этого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ограничения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все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еще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требует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дальнейшего</w:t>
      </w:r>
      <w:r w:rsidR="00960C93">
        <w:rPr>
          <w:sz w:val="24"/>
          <w:szCs w:val="24"/>
        </w:rPr>
        <w:t xml:space="preserve"> </w:t>
      </w:r>
      <w:r w:rsidRPr="00960C93">
        <w:rPr>
          <w:sz w:val="24"/>
          <w:szCs w:val="24"/>
        </w:rPr>
        <w:t>обсуждения.</w:t>
      </w:r>
      <w:r w:rsidRPr="00960C93">
        <w:rPr>
          <w:sz w:val="24"/>
          <w:szCs w:val="24"/>
          <w:vertAlign w:val="superscript"/>
        </w:rPr>
        <w:footnoteReference w:id="18"/>
      </w:r>
    </w:p>
    <w:p w:rsidR="00F33BD1" w:rsidRPr="00960C93" w:rsidRDefault="00F33BD1" w:rsidP="00960C93">
      <w:pPr>
        <w:spacing w:after="0" w:line="360" w:lineRule="auto"/>
        <w:ind w:firstLine="709"/>
        <w:jc w:val="both"/>
        <w:rPr>
          <w:color w:val="121212"/>
          <w:sz w:val="24"/>
          <w:szCs w:val="24"/>
          <w:shd w:val="clear" w:color="auto" w:fill="FFFFFF"/>
        </w:rPr>
      </w:pPr>
      <w:r w:rsidRPr="00960C93">
        <w:rPr>
          <w:color w:val="121212"/>
          <w:sz w:val="24"/>
          <w:szCs w:val="24"/>
          <w:shd w:val="clear" w:color="auto" w:fill="FFFFFF"/>
        </w:rPr>
        <w:t>21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марта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2024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г.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ГУЭ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212121"/>
          <w:sz w:val="24"/>
          <w:szCs w:val="24"/>
          <w:shd w:val="clear" w:color="auto" w:fill="FFFFFF"/>
        </w:rPr>
        <w:t>КНР</w:t>
      </w:r>
      <w:r w:rsidR="00960C93">
        <w:rPr>
          <w:color w:val="212121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опубликовало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свой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план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работы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в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области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энергетики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на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2024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г.,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="00B94A48">
        <w:rPr>
          <w:color w:val="121212"/>
          <w:sz w:val="24"/>
          <w:szCs w:val="24"/>
          <w:shd w:val="clear" w:color="auto" w:fill="FFFFFF"/>
        </w:rPr>
        <w:t>представив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дорожную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карту,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направленную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на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поддержку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перехода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к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«зеленому»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низкоуглеродному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переходу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энергетического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сектора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страны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при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одновременном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повышении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энергетической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безопасности.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В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плане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прогнозируется,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что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общая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установленная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мощность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производства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электроэнергии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достигнет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около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3,17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млрд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кВт,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производство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электроэнергии,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как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ожидается,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достигнет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примерно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9,96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трлн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кВт/ч.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Ключевой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целью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стратегии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ГУЭ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КНР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является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оптимизация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энергетической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структуры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Китая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с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целью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увеличить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установленную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мощность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неископаемого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топлива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примерно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до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55%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от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общей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установленной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мощности.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прогнозам,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доля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ветровой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солнечной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энергии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в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общем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объеме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национального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энергоснабжения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составит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более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17%,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доля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природного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газа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в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общем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энергопотреблении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достигнет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около</w:t>
      </w:r>
      <w:r w:rsidR="00960C93">
        <w:rPr>
          <w:color w:val="121212"/>
          <w:sz w:val="24"/>
          <w:szCs w:val="24"/>
          <w:shd w:val="clear" w:color="auto" w:fill="FFFFFF"/>
        </w:rPr>
        <w:t xml:space="preserve"> </w:t>
      </w:r>
      <w:r w:rsidRPr="00960C93">
        <w:rPr>
          <w:color w:val="121212"/>
          <w:sz w:val="24"/>
          <w:szCs w:val="24"/>
          <w:shd w:val="clear" w:color="auto" w:fill="FFFFFF"/>
        </w:rPr>
        <w:t>18,9%.</w:t>
      </w:r>
      <w:r w:rsidRPr="00960C93">
        <w:rPr>
          <w:rStyle w:val="a6"/>
          <w:color w:val="121212"/>
          <w:sz w:val="24"/>
          <w:szCs w:val="24"/>
          <w:shd w:val="clear" w:color="auto" w:fill="FFFFFF"/>
        </w:rPr>
        <w:footnoteReference w:id="19"/>
      </w:r>
    </w:p>
    <w:p w:rsidR="00F33BD1" w:rsidRPr="00960C93" w:rsidRDefault="00F33BD1" w:rsidP="00960C93">
      <w:pPr>
        <w:shd w:val="clear" w:color="auto" w:fill="FFFFFF"/>
        <w:spacing w:after="0" w:line="360" w:lineRule="auto"/>
        <w:ind w:firstLine="709"/>
        <w:jc w:val="both"/>
        <w:rPr>
          <w:sz w:val="24"/>
          <w:szCs w:val="24"/>
        </w:rPr>
      </w:pPr>
      <w:r w:rsidRPr="00960C93">
        <w:rPr>
          <w:rFonts w:eastAsia="Times New Roman"/>
          <w:color w:val="000000"/>
          <w:sz w:val="24"/>
          <w:szCs w:val="24"/>
          <w:lang w:eastAsia="ru-RU"/>
        </w:rPr>
        <w:t>11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апреля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2024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г.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Народный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Банк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Китая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опубликовал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руководящие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принципы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усилению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финансовой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поддержки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зеленого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низкоуглеродного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развития.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Согласно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документу,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ближайшие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пять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лет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КНР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построит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ведущую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мире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систему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финансовой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поддержки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зеленого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развития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сделает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политику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более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скоординированной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эффективной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лучшим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распределением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ресурсов,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управлением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рисками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рыночным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ценообразованием.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Китай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разработает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внедрит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единые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стандарты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учета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выбросов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углерода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для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финансовых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учреждений,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также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будет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способствовать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раскрытию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информации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об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окружающей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среде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учреждениями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финансовыми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организациями.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Будут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предприняты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усилия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постепенному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расширению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круга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торговых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организаций,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подходящих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для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развития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углеродного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рынка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Китая,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увеличению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кредитной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поддержки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зеленого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развития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низкоуглеродной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трансформации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энергетике,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промышленности,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транспорте,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строительстве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других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областях,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также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оказанию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поддержки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предприятиям,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имеющим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право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на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включение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список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внутри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страны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за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рубежом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для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финансирования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или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рефинансирования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зеленого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развития.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В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руководящих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принципах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также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предложены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меры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совершенствованию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законов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правил,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совершенствованию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механизмов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оценки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анализа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зеленых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финансов,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обогащению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соответствующих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инструментов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денежно-кредитной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политики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и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углублению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региональной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реформы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зеленых</w:t>
      </w:r>
      <w:r w:rsidR="00960C9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color w:val="000000"/>
          <w:sz w:val="24"/>
          <w:szCs w:val="24"/>
          <w:lang w:eastAsia="ru-RU"/>
        </w:rPr>
        <w:t>финансов.</w:t>
      </w:r>
      <w:r w:rsidRPr="00960C93">
        <w:rPr>
          <w:rFonts w:eastAsia="Times New Roman"/>
          <w:color w:val="000000"/>
          <w:sz w:val="24"/>
          <w:szCs w:val="24"/>
          <w:vertAlign w:val="superscript"/>
          <w:lang w:eastAsia="ru-RU"/>
        </w:rPr>
        <w:footnoteReference w:id="20"/>
      </w:r>
    </w:p>
    <w:p w:rsidR="009A4E47" w:rsidRPr="00960C93" w:rsidRDefault="002A3F90" w:rsidP="00960C93">
      <w:pPr>
        <w:spacing w:after="0" w:line="360" w:lineRule="auto"/>
        <w:ind w:firstLine="709"/>
        <w:jc w:val="both"/>
        <w:rPr>
          <w:sz w:val="24"/>
          <w:szCs w:val="24"/>
        </w:rPr>
      </w:pPr>
      <w:r w:rsidRPr="00960C93">
        <w:rPr>
          <w:rFonts w:eastAsia="Times New Roman"/>
          <w:sz w:val="24"/>
          <w:szCs w:val="24"/>
          <w:lang w:eastAsia="ru-RU"/>
        </w:rPr>
        <w:t>Российской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экономике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необходимо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готовиться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новой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глобальной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реальности,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которая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включает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только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регулярную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углеродную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отчетность,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вполне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ощутимую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плату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за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выбросы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парниковых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газов,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причем,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нынешний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уровень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цены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за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странах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Европы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достигает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25%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рыночной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стоимости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продукции.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Развитие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СТК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РФ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перспективе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может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дать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возможность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сопряжения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механизма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российского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углеродного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регулирования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аналогичными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механизмами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основных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торговых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партнеров,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частности,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рамках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2116AE" w:rsidRPr="00960C93">
        <w:rPr>
          <w:rFonts w:eastAsia="Times New Roman"/>
          <w:sz w:val="24"/>
          <w:szCs w:val="24"/>
          <w:lang w:eastAsia="ru-RU"/>
        </w:rPr>
        <w:t>таких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2116AE" w:rsidRPr="00960C93">
        <w:rPr>
          <w:rFonts w:eastAsia="Times New Roman"/>
          <w:sz w:val="24"/>
          <w:szCs w:val="24"/>
          <w:lang w:eastAsia="ru-RU"/>
        </w:rPr>
        <w:t>организациях,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2116AE" w:rsidRPr="00B94A48">
        <w:rPr>
          <w:rFonts w:eastAsia="Times New Roman"/>
          <w:sz w:val="24"/>
          <w:szCs w:val="24"/>
          <w:lang w:eastAsia="ru-RU"/>
        </w:rPr>
        <w:t>как</w:t>
      </w:r>
      <w:r w:rsidR="00960C93" w:rsidRPr="00B94A48">
        <w:rPr>
          <w:rFonts w:eastAsia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B94A48">
          <w:rPr>
            <w:rStyle w:val="aa"/>
            <w:rFonts w:eastAsia="Times New Roman"/>
            <w:color w:val="auto"/>
            <w:sz w:val="24"/>
            <w:szCs w:val="24"/>
            <w:u w:val="none"/>
            <w:lang w:eastAsia="ru-RU"/>
          </w:rPr>
          <w:t>ЕАЭС</w:t>
        </w:r>
      </w:hyperlink>
      <w:r w:rsidR="00960C93" w:rsidRPr="00B94A48">
        <w:rPr>
          <w:rFonts w:eastAsia="Times New Roman"/>
          <w:sz w:val="24"/>
          <w:szCs w:val="24"/>
          <w:lang w:eastAsia="ru-RU"/>
        </w:rPr>
        <w:t xml:space="preserve"> </w:t>
      </w:r>
      <w:r w:rsidRPr="00B94A48">
        <w:rPr>
          <w:rFonts w:eastAsia="Times New Roman"/>
          <w:sz w:val="24"/>
          <w:szCs w:val="24"/>
          <w:lang w:eastAsia="ru-RU"/>
        </w:rPr>
        <w:t>и</w:t>
      </w:r>
      <w:r w:rsidR="00960C93" w:rsidRPr="00B94A48">
        <w:rPr>
          <w:rFonts w:eastAsia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B94A48">
          <w:rPr>
            <w:rStyle w:val="aa"/>
            <w:rFonts w:eastAsia="Times New Roman"/>
            <w:color w:val="auto"/>
            <w:sz w:val="24"/>
            <w:szCs w:val="24"/>
            <w:u w:val="none"/>
            <w:lang w:eastAsia="ru-RU"/>
          </w:rPr>
          <w:t>БРИКС</w:t>
        </w:r>
      </w:hyperlink>
      <w:r w:rsidR="002116AE" w:rsidRPr="00B94A48">
        <w:rPr>
          <w:rStyle w:val="aa"/>
          <w:rFonts w:eastAsia="Times New Roman"/>
          <w:color w:val="auto"/>
          <w:sz w:val="24"/>
          <w:szCs w:val="24"/>
          <w:u w:val="none"/>
          <w:lang w:eastAsia="ru-RU"/>
        </w:rPr>
        <w:t>.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2116AE" w:rsidRPr="00960C93">
        <w:rPr>
          <w:rFonts w:eastAsia="Times New Roman"/>
          <w:sz w:val="24"/>
          <w:szCs w:val="24"/>
          <w:lang w:eastAsia="ru-RU"/>
        </w:rPr>
        <w:t>Кроме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="002116AE" w:rsidRPr="00960C93">
        <w:rPr>
          <w:rFonts w:eastAsia="Times New Roman"/>
          <w:sz w:val="24"/>
          <w:szCs w:val="24"/>
          <w:lang w:eastAsia="ru-RU"/>
        </w:rPr>
        <w:t>того,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формирование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единой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системы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углеродного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регулирования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позволило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бы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только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минимизировать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риски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для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российских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экспортных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компаний,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усилить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свои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позиции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в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международной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торговле,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также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адекватно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ответить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на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трансграничное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углеродное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регулирование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Евросоюза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и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аналогичные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механизмы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других</w:t>
      </w:r>
      <w:r w:rsidR="00960C93">
        <w:rPr>
          <w:rFonts w:eastAsia="Times New Roman"/>
          <w:sz w:val="24"/>
          <w:szCs w:val="24"/>
          <w:lang w:eastAsia="ru-RU"/>
        </w:rPr>
        <w:t xml:space="preserve"> </w:t>
      </w:r>
      <w:r w:rsidRPr="00960C93">
        <w:rPr>
          <w:rFonts w:eastAsia="Times New Roman"/>
          <w:sz w:val="24"/>
          <w:szCs w:val="24"/>
          <w:lang w:eastAsia="ru-RU"/>
        </w:rPr>
        <w:t>стран.</w:t>
      </w:r>
    </w:p>
    <w:sectPr w:rsidR="009A4E47" w:rsidRPr="00960C93" w:rsidSect="00960C93">
      <w:headerReference w:type="default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C93" w:rsidRDefault="00960C93" w:rsidP="002A3F90">
      <w:pPr>
        <w:spacing w:after="0" w:line="240" w:lineRule="auto"/>
      </w:pPr>
      <w:r>
        <w:separator/>
      </w:r>
    </w:p>
  </w:endnote>
  <w:endnote w:type="continuationSeparator" w:id="0">
    <w:p w:rsidR="00960C93" w:rsidRDefault="00960C93" w:rsidP="002A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640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60C93" w:rsidRPr="00960C93" w:rsidRDefault="00960C93" w:rsidP="00960C93">
        <w:pPr>
          <w:pStyle w:val="ab"/>
          <w:jc w:val="center"/>
          <w:rPr>
            <w:sz w:val="24"/>
            <w:szCs w:val="24"/>
          </w:rPr>
        </w:pPr>
        <w:r w:rsidRPr="00960C93">
          <w:rPr>
            <w:sz w:val="24"/>
            <w:szCs w:val="24"/>
          </w:rPr>
          <w:fldChar w:fldCharType="begin"/>
        </w:r>
        <w:r w:rsidRPr="00960C93">
          <w:rPr>
            <w:sz w:val="24"/>
            <w:szCs w:val="24"/>
          </w:rPr>
          <w:instrText xml:space="preserve"> PAGE   \* MERGEFORMAT </w:instrText>
        </w:r>
        <w:r w:rsidRPr="00960C93">
          <w:rPr>
            <w:sz w:val="24"/>
            <w:szCs w:val="24"/>
          </w:rPr>
          <w:fldChar w:fldCharType="separate"/>
        </w:r>
        <w:r w:rsidR="00675603">
          <w:rPr>
            <w:noProof/>
            <w:sz w:val="24"/>
            <w:szCs w:val="24"/>
          </w:rPr>
          <w:t>1</w:t>
        </w:r>
        <w:r w:rsidRPr="00960C9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C93" w:rsidRDefault="00960C93" w:rsidP="002A3F90">
      <w:pPr>
        <w:spacing w:after="0" w:line="240" w:lineRule="auto"/>
      </w:pPr>
      <w:r>
        <w:separator/>
      </w:r>
    </w:p>
  </w:footnote>
  <w:footnote w:type="continuationSeparator" w:id="0">
    <w:p w:rsidR="00960C93" w:rsidRDefault="00960C93" w:rsidP="002A3F90">
      <w:pPr>
        <w:spacing w:after="0" w:line="240" w:lineRule="auto"/>
      </w:pPr>
      <w:r>
        <w:continuationSeparator/>
      </w:r>
    </w:p>
  </w:footnote>
  <w:footnote w:id="1">
    <w:p w:rsidR="00960C93" w:rsidRPr="00960C93" w:rsidRDefault="00960C93" w:rsidP="00960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Углеродный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рынок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представляет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собой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механизм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финансирования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проектов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технологий,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которые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способствуют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митигации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изменения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климата.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Принцип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действия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данного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рынка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заключается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создании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нового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вида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товара</w:t>
      </w:r>
      <w:r>
        <w:rPr>
          <w:sz w:val="20"/>
          <w:szCs w:val="20"/>
          <w:shd w:val="clear" w:color="auto" w:fill="FFFFFF"/>
        </w:rPr>
        <w:t xml:space="preserve"> – </w:t>
      </w:r>
      <w:r w:rsidRPr="00960C93">
        <w:rPr>
          <w:sz w:val="20"/>
          <w:szCs w:val="20"/>
          <w:shd w:val="clear" w:color="auto" w:fill="FFFFFF"/>
        </w:rPr>
        <w:t>углеродных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единиц,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которые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образуются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сокращении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предприятием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выбросов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парниковых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газов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на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тонну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эквивалента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углекислого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газа.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Углеродные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единицы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могут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приобретать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компании,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которые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на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данный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момент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не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способны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модернизировать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производство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или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реализовать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другой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климатический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проект</w:t>
      </w:r>
      <w:r>
        <w:rPr>
          <w:sz w:val="20"/>
          <w:szCs w:val="20"/>
          <w:shd w:val="clear" w:color="auto" w:fill="FFFFFF"/>
        </w:rPr>
        <w:t xml:space="preserve"> – </w:t>
      </w:r>
      <w:r w:rsidRPr="00960C93">
        <w:rPr>
          <w:sz w:val="20"/>
          <w:szCs w:val="20"/>
          <w:shd w:val="clear" w:color="auto" w:fill="FFFFFF"/>
        </w:rPr>
        <w:t>таким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образом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создается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система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финансовой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поддержки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климатических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проектов.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2023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г.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г</w:t>
      </w:r>
      <w:r w:rsidRPr="00960C93">
        <w:rPr>
          <w:sz w:val="20"/>
          <w:szCs w:val="20"/>
        </w:rPr>
        <w:t>лобальный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рынок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реестра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углеродных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единиц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(</w:t>
      </w:r>
      <w:r w:rsidRPr="00960C93">
        <w:rPr>
          <w:sz w:val="20"/>
          <w:szCs w:val="20"/>
        </w:rPr>
        <w:t>учета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выбросов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углерода)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оценивался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15,5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млрд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долл.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и,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оценкам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аналитической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компании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Fortune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Business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Insights,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2030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достигнет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64,5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млрд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долл.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  <w:lang w:val="en-US"/>
        </w:rPr>
        <w:t>(</w:t>
      </w:r>
      <w:r w:rsidRPr="00960C93">
        <w:rPr>
          <w:i/>
          <w:sz w:val="20"/>
          <w:szCs w:val="20"/>
          <w:shd w:val="clear" w:color="auto" w:fill="FFFFFF"/>
          <w:lang w:val="en-US"/>
        </w:rPr>
        <w:t>Liu</w:t>
      </w:r>
      <w:r>
        <w:rPr>
          <w:i/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i/>
          <w:sz w:val="20"/>
          <w:szCs w:val="20"/>
          <w:shd w:val="clear" w:color="auto" w:fill="FFFFFF"/>
          <w:lang w:val="en-US"/>
        </w:rPr>
        <w:t>Yukun.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Emissions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accounting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new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green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drive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push.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– </w:t>
      </w:r>
      <w:hyperlink r:id="rId1" w:history="1">
        <w:r w:rsidRPr="00960C93">
          <w:rPr>
            <w:rStyle w:val="aa"/>
            <w:rFonts w:eastAsia="Times New Roman"/>
            <w:color w:val="auto"/>
            <w:kern w:val="36"/>
            <w:sz w:val="20"/>
            <w:szCs w:val="20"/>
            <w:u w:val="none"/>
            <w:lang w:val="en-US" w:eastAsia="ru-RU"/>
          </w:rPr>
          <w:t>https://www.chinadaily.com.cn/a/202312/28/WS658cf072a31040ac301a9f2f.html</w:t>
        </w:r>
      </w:hyperlink>
    </w:p>
  </w:footnote>
  <w:footnote w:id="2">
    <w:p w:rsidR="00960C93" w:rsidRPr="00960C93" w:rsidRDefault="00960C93" w:rsidP="00960C93">
      <w:pPr>
        <w:pStyle w:val="ad"/>
        <w:ind w:firstLine="709"/>
        <w:jc w:val="both"/>
      </w:pPr>
      <w:r w:rsidRPr="00960C93">
        <w:rPr>
          <w:rStyle w:val="a6"/>
        </w:rPr>
        <w:footnoteRef/>
      </w:r>
      <w:r w:rsidRPr="00960C93">
        <w:rPr>
          <w:rFonts w:eastAsia="Times New Roman"/>
          <w:kern w:val="36"/>
          <w:lang w:val="en-US" w:eastAsia="ru-RU"/>
        </w:rPr>
        <w:t xml:space="preserve"> China</w:t>
      </w:r>
      <w:r>
        <w:rPr>
          <w:rFonts w:eastAsia="Times New Roman"/>
          <w:kern w:val="36"/>
          <w:lang w:val="en-US" w:eastAsia="ru-RU"/>
        </w:rPr>
        <w:t xml:space="preserve"> </w:t>
      </w:r>
      <w:r w:rsidRPr="00960C93">
        <w:rPr>
          <w:rFonts w:eastAsia="Times New Roman"/>
          <w:kern w:val="36"/>
          <w:lang w:val="en-US" w:eastAsia="ru-RU"/>
        </w:rPr>
        <w:t>to</w:t>
      </w:r>
      <w:r>
        <w:rPr>
          <w:rFonts w:eastAsia="Times New Roman"/>
          <w:kern w:val="36"/>
          <w:lang w:val="en-US" w:eastAsia="ru-RU"/>
        </w:rPr>
        <w:t xml:space="preserve"> </w:t>
      </w:r>
      <w:r w:rsidRPr="00960C93">
        <w:rPr>
          <w:rFonts w:eastAsia="Times New Roman"/>
          <w:kern w:val="36"/>
          <w:lang w:val="en-US" w:eastAsia="ru-RU"/>
        </w:rPr>
        <w:t>accelerate</w:t>
      </w:r>
      <w:r>
        <w:rPr>
          <w:rFonts w:eastAsia="Times New Roman"/>
          <w:kern w:val="36"/>
          <w:lang w:val="en-US" w:eastAsia="ru-RU"/>
        </w:rPr>
        <w:t xml:space="preserve"> </w:t>
      </w:r>
      <w:r w:rsidRPr="00960C93">
        <w:rPr>
          <w:rFonts w:eastAsia="Times New Roman"/>
          <w:kern w:val="36"/>
          <w:lang w:val="en-US" w:eastAsia="ru-RU"/>
        </w:rPr>
        <w:t>building</w:t>
      </w:r>
      <w:r>
        <w:rPr>
          <w:rFonts w:eastAsia="Times New Roman"/>
          <w:kern w:val="36"/>
          <w:lang w:val="en-US" w:eastAsia="ru-RU"/>
        </w:rPr>
        <w:t xml:space="preserve"> </w:t>
      </w:r>
      <w:r w:rsidRPr="00960C93">
        <w:rPr>
          <w:rFonts w:eastAsia="Times New Roman"/>
          <w:kern w:val="36"/>
          <w:lang w:val="en-US" w:eastAsia="ru-RU"/>
        </w:rPr>
        <w:t>carbon</w:t>
      </w:r>
      <w:r>
        <w:rPr>
          <w:rFonts w:eastAsia="Times New Roman"/>
          <w:kern w:val="36"/>
          <w:lang w:val="en-US" w:eastAsia="ru-RU"/>
        </w:rPr>
        <w:t xml:space="preserve"> </w:t>
      </w:r>
      <w:r w:rsidRPr="00960C93">
        <w:rPr>
          <w:rFonts w:eastAsia="Times New Roman"/>
          <w:kern w:val="36"/>
          <w:lang w:val="en-US" w:eastAsia="ru-RU"/>
        </w:rPr>
        <w:t>emission</w:t>
      </w:r>
      <w:r>
        <w:rPr>
          <w:rFonts w:eastAsia="Times New Roman"/>
          <w:kern w:val="36"/>
          <w:lang w:val="en-US" w:eastAsia="ru-RU"/>
        </w:rPr>
        <w:t xml:space="preserve"> </w:t>
      </w:r>
      <w:r w:rsidRPr="00960C93">
        <w:rPr>
          <w:rFonts w:eastAsia="Times New Roman"/>
          <w:kern w:val="36"/>
          <w:lang w:val="en-US" w:eastAsia="ru-RU"/>
        </w:rPr>
        <w:t>calculation</w:t>
      </w:r>
      <w:r>
        <w:rPr>
          <w:rFonts w:eastAsia="Times New Roman"/>
          <w:kern w:val="36"/>
          <w:lang w:val="en-US" w:eastAsia="ru-RU"/>
        </w:rPr>
        <w:t xml:space="preserve"> </w:t>
      </w:r>
      <w:r w:rsidRPr="00960C93">
        <w:rPr>
          <w:rFonts w:eastAsia="Times New Roman"/>
          <w:kern w:val="36"/>
          <w:lang w:val="en-US" w:eastAsia="ru-RU"/>
        </w:rPr>
        <w:t>system.</w:t>
      </w:r>
      <w:r>
        <w:rPr>
          <w:rFonts w:eastAsia="Times New Roman"/>
          <w:kern w:val="36"/>
          <w:lang w:val="en-US" w:eastAsia="ru-RU"/>
        </w:rPr>
        <w:t xml:space="preserve"> – </w:t>
      </w:r>
      <w:hyperlink r:id="rId2" w:history="1">
        <w:r w:rsidRPr="00960C93">
          <w:rPr>
            <w:rStyle w:val="aa"/>
            <w:rFonts w:eastAsia="Times New Roman"/>
            <w:color w:val="auto"/>
            <w:kern w:val="36"/>
            <w:u w:val="none"/>
            <w:lang w:val="en-US" w:eastAsia="ru-RU"/>
          </w:rPr>
          <w:t>https://www.chinadaily.com.cn/a/202210/28/WS635b31c9a310fd2b29e7f015.html</w:t>
        </w:r>
      </w:hyperlink>
    </w:p>
  </w:footnote>
  <w:footnote w:id="3">
    <w:p w:rsidR="00960C93" w:rsidRPr="00960C93" w:rsidRDefault="00960C93" w:rsidP="00960C93">
      <w:pPr>
        <w:spacing w:after="0" w:line="240" w:lineRule="auto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>
        <w:rPr>
          <w:i/>
          <w:sz w:val="20"/>
          <w:szCs w:val="20"/>
          <w:shd w:val="clear" w:color="auto" w:fill="FFFFFF"/>
        </w:rPr>
        <w:t xml:space="preserve"> </w:t>
      </w:r>
      <w:r w:rsidRPr="00960C93">
        <w:rPr>
          <w:i/>
          <w:sz w:val="20"/>
          <w:szCs w:val="20"/>
          <w:shd w:val="clear" w:color="auto" w:fill="FFFFFF"/>
          <w:lang w:val="en-US"/>
        </w:rPr>
        <w:t>Li</w:t>
      </w:r>
      <w:r>
        <w:rPr>
          <w:i/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i/>
          <w:sz w:val="20"/>
          <w:szCs w:val="20"/>
          <w:shd w:val="clear" w:color="auto" w:fill="FFFFFF"/>
          <w:lang w:val="en-US"/>
        </w:rPr>
        <w:t>Hongyang</w:t>
      </w:r>
      <w:r w:rsidRPr="00960C93">
        <w:rPr>
          <w:sz w:val="20"/>
          <w:szCs w:val="20"/>
          <w:shd w:val="clear" w:color="auto" w:fill="FFFFFF"/>
          <w:lang w:val="en-US"/>
        </w:rPr>
        <w:t>.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Regulation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to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control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carbon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trading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unveiled.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– https://www.chinadaily.com.cn/a/202402/05/WS65c10214a3104efcbdae9ced.html</w:t>
      </w:r>
    </w:p>
  </w:footnote>
  <w:footnote w:id="4">
    <w:p w:rsidR="00960C93" w:rsidRPr="00960C93" w:rsidRDefault="00960C93" w:rsidP="00960C93">
      <w:pPr>
        <w:pStyle w:val="ad"/>
        <w:ind w:firstLine="709"/>
        <w:jc w:val="both"/>
        <w:rPr>
          <w:lang w:val="en-US"/>
        </w:rPr>
      </w:pPr>
      <w:r w:rsidRPr="00960C93">
        <w:rPr>
          <w:rStyle w:val="a6"/>
        </w:rPr>
        <w:footnoteRef/>
      </w:r>
      <w:r w:rsidRPr="00960C93">
        <w:rPr>
          <w:bCs/>
          <w:lang w:val="en-US"/>
        </w:rPr>
        <w:t xml:space="preserve"> China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to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accelerate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building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carbon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emission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calculation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system.</w:t>
      </w:r>
      <w:r>
        <w:rPr>
          <w:bCs/>
          <w:lang w:val="en-US"/>
        </w:rPr>
        <w:t xml:space="preserve"> – </w:t>
      </w:r>
      <w:hyperlink r:id="rId3" w:history="1">
        <w:r w:rsidRPr="00960C93">
          <w:rPr>
            <w:rStyle w:val="aa"/>
            <w:bCs/>
            <w:color w:val="auto"/>
            <w:u w:val="none"/>
            <w:lang w:val="en-US"/>
          </w:rPr>
          <w:t>https://www.bjreview.com/Latest_Headlines/202210/t20221028_800312010.html</w:t>
        </w:r>
      </w:hyperlink>
    </w:p>
  </w:footnote>
  <w:footnote w:id="5">
    <w:p w:rsidR="00960C93" w:rsidRPr="00960C93" w:rsidRDefault="00960C93" w:rsidP="00960C93">
      <w:pPr>
        <w:spacing w:after="0" w:line="240" w:lineRule="auto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>
        <w:rPr>
          <w:rFonts w:eastAsia="Times New Roman"/>
          <w:i/>
          <w:sz w:val="20"/>
          <w:szCs w:val="20"/>
          <w:lang w:eastAsia="ru-RU"/>
        </w:rPr>
        <w:t xml:space="preserve"> </w:t>
      </w:r>
      <w:r w:rsidRPr="00960C93">
        <w:rPr>
          <w:rFonts w:eastAsia="Times New Roman"/>
          <w:i/>
          <w:sz w:val="20"/>
          <w:szCs w:val="20"/>
          <w:lang w:val="en-US" w:eastAsia="ru-RU"/>
        </w:rPr>
        <w:t>Lan</w:t>
      </w:r>
      <w:r>
        <w:rPr>
          <w:rFonts w:eastAsia="Times New Roman"/>
          <w:i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i/>
          <w:sz w:val="20"/>
          <w:szCs w:val="20"/>
          <w:lang w:val="en-US" w:eastAsia="ru-RU"/>
        </w:rPr>
        <w:t>Xinzhen</w:t>
      </w:r>
      <w:r w:rsidRPr="00960C93">
        <w:rPr>
          <w:rFonts w:eastAsia="Times New Roman"/>
          <w:sz w:val="20"/>
          <w:szCs w:val="20"/>
          <w:lang w:val="en-US" w:eastAsia="ru-RU"/>
        </w:rPr>
        <w:t>.</w:t>
      </w:r>
      <w:r>
        <w:rPr>
          <w:rFonts w:eastAsia="Times New Roman"/>
          <w:bCs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sz w:val="20"/>
          <w:szCs w:val="20"/>
          <w:lang w:val="en-US" w:eastAsia="ru-RU"/>
        </w:rPr>
        <w:t>The</w:t>
      </w:r>
      <w:r>
        <w:rPr>
          <w:rFonts w:eastAsia="Times New Roman"/>
          <w:bCs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sz w:val="20"/>
          <w:szCs w:val="20"/>
          <w:lang w:val="en-US" w:eastAsia="ru-RU"/>
        </w:rPr>
        <w:t>carbon</w:t>
      </w:r>
      <w:r>
        <w:rPr>
          <w:rFonts w:eastAsia="Times New Roman"/>
          <w:bCs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sz w:val="20"/>
          <w:szCs w:val="20"/>
          <w:lang w:val="en-US" w:eastAsia="ru-RU"/>
        </w:rPr>
        <w:t>course.</w:t>
      </w:r>
      <w:r>
        <w:rPr>
          <w:rFonts w:eastAsia="Times New Roman"/>
          <w:bCs/>
          <w:sz w:val="20"/>
          <w:szCs w:val="20"/>
          <w:lang w:val="en-US" w:eastAsia="ru-RU"/>
        </w:rPr>
        <w:t xml:space="preserve"> – </w:t>
      </w:r>
      <w:hyperlink r:id="rId4" w:history="1">
        <w:r w:rsidRPr="00960C93">
          <w:rPr>
            <w:rStyle w:val="aa"/>
            <w:rFonts w:eastAsia="Times New Roman"/>
            <w:bCs/>
            <w:color w:val="auto"/>
            <w:sz w:val="20"/>
            <w:szCs w:val="20"/>
            <w:u w:val="none"/>
            <w:lang w:val="en-US" w:eastAsia="ru-RU"/>
          </w:rPr>
          <w:t>http://www.bjreview.com/Opinion/Fact_Check/202207/t20220725_800301818.html</w:t>
        </w:r>
      </w:hyperlink>
    </w:p>
  </w:footnote>
  <w:footnote w:id="6">
    <w:p w:rsidR="00960C93" w:rsidRPr="00960C93" w:rsidRDefault="00960C93" w:rsidP="00B94A4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 w:rsidR="00B94A48">
        <w:rPr>
          <w:i/>
          <w:sz w:val="20"/>
          <w:szCs w:val="20"/>
          <w:shd w:val="clear" w:color="auto" w:fill="FFFFFF"/>
        </w:rPr>
        <w:t xml:space="preserve"> </w:t>
      </w:r>
      <w:r w:rsidRPr="00960C93">
        <w:rPr>
          <w:i/>
          <w:sz w:val="20"/>
          <w:szCs w:val="20"/>
          <w:shd w:val="clear" w:color="auto" w:fill="FFFFFF"/>
          <w:lang w:val="en-US"/>
        </w:rPr>
        <w:t>Hou</w:t>
      </w:r>
      <w:r>
        <w:rPr>
          <w:i/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i/>
          <w:sz w:val="20"/>
          <w:szCs w:val="20"/>
          <w:shd w:val="clear" w:color="auto" w:fill="FFFFFF"/>
          <w:lang w:val="en-US"/>
        </w:rPr>
        <w:t>Liqiang</w:t>
      </w:r>
      <w:r w:rsidRPr="00960C93">
        <w:rPr>
          <w:sz w:val="20"/>
          <w:szCs w:val="20"/>
          <w:shd w:val="clear" w:color="auto" w:fill="FFFFFF"/>
          <w:lang w:val="en-US"/>
        </w:rPr>
        <w:t>.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Trade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volume,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prices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trending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upward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in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China's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carbon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trading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market.</w:t>
      </w:r>
      <w:r>
        <w:rPr>
          <w:kern w:val="36"/>
          <w:sz w:val="20"/>
          <w:szCs w:val="20"/>
          <w:lang w:val="en-US"/>
        </w:rPr>
        <w:t xml:space="preserve"> –</w:t>
      </w:r>
      <w:r w:rsidRPr="00960C93">
        <w:rPr>
          <w:kern w:val="36"/>
          <w:sz w:val="20"/>
          <w:szCs w:val="20"/>
          <w:lang w:val="en-US"/>
        </w:rPr>
        <w:t xml:space="preserve"> </w:t>
      </w:r>
      <w:hyperlink r:id="rId5" w:history="1">
        <w:r w:rsidRPr="00960C93">
          <w:rPr>
            <w:rStyle w:val="aa"/>
            <w:color w:val="auto"/>
            <w:kern w:val="36"/>
            <w:sz w:val="20"/>
            <w:szCs w:val="20"/>
            <w:u w:val="none"/>
            <w:lang w:val="en-US"/>
          </w:rPr>
          <w:t>https://www.chinadaily.com.cn/a/202402/26/WS65dc57e1a31082fc043b9252.html</w:t>
        </w:r>
      </w:hyperlink>
    </w:p>
  </w:footnote>
  <w:footnote w:id="7">
    <w:p w:rsidR="00960C93" w:rsidRPr="00960C93" w:rsidRDefault="00960C93" w:rsidP="00B94A4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 w:rsidR="00B94A48">
        <w:rPr>
          <w:i/>
          <w:sz w:val="20"/>
          <w:szCs w:val="20"/>
          <w:shd w:val="clear" w:color="auto" w:fill="FFFFFF"/>
        </w:rPr>
        <w:t xml:space="preserve"> </w:t>
      </w:r>
      <w:r w:rsidRPr="00960C93">
        <w:rPr>
          <w:i/>
          <w:sz w:val="20"/>
          <w:szCs w:val="20"/>
          <w:shd w:val="clear" w:color="auto" w:fill="FFFFFF"/>
          <w:lang w:val="en-US"/>
        </w:rPr>
        <w:t>Hou</w:t>
      </w:r>
      <w:r>
        <w:rPr>
          <w:i/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i/>
          <w:sz w:val="20"/>
          <w:szCs w:val="20"/>
          <w:shd w:val="clear" w:color="auto" w:fill="FFFFFF"/>
          <w:lang w:val="en-US"/>
        </w:rPr>
        <w:t>Liqiang</w:t>
      </w:r>
      <w:r w:rsidRPr="00960C93">
        <w:rPr>
          <w:sz w:val="20"/>
          <w:szCs w:val="20"/>
          <w:shd w:val="clear" w:color="auto" w:fill="FFFFFF"/>
          <w:lang w:val="en-US"/>
        </w:rPr>
        <w:t>.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Carbon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credit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system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one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step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closer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to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relaunch.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 xml:space="preserve">– </w:t>
      </w:r>
      <w:hyperlink r:id="rId6" w:history="1">
        <w:r w:rsidRPr="00960C93">
          <w:rPr>
            <w:rStyle w:val="aa"/>
            <w:color w:val="auto"/>
            <w:kern w:val="36"/>
            <w:sz w:val="20"/>
            <w:szCs w:val="20"/>
            <w:u w:val="none"/>
            <w:lang w:val="en-US"/>
          </w:rPr>
          <w:t>https://www.chinadaily.com.cn/a/202310/28/WS653c48c0a31090682a5eb31a.html</w:t>
        </w:r>
      </w:hyperlink>
    </w:p>
  </w:footnote>
  <w:footnote w:id="8">
    <w:p w:rsidR="00960C93" w:rsidRPr="00960C93" w:rsidRDefault="00960C93" w:rsidP="00B94A4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 w:rsidR="00B94A48" w:rsidRPr="00B94A48">
        <w:rPr>
          <w:i/>
          <w:sz w:val="20"/>
          <w:szCs w:val="20"/>
          <w:shd w:val="clear" w:color="auto" w:fill="FFFFFF"/>
          <w:lang w:val="en-US"/>
        </w:rPr>
        <w:t xml:space="preserve"> </w:t>
      </w:r>
      <w:r w:rsidRPr="00B94A48">
        <w:rPr>
          <w:sz w:val="20"/>
          <w:szCs w:val="20"/>
          <w:shd w:val="clear" w:color="auto" w:fill="FFFFFF"/>
          <w:lang w:val="en-US"/>
        </w:rPr>
        <w:t>Guangdong</w:t>
      </w:r>
      <w:r w:rsidRPr="00B94A48">
        <w:rPr>
          <w:bCs/>
          <w:kern w:val="36"/>
          <w:sz w:val="20"/>
          <w:szCs w:val="20"/>
          <w:lang w:val="en-US"/>
        </w:rPr>
        <w:t xml:space="preserve"> c</w:t>
      </w:r>
      <w:r w:rsidRPr="00960C93">
        <w:rPr>
          <w:bCs/>
          <w:kern w:val="36"/>
          <w:sz w:val="20"/>
          <w:szCs w:val="20"/>
          <w:lang w:val="en-US"/>
        </w:rPr>
        <w:t>arbon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market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closes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higher.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 xml:space="preserve">– </w:t>
      </w:r>
      <w:hyperlink r:id="rId7" w:history="1"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  <w:lang w:val="en-US"/>
          </w:rPr>
          <w:t>http://en.people.cn/n3/2024/0224/c90000-20136683.html</w:t>
        </w:r>
      </w:hyperlink>
    </w:p>
  </w:footnote>
  <w:footnote w:id="9">
    <w:p w:rsidR="00960C93" w:rsidRPr="00960C93" w:rsidRDefault="00960C93" w:rsidP="00960C9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60C93">
        <w:rPr>
          <w:rStyle w:val="a6"/>
          <w:sz w:val="20"/>
          <w:szCs w:val="20"/>
        </w:rPr>
        <w:footnoteRef/>
      </w:r>
      <w:r w:rsidR="00B94A48"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апреля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2024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бирже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торговли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квотами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выбросы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углерода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Гуанчжоу,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крупнейшем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местном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углеродном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рынке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Китая,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квоты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выбросы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углерода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закрылись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уровне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64,68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юаня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(около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9,12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долл.)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было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реализовано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6337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квот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при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обороте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409862,75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юаней.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Эти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разрешения,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официально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известные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как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«Квоты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выбросы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провинции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Гуандун»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(</w:t>
      </w:r>
      <w:r w:rsidRPr="00960C93">
        <w:rPr>
          <w:sz w:val="20"/>
          <w:szCs w:val="20"/>
          <w:shd w:val="clear" w:color="auto" w:fill="FFFFFF"/>
        </w:rPr>
        <w:t>Guangdong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Emissions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Allowances</w:t>
      </w:r>
      <w:r w:rsidRPr="00960C93">
        <w:rPr>
          <w:sz w:val="20"/>
          <w:szCs w:val="20"/>
        </w:rPr>
        <w:t>/GDEA),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представляют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собой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ограничения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выбросы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углекислого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газа,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назначаемые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компаниям.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Фирмы,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выбросы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которых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превышают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их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долю,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должны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покупать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дополнительные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квоты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у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властей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или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покупать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неиспользованные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квоты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рынке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у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тех,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которые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вызывают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меньше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загрязнения.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С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момента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открытия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декабре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2013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на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рынке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Гуанчжоу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было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продано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около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224,9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млн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GDEA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с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общим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оборотом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почти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6,43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млрд</w:t>
      </w:r>
      <w:r>
        <w:rPr>
          <w:sz w:val="20"/>
          <w:szCs w:val="20"/>
        </w:rPr>
        <w:t xml:space="preserve"> </w:t>
      </w:r>
      <w:r w:rsidRPr="00960C93">
        <w:rPr>
          <w:sz w:val="20"/>
          <w:szCs w:val="20"/>
        </w:rPr>
        <w:t>юаней</w:t>
      </w:r>
      <w:r w:rsidRPr="00960C93">
        <w:rPr>
          <w:bCs/>
          <w:kern w:val="36"/>
          <w:sz w:val="20"/>
          <w:szCs w:val="20"/>
        </w:rPr>
        <w:t>.</w:t>
      </w:r>
      <w:r>
        <w:rPr>
          <w:bCs/>
          <w:kern w:val="36"/>
          <w:sz w:val="20"/>
          <w:szCs w:val="20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Углеродный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рынок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провинции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Гуандун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охватывает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все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компании,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чьи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ежегодные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выбросы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углекислого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газа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превышают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10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тыс.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т,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за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исключением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компаний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г.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Шэньчжэне,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где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есть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отдельный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углеродный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рынок.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начале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2024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г.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углеродный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рынок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провинции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были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включены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200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предприятий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сталелитейной,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цементной,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нефтехимической,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бумажной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и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авиационной</w:t>
      </w:r>
      <w:r>
        <w:rPr>
          <w:sz w:val="20"/>
          <w:szCs w:val="20"/>
          <w:shd w:val="clear" w:color="auto" w:fill="FFFFFF"/>
        </w:rPr>
        <w:t xml:space="preserve"> </w:t>
      </w:r>
      <w:r w:rsidRPr="00960C93">
        <w:rPr>
          <w:sz w:val="20"/>
          <w:szCs w:val="20"/>
          <w:shd w:val="clear" w:color="auto" w:fill="FFFFFF"/>
        </w:rPr>
        <w:t>отраслей</w:t>
      </w:r>
      <w:r w:rsidRPr="00960C93">
        <w:rPr>
          <w:bCs/>
          <w:kern w:val="36"/>
          <w:sz w:val="20"/>
          <w:szCs w:val="20"/>
        </w:rPr>
        <w:t>.</w:t>
      </w:r>
      <w:r>
        <w:rPr>
          <w:bCs/>
          <w:kern w:val="36"/>
          <w:sz w:val="20"/>
          <w:szCs w:val="20"/>
        </w:rPr>
        <w:t xml:space="preserve"> </w:t>
      </w:r>
      <w:r w:rsidRPr="00960C93">
        <w:rPr>
          <w:bCs/>
          <w:kern w:val="36"/>
          <w:sz w:val="20"/>
          <w:szCs w:val="20"/>
        </w:rPr>
        <w:t xml:space="preserve">– </w:t>
      </w:r>
      <w:hyperlink r:id="rId8" w:history="1"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  <w:lang w:val="en-US"/>
          </w:rPr>
          <w:t>http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</w:rPr>
          <w:t>://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  <w:lang w:val="en-US"/>
          </w:rPr>
          <w:t>en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</w:rPr>
          <w:t>.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  <w:lang w:val="en-US"/>
          </w:rPr>
          <w:t>people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</w:rPr>
          <w:t>.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  <w:lang w:val="en-US"/>
          </w:rPr>
          <w:t>cn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</w:rPr>
          <w:t>/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  <w:lang w:val="en-US"/>
          </w:rPr>
          <w:t>n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</w:rPr>
          <w:t>3/2024/0409/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  <w:lang w:val="en-US"/>
          </w:rPr>
          <w:t>c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</w:rPr>
          <w:t>90000-20154617.</w:t>
        </w:r>
        <w:r w:rsidRPr="00960C93">
          <w:rPr>
            <w:rStyle w:val="aa"/>
            <w:bCs/>
            <w:color w:val="auto"/>
            <w:kern w:val="36"/>
            <w:sz w:val="20"/>
            <w:szCs w:val="20"/>
            <w:u w:val="none"/>
            <w:lang w:val="en-US"/>
          </w:rPr>
          <w:t>html</w:t>
        </w:r>
      </w:hyperlink>
    </w:p>
  </w:footnote>
  <w:footnote w:id="10">
    <w:p w:rsidR="00960C93" w:rsidRPr="00960C93" w:rsidRDefault="00960C93" w:rsidP="00B94A4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 w:rsidR="00B94A48" w:rsidRPr="00B94A48">
        <w:rPr>
          <w:i/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i/>
          <w:sz w:val="20"/>
          <w:szCs w:val="20"/>
          <w:shd w:val="clear" w:color="auto" w:fill="FFFFFF"/>
          <w:lang w:val="en-US"/>
        </w:rPr>
        <w:t>Hou</w:t>
      </w:r>
      <w:r>
        <w:rPr>
          <w:i/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i/>
          <w:sz w:val="20"/>
          <w:szCs w:val="20"/>
          <w:shd w:val="clear" w:color="auto" w:fill="FFFFFF"/>
          <w:lang w:val="en-US"/>
        </w:rPr>
        <w:t>Liqiang</w:t>
      </w:r>
      <w:r w:rsidRPr="00960C93">
        <w:rPr>
          <w:sz w:val="20"/>
          <w:szCs w:val="20"/>
          <w:shd w:val="clear" w:color="auto" w:fill="FFFFFF"/>
          <w:lang w:val="en-US"/>
        </w:rPr>
        <w:t>.</w:t>
      </w:r>
      <w:r>
        <w:rPr>
          <w:sz w:val="20"/>
          <w:szCs w:val="20"/>
          <w:shd w:val="clear" w:color="auto" w:fill="FFFFFF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Trade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volume,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prices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trending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upward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in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China's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carbon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trading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market.</w:t>
      </w:r>
      <w:r>
        <w:rPr>
          <w:kern w:val="36"/>
          <w:sz w:val="20"/>
          <w:szCs w:val="20"/>
          <w:lang w:val="en-US"/>
        </w:rPr>
        <w:t xml:space="preserve"> –</w:t>
      </w:r>
      <w:r w:rsidRPr="00960C93">
        <w:rPr>
          <w:kern w:val="36"/>
          <w:sz w:val="20"/>
          <w:szCs w:val="20"/>
          <w:lang w:val="en-US"/>
        </w:rPr>
        <w:t xml:space="preserve"> </w:t>
      </w:r>
      <w:hyperlink r:id="rId9" w:history="1">
        <w:r w:rsidRPr="00960C93">
          <w:rPr>
            <w:rStyle w:val="aa"/>
            <w:color w:val="auto"/>
            <w:kern w:val="36"/>
            <w:sz w:val="20"/>
            <w:szCs w:val="20"/>
            <w:u w:val="none"/>
            <w:lang w:val="en-US"/>
          </w:rPr>
          <w:t>https://www.chinadaily.com.cn/a/202402/26/WS65dc57e1a31082fc043b9252.html</w:t>
        </w:r>
      </w:hyperlink>
    </w:p>
  </w:footnote>
  <w:footnote w:id="11">
    <w:p w:rsidR="00960C93" w:rsidRPr="00960C93" w:rsidRDefault="00960C93" w:rsidP="00B94A4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 w:rsidR="00B94A48">
        <w:rPr>
          <w:i/>
          <w:sz w:val="20"/>
          <w:szCs w:val="20"/>
        </w:rPr>
        <w:t xml:space="preserve"> </w:t>
      </w:r>
      <w:r w:rsidRPr="00960C93">
        <w:rPr>
          <w:i/>
          <w:sz w:val="20"/>
          <w:szCs w:val="20"/>
          <w:lang w:val="en-US"/>
        </w:rPr>
        <w:t>Hou</w:t>
      </w:r>
      <w:r>
        <w:rPr>
          <w:i/>
          <w:sz w:val="20"/>
          <w:szCs w:val="20"/>
          <w:lang w:val="en-US"/>
        </w:rPr>
        <w:t xml:space="preserve"> </w:t>
      </w:r>
      <w:r w:rsidRPr="00960C93">
        <w:rPr>
          <w:i/>
          <w:sz w:val="20"/>
          <w:szCs w:val="20"/>
          <w:lang w:val="en-US"/>
        </w:rPr>
        <w:t>Liqiang</w:t>
      </w:r>
      <w:r w:rsidRPr="00960C9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Carbon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budget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management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system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to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be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set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up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at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provincial,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prefecture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levels.</w:t>
      </w:r>
      <w:r>
        <w:rPr>
          <w:kern w:val="36"/>
          <w:sz w:val="20"/>
          <w:szCs w:val="20"/>
          <w:lang w:val="en-US"/>
        </w:rPr>
        <w:t xml:space="preserve"> – </w:t>
      </w:r>
      <w:hyperlink r:id="rId10" w:history="1">
        <w:r w:rsidRPr="00960C93">
          <w:rPr>
            <w:rStyle w:val="aa"/>
            <w:color w:val="auto"/>
            <w:kern w:val="36"/>
            <w:sz w:val="20"/>
            <w:szCs w:val="20"/>
            <w:u w:val="none"/>
            <w:lang w:val="en-US"/>
          </w:rPr>
          <w:t>https://www.</w:t>
        </w:r>
        <w:r w:rsidRPr="00B94A48">
          <w:rPr>
            <w:i/>
            <w:shd w:val="clear" w:color="auto" w:fill="FFFFFF"/>
          </w:rPr>
          <w:t>chinadaily</w:t>
        </w:r>
        <w:r w:rsidRPr="00960C93">
          <w:rPr>
            <w:rStyle w:val="aa"/>
            <w:color w:val="auto"/>
            <w:kern w:val="36"/>
            <w:sz w:val="20"/>
            <w:szCs w:val="20"/>
            <w:u w:val="none"/>
            <w:lang w:val="en-US"/>
          </w:rPr>
          <w:t>.com.cn/a/202403/06/WS65e7b83fa31082fc043bada0.html</w:t>
        </w:r>
      </w:hyperlink>
    </w:p>
  </w:footnote>
  <w:footnote w:id="12">
    <w:p w:rsidR="00960C93" w:rsidRPr="00B94A48" w:rsidRDefault="00960C93" w:rsidP="00B94A4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60C93">
        <w:rPr>
          <w:rStyle w:val="a6"/>
          <w:sz w:val="20"/>
          <w:szCs w:val="20"/>
        </w:rPr>
        <w:footnoteRef/>
      </w:r>
      <w:r w:rsidR="00B94A48" w:rsidRPr="00B94A48">
        <w:rPr>
          <w:i/>
          <w:sz w:val="20"/>
          <w:szCs w:val="20"/>
          <w:shd w:val="clear" w:color="auto" w:fill="FFFFFF"/>
          <w:lang w:val="en-US"/>
        </w:rPr>
        <w:t xml:space="preserve"> </w:t>
      </w:r>
      <w:r w:rsidRPr="00B94A48">
        <w:rPr>
          <w:sz w:val="20"/>
          <w:szCs w:val="20"/>
          <w:shd w:val="clear" w:color="auto" w:fill="FFFFFF"/>
          <w:lang w:val="en-US"/>
        </w:rPr>
        <w:t>Nation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seeks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win-win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for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carbon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reduction.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 xml:space="preserve">– </w:t>
      </w:r>
      <w:hyperlink r:id="rId11" w:history="1">
        <w:r w:rsidRPr="00960C93">
          <w:rPr>
            <w:rStyle w:val="aa"/>
            <w:color w:val="auto"/>
            <w:kern w:val="36"/>
            <w:sz w:val="20"/>
            <w:szCs w:val="20"/>
            <w:u w:val="none"/>
            <w:lang w:val="en-US"/>
          </w:rPr>
          <w:t>https://www.chinadaily.com.cn/a/202404/03/WS660cb406a31082fc043c02f0.html</w:t>
        </w:r>
      </w:hyperlink>
    </w:p>
  </w:footnote>
  <w:footnote w:id="13">
    <w:p w:rsidR="00960C93" w:rsidRPr="00B94A48" w:rsidRDefault="00960C93" w:rsidP="00B94A4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60C93">
        <w:rPr>
          <w:rStyle w:val="a6"/>
          <w:sz w:val="20"/>
          <w:szCs w:val="20"/>
        </w:rPr>
        <w:footnoteRef/>
      </w:r>
      <w:r w:rsidR="00B94A48" w:rsidRPr="00B94A48">
        <w:rPr>
          <w:sz w:val="20"/>
          <w:szCs w:val="20"/>
          <w:shd w:val="clear" w:color="auto" w:fill="FFFFFF"/>
          <w:lang w:val="en-US"/>
        </w:rPr>
        <w:t xml:space="preserve"> </w:t>
      </w:r>
      <w:r w:rsidRPr="00B94A48">
        <w:rPr>
          <w:sz w:val="20"/>
          <w:szCs w:val="20"/>
          <w:shd w:val="clear" w:color="auto" w:fill="FFFFFF"/>
          <w:lang w:val="en-US"/>
        </w:rPr>
        <w:t>China's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energy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transition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fueling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green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productive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forces.</w:t>
      </w:r>
      <w:r>
        <w:rPr>
          <w:bCs/>
          <w:kern w:val="36"/>
          <w:sz w:val="20"/>
          <w:szCs w:val="20"/>
          <w:lang w:val="en-US"/>
        </w:rPr>
        <w:t xml:space="preserve"> </w:t>
      </w:r>
      <w:r w:rsidRPr="00960C93">
        <w:rPr>
          <w:bCs/>
          <w:kern w:val="36"/>
          <w:sz w:val="20"/>
          <w:szCs w:val="20"/>
          <w:lang w:val="en-US"/>
        </w:rPr>
        <w:t>– http://en.people.cn/n3/2024/0301/c90000-20139287.html</w:t>
      </w:r>
    </w:p>
  </w:footnote>
  <w:footnote w:id="14">
    <w:p w:rsidR="00960C93" w:rsidRPr="00B94A48" w:rsidRDefault="00960C93" w:rsidP="00B94A4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60C93">
        <w:rPr>
          <w:rStyle w:val="a6"/>
          <w:sz w:val="20"/>
          <w:szCs w:val="20"/>
        </w:rPr>
        <w:footnoteRef/>
      </w:r>
      <w:r w:rsidR="00B94A48" w:rsidRPr="00B94A48">
        <w:rPr>
          <w:sz w:val="20"/>
          <w:szCs w:val="20"/>
          <w:shd w:val="clear" w:color="auto" w:fill="FFFFFF"/>
          <w:lang w:val="en-US"/>
        </w:rPr>
        <w:t xml:space="preserve"> </w:t>
      </w:r>
      <w:r w:rsidRPr="00B94A48">
        <w:rPr>
          <w:sz w:val="20"/>
          <w:szCs w:val="20"/>
          <w:shd w:val="clear" w:color="auto" w:fill="FFFFFF"/>
          <w:lang w:val="en-US"/>
        </w:rPr>
        <w:t>Multinationals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embrace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new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opportunities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created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by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China's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green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transition.</w:t>
      </w:r>
      <w:r>
        <w:rPr>
          <w:kern w:val="36"/>
          <w:sz w:val="20"/>
          <w:szCs w:val="20"/>
          <w:lang w:val="en-US"/>
        </w:rPr>
        <w:t xml:space="preserve"> –</w:t>
      </w:r>
      <w:r w:rsidRPr="00960C93">
        <w:rPr>
          <w:kern w:val="36"/>
          <w:sz w:val="20"/>
          <w:szCs w:val="20"/>
          <w:lang w:val="en-US"/>
        </w:rPr>
        <w:t xml:space="preserve"> </w:t>
      </w:r>
      <w:hyperlink r:id="rId12" w:history="1">
        <w:r w:rsidRPr="00960C93">
          <w:rPr>
            <w:rStyle w:val="aa"/>
            <w:color w:val="auto"/>
            <w:kern w:val="36"/>
            <w:sz w:val="20"/>
            <w:szCs w:val="20"/>
            <w:u w:val="none"/>
            <w:lang w:val="en-US"/>
          </w:rPr>
          <w:t>https://www.chinadaily.com.cn/a/202404/02/WS660bc09ea31082fc043c007d.html</w:t>
        </w:r>
      </w:hyperlink>
    </w:p>
  </w:footnote>
  <w:footnote w:id="15">
    <w:p w:rsidR="00960C93" w:rsidRPr="00960C93" w:rsidRDefault="00960C93" w:rsidP="00B94A4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 w:rsidR="00B94A48">
        <w:rPr>
          <w:i/>
          <w:sz w:val="20"/>
          <w:szCs w:val="20"/>
        </w:rPr>
        <w:t xml:space="preserve"> </w:t>
      </w:r>
      <w:r w:rsidRPr="00960C93">
        <w:rPr>
          <w:i/>
          <w:sz w:val="20"/>
          <w:szCs w:val="20"/>
          <w:lang w:val="en-US"/>
        </w:rPr>
        <w:t>Hou</w:t>
      </w:r>
      <w:r>
        <w:rPr>
          <w:i/>
          <w:sz w:val="20"/>
          <w:szCs w:val="20"/>
          <w:lang w:val="en-US"/>
        </w:rPr>
        <w:t xml:space="preserve"> </w:t>
      </w:r>
      <w:r w:rsidRPr="00960C93">
        <w:rPr>
          <w:i/>
          <w:sz w:val="20"/>
          <w:szCs w:val="20"/>
          <w:lang w:val="en-US"/>
        </w:rPr>
        <w:t>Liqiang.</w:t>
      </w:r>
      <w:r>
        <w:rPr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Carbon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budget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management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system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to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be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set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up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at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provincial,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prefecture</w:t>
      </w:r>
      <w:r>
        <w:rPr>
          <w:kern w:val="36"/>
          <w:sz w:val="20"/>
          <w:szCs w:val="20"/>
          <w:lang w:val="en-US"/>
        </w:rPr>
        <w:t xml:space="preserve"> </w:t>
      </w:r>
      <w:r w:rsidRPr="00960C93">
        <w:rPr>
          <w:kern w:val="36"/>
          <w:sz w:val="20"/>
          <w:szCs w:val="20"/>
          <w:lang w:val="en-US"/>
        </w:rPr>
        <w:t>levels.</w:t>
      </w:r>
      <w:r>
        <w:rPr>
          <w:kern w:val="36"/>
          <w:sz w:val="20"/>
          <w:szCs w:val="20"/>
          <w:lang w:val="en-US"/>
        </w:rPr>
        <w:t xml:space="preserve"> – </w:t>
      </w:r>
      <w:hyperlink r:id="rId13" w:history="1">
        <w:r w:rsidRPr="00960C93">
          <w:rPr>
            <w:rStyle w:val="aa"/>
            <w:color w:val="auto"/>
            <w:kern w:val="36"/>
            <w:sz w:val="20"/>
            <w:szCs w:val="20"/>
            <w:u w:val="none"/>
            <w:lang w:val="en-US"/>
          </w:rPr>
          <w:t>https://www.chinadaily.com.cn/a/202403/06/WS65e7b83fa31082fc043bada0.html</w:t>
        </w:r>
      </w:hyperlink>
    </w:p>
  </w:footnote>
  <w:footnote w:id="16">
    <w:p w:rsidR="00960C93" w:rsidRPr="00960C93" w:rsidRDefault="00960C93" w:rsidP="00960C93">
      <w:pPr>
        <w:pStyle w:val="ad"/>
        <w:ind w:firstLine="709"/>
        <w:jc w:val="both"/>
        <w:rPr>
          <w:lang w:val="en-US"/>
        </w:rPr>
      </w:pPr>
      <w:r w:rsidRPr="00960C93">
        <w:rPr>
          <w:rStyle w:val="a6"/>
        </w:rPr>
        <w:footnoteRef/>
      </w:r>
      <w:r w:rsidR="00B94A48" w:rsidRPr="00B94A48">
        <w:rPr>
          <w:bCs/>
          <w:lang w:val="en-US"/>
        </w:rPr>
        <w:t xml:space="preserve"> </w:t>
      </w:r>
      <w:r w:rsidRPr="00960C93">
        <w:rPr>
          <w:bCs/>
          <w:lang w:val="en-US"/>
        </w:rPr>
        <w:t>Financing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a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fresh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green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future.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 xml:space="preserve">– </w:t>
      </w:r>
      <w:hyperlink r:id="rId14" w:history="1">
        <w:r w:rsidRPr="00960C93">
          <w:rPr>
            <w:rStyle w:val="aa"/>
            <w:bCs/>
            <w:color w:val="auto"/>
            <w:u w:val="none"/>
            <w:lang w:val="en-US"/>
          </w:rPr>
          <w:t>https://www.bjreview.com/Opinion/Voice/202404/t20240407_800362343.html</w:t>
        </w:r>
      </w:hyperlink>
    </w:p>
  </w:footnote>
  <w:footnote w:id="17">
    <w:p w:rsidR="00960C93" w:rsidRPr="00960C93" w:rsidRDefault="00960C93" w:rsidP="00960C93">
      <w:pPr>
        <w:pStyle w:val="ad"/>
        <w:ind w:firstLine="709"/>
        <w:jc w:val="both"/>
        <w:rPr>
          <w:lang w:val="en-US"/>
        </w:rPr>
      </w:pPr>
      <w:r w:rsidRPr="00960C93">
        <w:rPr>
          <w:rStyle w:val="a6"/>
        </w:rPr>
        <w:footnoteRef/>
      </w:r>
      <w:r w:rsidR="00B94A48" w:rsidRPr="00B94A48">
        <w:rPr>
          <w:bCs/>
          <w:lang w:val="en-US"/>
        </w:rPr>
        <w:t xml:space="preserve"> </w:t>
      </w:r>
      <w:r w:rsidRPr="00960C93">
        <w:rPr>
          <w:bCs/>
          <w:lang w:val="en-US"/>
        </w:rPr>
        <w:t>Fine-tuned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carbon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trading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regulation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accelerates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China's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green</w:t>
      </w:r>
      <w:r>
        <w:rPr>
          <w:bCs/>
          <w:lang w:val="en-US"/>
        </w:rPr>
        <w:t xml:space="preserve"> </w:t>
      </w:r>
      <w:r w:rsidRPr="00960C93">
        <w:rPr>
          <w:bCs/>
          <w:lang w:val="en-US"/>
        </w:rPr>
        <w:t>transition.</w:t>
      </w:r>
      <w:r>
        <w:rPr>
          <w:bCs/>
          <w:lang w:val="en-US"/>
        </w:rPr>
        <w:t xml:space="preserve"> – </w:t>
      </w:r>
      <w:hyperlink r:id="rId15" w:history="1">
        <w:r w:rsidRPr="00960C93">
          <w:rPr>
            <w:rStyle w:val="aa"/>
            <w:bCs/>
            <w:color w:val="auto"/>
            <w:u w:val="none"/>
            <w:lang w:val="en-US"/>
          </w:rPr>
          <w:t>https://www.bjreview.com/China/202402/t20240227_800357732.html</w:t>
        </w:r>
      </w:hyperlink>
    </w:p>
  </w:footnote>
  <w:footnote w:id="18">
    <w:p w:rsidR="00960C93" w:rsidRPr="00960C93" w:rsidRDefault="00960C93" w:rsidP="00B94A48">
      <w:pPr>
        <w:shd w:val="clear" w:color="auto" w:fill="FFFFFF"/>
        <w:spacing w:after="0" w:line="240" w:lineRule="auto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 w:rsidR="00B94A48">
        <w:rPr>
          <w:rFonts w:eastAsia="Times New Roman"/>
          <w:i/>
          <w:sz w:val="20"/>
          <w:szCs w:val="20"/>
          <w:lang w:eastAsia="ru-RU"/>
        </w:rPr>
        <w:t xml:space="preserve"> </w:t>
      </w:r>
      <w:r w:rsidRPr="00960C93">
        <w:rPr>
          <w:rFonts w:eastAsia="Times New Roman"/>
          <w:i/>
          <w:sz w:val="20"/>
          <w:szCs w:val="20"/>
          <w:lang w:val="en-US" w:eastAsia="ru-RU"/>
        </w:rPr>
        <w:t>Xu</w:t>
      </w:r>
      <w:r>
        <w:rPr>
          <w:rFonts w:eastAsia="Times New Roman"/>
          <w:i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i/>
          <w:sz w:val="20"/>
          <w:szCs w:val="20"/>
          <w:lang w:val="en-US" w:eastAsia="ru-RU"/>
        </w:rPr>
        <w:t>Zhong.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Green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roadmap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key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to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new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development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>paradigm.</w:t>
      </w:r>
      <w:r>
        <w:rPr>
          <w:rFonts w:eastAsia="Times New Roman"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kern w:val="36"/>
          <w:sz w:val="20"/>
          <w:szCs w:val="20"/>
          <w:lang w:val="en-US" w:eastAsia="ru-RU"/>
        </w:rPr>
        <w:t xml:space="preserve">– </w:t>
      </w:r>
      <w:hyperlink r:id="rId16" w:history="1">
        <w:r w:rsidRPr="00960C93">
          <w:rPr>
            <w:rStyle w:val="aa"/>
            <w:rFonts w:eastAsia="Times New Roman"/>
            <w:color w:val="auto"/>
            <w:kern w:val="36"/>
            <w:sz w:val="20"/>
            <w:szCs w:val="20"/>
            <w:u w:val="none"/>
            <w:lang w:val="en-US" w:eastAsia="ru-RU"/>
          </w:rPr>
          <w:t>https://www.chinadaily.com.cn/a/202306/19/WS648fa66ea31033ad3f7bcf6c.html</w:t>
        </w:r>
      </w:hyperlink>
    </w:p>
  </w:footnote>
  <w:footnote w:id="19">
    <w:p w:rsidR="00960C93" w:rsidRPr="00B94A48" w:rsidRDefault="00960C93" w:rsidP="00960C93">
      <w:pPr>
        <w:shd w:val="clear" w:color="auto" w:fill="FFFFFF"/>
        <w:spacing w:after="0" w:line="240" w:lineRule="auto"/>
        <w:ind w:firstLine="709"/>
        <w:jc w:val="both"/>
        <w:rPr>
          <w:sz w:val="20"/>
          <w:szCs w:val="20"/>
        </w:rPr>
      </w:pPr>
      <w:r w:rsidRPr="00960C93">
        <w:rPr>
          <w:rStyle w:val="a6"/>
          <w:sz w:val="20"/>
          <w:szCs w:val="20"/>
        </w:rPr>
        <w:footnoteRef/>
      </w:r>
      <w:r w:rsidR="00B94A48" w:rsidRPr="00B94A48"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China's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2024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energy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strategy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aims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to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boost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green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transition,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ensure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energy</w:t>
      </w:r>
      <w:r>
        <w:rPr>
          <w:rFonts w:eastAsia="Times New Roman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sz w:val="20"/>
          <w:szCs w:val="20"/>
          <w:lang w:val="en-US" w:eastAsia="ru-RU"/>
        </w:rPr>
        <w:t>security.</w:t>
      </w:r>
      <w:r>
        <w:rPr>
          <w:rFonts w:eastAsia="Times New Roman"/>
          <w:sz w:val="20"/>
          <w:szCs w:val="20"/>
          <w:lang w:val="en-US" w:eastAsia="ru-RU"/>
        </w:rPr>
        <w:t xml:space="preserve"> – </w:t>
      </w:r>
      <w:hyperlink r:id="rId17" w:history="1">
        <w:r w:rsidRPr="00960C93">
          <w:rPr>
            <w:rStyle w:val="aa"/>
            <w:rFonts w:eastAsia="Times New Roman"/>
            <w:color w:val="auto"/>
            <w:sz w:val="20"/>
            <w:szCs w:val="20"/>
            <w:u w:val="none"/>
            <w:lang w:val="en-US" w:eastAsia="ru-RU"/>
          </w:rPr>
          <w:t>https://www.globaltimes.cn/page/202403/1309365.shtml</w:t>
        </w:r>
      </w:hyperlink>
    </w:p>
  </w:footnote>
  <w:footnote w:id="20">
    <w:p w:rsidR="00960C93" w:rsidRPr="00A81671" w:rsidRDefault="00960C93" w:rsidP="00A81671">
      <w:pPr>
        <w:shd w:val="clear" w:color="auto" w:fill="FFFFFF"/>
        <w:spacing w:after="0" w:line="240" w:lineRule="auto"/>
        <w:ind w:firstLine="709"/>
        <w:jc w:val="both"/>
        <w:rPr>
          <w:sz w:val="20"/>
          <w:szCs w:val="20"/>
          <w:lang w:val="en-US"/>
        </w:rPr>
      </w:pPr>
      <w:r w:rsidRPr="00960C93">
        <w:rPr>
          <w:rStyle w:val="a6"/>
          <w:sz w:val="20"/>
          <w:szCs w:val="20"/>
        </w:rPr>
        <w:footnoteRef/>
      </w:r>
      <w:r w:rsidR="00A81671" w:rsidRPr="00A81671"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kern w:val="36"/>
          <w:sz w:val="20"/>
          <w:szCs w:val="20"/>
          <w:lang w:val="en-US" w:eastAsia="ru-RU"/>
        </w:rPr>
        <w:t>China</w:t>
      </w:r>
      <w:r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kern w:val="36"/>
          <w:sz w:val="20"/>
          <w:szCs w:val="20"/>
          <w:lang w:val="en-US" w:eastAsia="ru-RU"/>
        </w:rPr>
        <w:t>to</w:t>
      </w:r>
      <w:r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kern w:val="36"/>
          <w:sz w:val="20"/>
          <w:szCs w:val="20"/>
          <w:lang w:val="en-US" w:eastAsia="ru-RU"/>
        </w:rPr>
        <w:t>step</w:t>
      </w:r>
      <w:r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kern w:val="36"/>
          <w:sz w:val="20"/>
          <w:szCs w:val="20"/>
          <w:lang w:val="en-US" w:eastAsia="ru-RU"/>
        </w:rPr>
        <w:t>up</w:t>
      </w:r>
      <w:r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kern w:val="36"/>
          <w:sz w:val="20"/>
          <w:szCs w:val="20"/>
          <w:lang w:val="en-US" w:eastAsia="ru-RU"/>
        </w:rPr>
        <w:t>financial</w:t>
      </w:r>
      <w:r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kern w:val="36"/>
          <w:sz w:val="20"/>
          <w:szCs w:val="20"/>
          <w:lang w:val="en-US" w:eastAsia="ru-RU"/>
        </w:rPr>
        <w:t>support</w:t>
      </w:r>
      <w:r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kern w:val="36"/>
          <w:sz w:val="20"/>
          <w:szCs w:val="20"/>
          <w:lang w:val="en-US" w:eastAsia="ru-RU"/>
        </w:rPr>
        <w:t>for</w:t>
      </w:r>
      <w:r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kern w:val="36"/>
          <w:sz w:val="20"/>
          <w:szCs w:val="20"/>
          <w:lang w:val="en-US" w:eastAsia="ru-RU"/>
        </w:rPr>
        <w:t>green</w:t>
      </w:r>
      <w:r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Pr="00960C93">
        <w:rPr>
          <w:rFonts w:eastAsia="Times New Roman"/>
          <w:bCs/>
          <w:kern w:val="36"/>
          <w:sz w:val="20"/>
          <w:szCs w:val="20"/>
          <w:lang w:val="en-US" w:eastAsia="ru-RU"/>
        </w:rPr>
        <w:t>development.</w:t>
      </w:r>
      <w:r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 </w:t>
      </w:r>
      <w:r w:rsidR="00A81671" w:rsidRPr="00A81671">
        <w:rPr>
          <w:rFonts w:eastAsia="Times New Roman"/>
          <w:bCs/>
          <w:kern w:val="36"/>
          <w:sz w:val="20"/>
          <w:szCs w:val="20"/>
          <w:lang w:val="en-US" w:eastAsia="ru-RU"/>
        </w:rPr>
        <w:t xml:space="preserve">– </w:t>
      </w:r>
      <w:hyperlink r:id="rId18" w:history="1">
        <w:r w:rsidRPr="00A81671">
          <w:rPr>
            <w:rStyle w:val="aa"/>
            <w:rFonts w:eastAsia="Times New Roman"/>
            <w:bCs/>
            <w:color w:val="auto"/>
            <w:kern w:val="36"/>
            <w:sz w:val="20"/>
            <w:szCs w:val="20"/>
            <w:u w:val="none"/>
            <w:lang w:val="en-US" w:eastAsia="ru-RU"/>
          </w:rPr>
          <w:t>http://www.china.org.cn/business/2024-04/11/content_117118248.htm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C93" w:rsidRPr="00960C93" w:rsidRDefault="00960C93" w:rsidP="00960C93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40"/>
  <w:displayHorizont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2A3F90"/>
    <w:rsid w:val="00022916"/>
    <w:rsid w:val="00037394"/>
    <w:rsid w:val="000E3E95"/>
    <w:rsid w:val="00144C3A"/>
    <w:rsid w:val="001547C7"/>
    <w:rsid w:val="001633C9"/>
    <w:rsid w:val="0020431D"/>
    <w:rsid w:val="002116AE"/>
    <w:rsid w:val="00273078"/>
    <w:rsid w:val="002A3F90"/>
    <w:rsid w:val="002B0121"/>
    <w:rsid w:val="002B1D23"/>
    <w:rsid w:val="00331242"/>
    <w:rsid w:val="003B5C84"/>
    <w:rsid w:val="0048635F"/>
    <w:rsid w:val="0061499D"/>
    <w:rsid w:val="00675603"/>
    <w:rsid w:val="006A687C"/>
    <w:rsid w:val="00700AEC"/>
    <w:rsid w:val="00761C46"/>
    <w:rsid w:val="00861F62"/>
    <w:rsid w:val="0087676B"/>
    <w:rsid w:val="008B49E6"/>
    <w:rsid w:val="008B5341"/>
    <w:rsid w:val="00960C93"/>
    <w:rsid w:val="0097779C"/>
    <w:rsid w:val="0098244B"/>
    <w:rsid w:val="009A4E47"/>
    <w:rsid w:val="009D027C"/>
    <w:rsid w:val="009E7A34"/>
    <w:rsid w:val="00A461FB"/>
    <w:rsid w:val="00A65476"/>
    <w:rsid w:val="00A81671"/>
    <w:rsid w:val="00AB6876"/>
    <w:rsid w:val="00AF6D22"/>
    <w:rsid w:val="00B94A48"/>
    <w:rsid w:val="00C467C4"/>
    <w:rsid w:val="00CB4EEF"/>
    <w:rsid w:val="00D56327"/>
    <w:rsid w:val="00D568DC"/>
    <w:rsid w:val="00DE66CF"/>
    <w:rsid w:val="00E108F1"/>
    <w:rsid w:val="00E321F8"/>
    <w:rsid w:val="00ED3394"/>
    <w:rsid w:val="00F3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90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A3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2A3F9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A3F90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A3F90"/>
    <w:rPr>
      <w:vertAlign w:val="superscript"/>
    </w:rPr>
  </w:style>
  <w:style w:type="character" w:styleId="a6">
    <w:name w:val="footnote reference"/>
    <w:basedOn w:val="a0"/>
    <w:uiPriority w:val="99"/>
    <w:semiHidden/>
    <w:unhideWhenUsed/>
    <w:rsid w:val="002A3F9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A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3F90"/>
    <w:rPr>
      <w:rFonts w:ascii="Times New Roman" w:hAnsi="Times New Roman" w:cs="Times New Roman"/>
      <w:sz w:val="28"/>
      <w:szCs w:val="28"/>
    </w:rPr>
  </w:style>
  <w:style w:type="paragraph" w:styleId="a9">
    <w:name w:val="Normal (Web)"/>
    <w:basedOn w:val="a"/>
    <w:uiPriority w:val="99"/>
    <w:unhideWhenUsed/>
    <w:rsid w:val="002A3F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A3F90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97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779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F33BD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33BD1"/>
    <w:rPr>
      <w:rFonts w:ascii="Times New Roman" w:hAnsi="Times New Roman" w:cs="Times New Roman"/>
      <w:sz w:val="20"/>
      <w:szCs w:val="20"/>
    </w:rPr>
  </w:style>
  <w:style w:type="character" w:customStyle="1" w:styleId="ezkurwreuab5ozgtqnkl">
    <w:name w:val="ezkurwreuab5ozgtqnkl"/>
    <w:basedOn w:val="a0"/>
    <w:rsid w:val="00DE6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mail.ru/company/bri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.mail.ru/company/ea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n.people.cn/n3/2024/0409/c90000-20154617.html" TargetMode="External"/><Relationship Id="rId13" Type="http://schemas.openxmlformats.org/officeDocument/2006/relationships/hyperlink" Target="https://www.chinadaily.com.cn/a/202403/06/WS65e7b83fa31082fc043bada0.html" TargetMode="External"/><Relationship Id="rId18" Type="http://schemas.openxmlformats.org/officeDocument/2006/relationships/hyperlink" Target="http://www.china.org.cn/business/2024-04/11/content_117118248.htm" TargetMode="External"/><Relationship Id="rId3" Type="http://schemas.openxmlformats.org/officeDocument/2006/relationships/hyperlink" Target="https://www.bjreview.com/Latest_Headlines/202210/t20221028_800312010.html" TargetMode="External"/><Relationship Id="rId7" Type="http://schemas.openxmlformats.org/officeDocument/2006/relationships/hyperlink" Target="http://en.people.cn/n3/2024/0224/c90000-20136683.html" TargetMode="External"/><Relationship Id="rId12" Type="http://schemas.openxmlformats.org/officeDocument/2006/relationships/hyperlink" Target="https://www.chinadaily.com.cn/a/202404/02/WS660bc09ea31082fc043c007d.html" TargetMode="External"/><Relationship Id="rId17" Type="http://schemas.openxmlformats.org/officeDocument/2006/relationships/hyperlink" Target="https://www.globaltimes.cn/page/202403/1309365.shtml" TargetMode="External"/><Relationship Id="rId2" Type="http://schemas.openxmlformats.org/officeDocument/2006/relationships/hyperlink" Target="https://www.chinadaily.com.cn/a/202210/28/WS635b31c9a310fd2b29e7f015.html" TargetMode="External"/><Relationship Id="rId16" Type="http://schemas.openxmlformats.org/officeDocument/2006/relationships/hyperlink" Target="https://www.chinadaily.com.cn/a/202306/19/WS648fa66ea31033ad3f7bcf6c.html" TargetMode="External"/><Relationship Id="rId1" Type="http://schemas.openxmlformats.org/officeDocument/2006/relationships/hyperlink" Target="https://www.chinadaily.com.cn/a/202312/28/WS658cf072a31040ac301a9f2f.html" TargetMode="External"/><Relationship Id="rId6" Type="http://schemas.openxmlformats.org/officeDocument/2006/relationships/hyperlink" Target="https://www.chinadaily.com.cn/a/202310/28/WS653c48c0a31090682a5eb31a.html" TargetMode="External"/><Relationship Id="rId11" Type="http://schemas.openxmlformats.org/officeDocument/2006/relationships/hyperlink" Target="https://www.chinadaily.com.cn/a/202404/03/WS660cb406a31082fc043c02f0.html" TargetMode="External"/><Relationship Id="rId5" Type="http://schemas.openxmlformats.org/officeDocument/2006/relationships/hyperlink" Target="https://www.chinadaily.com.cn/a/202402/26/WS65dc57e1a31082fc043b9252.html" TargetMode="External"/><Relationship Id="rId15" Type="http://schemas.openxmlformats.org/officeDocument/2006/relationships/hyperlink" Target="https://www.bjreview.com/China/202402/t20240227_800357732.html" TargetMode="External"/><Relationship Id="rId10" Type="http://schemas.openxmlformats.org/officeDocument/2006/relationships/hyperlink" Target="https://www.chinadaily.com.cn/a/202403/06/WS65e7b83fa31082fc043bada0.html" TargetMode="External"/><Relationship Id="rId4" Type="http://schemas.openxmlformats.org/officeDocument/2006/relationships/hyperlink" Target="http://www.bjreview.com/Opinion/Fact_Check/202207/t20220725_800301818.html" TargetMode="External"/><Relationship Id="rId9" Type="http://schemas.openxmlformats.org/officeDocument/2006/relationships/hyperlink" Target="https://www.chinadaily.com.cn/a/202402/26/WS65dc57e1a31082fc043b9252.html" TargetMode="External"/><Relationship Id="rId14" Type="http://schemas.openxmlformats.org/officeDocument/2006/relationships/hyperlink" Target="https://www.bjreview.com/Opinion/Voice/202404/t20240407_8003623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0534-4294-4A51-9C56-8411A6B2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Владимир</cp:lastModifiedBy>
  <cp:revision>5</cp:revision>
  <dcterms:created xsi:type="dcterms:W3CDTF">2024-10-19T15:52:00Z</dcterms:created>
  <dcterms:modified xsi:type="dcterms:W3CDTF">2025-01-18T16:03:00Z</dcterms:modified>
</cp:coreProperties>
</file>