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5F9" w:rsidRPr="00A635F9" w:rsidRDefault="00A635F9" w:rsidP="00A635F9">
      <w:pPr>
        <w:spacing w:line="360" w:lineRule="auto"/>
        <w:ind w:firstLine="709"/>
        <w:jc w:val="both"/>
        <w:rPr>
          <w:b/>
          <w:bCs/>
          <w:i/>
        </w:rPr>
      </w:pPr>
      <w:r w:rsidRPr="00A635F9">
        <w:rPr>
          <w:b/>
          <w:bCs/>
          <w:i/>
        </w:rPr>
        <w:t>Русавская А.В.</w:t>
      </w:r>
    </w:p>
    <w:p w:rsidR="00A635F9" w:rsidRPr="00A635F9" w:rsidRDefault="00A635F9" w:rsidP="00A635F9">
      <w:pPr>
        <w:spacing w:line="360" w:lineRule="auto"/>
        <w:ind w:firstLine="709"/>
        <w:jc w:val="both"/>
        <w:rPr>
          <w:b/>
          <w:bCs/>
        </w:rPr>
      </w:pPr>
      <w:r w:rsidRPr="00A635F9">
        <w:rPr>
          <w:rFonts w:eastAsia="Calibri"/>
        </w:rPr>
        <w:t>д.э.н., профессор, в.н.с. Университета мировых цивилизаций</w:t>
      </w:r>
    </w:p>
    <w:p w:rsidR="00A635F9" w:rsidRPr="00A635F9" w:rsidRDefault="00A635F9" w:rsidP="00A635F9">
      <w:pPr>
        <w:spacing w:line="360" w:lineRule="auto"/>
        <w:ind w:firstLine="709"/>
        <w:jc w:val="both"/>
      </w:pPr>
      <w:hyperlink r:id="rId8" w:history="1">
        <w:r w:rsidRPr="00A635F9">
          <w:rPr>
            <w:rStyle w:val="a4"/>
            <w:color w:val="auto"/>
            <w:u w:val="none"/>
          </w:rPr>
          <w:t>rusavskaya.alewtina@yandex.ru</w:t>
        </w:r>
      </w:hyperlink>
    </w:p>
    <w:p w:rsidR="00A635F9" w:rsidRPr="00A635F9" w:rsidRDefault="00A635F9" w:rsidP="00A635F9">
      <w:pPr>
        <w:spacing w:line="360" w:lineRule="auto"/>
        <w:ind w:firstLine="709"/>
        <w:jc w:val="both"/>
        <w:rPr>
          <w:b/>
          <w:bCs/>
          <w:i/>
        </w:rPr>
      </w:pPr>
      <w:r w:rsidRPr="00A635F9">
        <w:rPr>
          <w:b/>
          <w:bCs/>
          <w:i/>
        </w:rPr>
        <w:t>Спасенов А.Ю.</w:t>
      </w:r>
    </w:p>
    <w:p w:rsidR="00A635F9" w:rsidRPr="00A635F9" w:rsidRDefault="00A635F9" w:rsidP="00A635F9">
      <w:pPr>
        <w:spacing w:line="360" w:lineRule="auto"/>
        <w:ind w:firstLine="709"/>
        <w:jc w:val="both"/>
      </w:pPr>
      <w:r w:rsidRPr="00A635F9">
        <w:t>аспирант,  Университет мировых цивилизаций</w:t>
      </w:r>
    </w:p>
    <w:p w:rsidR="00A635F9" w:rsidRPr="00A635F9" w:rsidRDefault="00A635F9" w:rsidP="00A635F9">
      <w:pPr>
        <w:spacing w:line="360" w:lineRule="auto"/>
        <w:ind w:firstLine="709"/>
        <w:jc w:val="both"/>
      </w:pPr>
      <w:hyperlink r:id="rId9" w:history="1">
        <w:r w:rsidRPr="00A635F9">
          <w:rPr>
            <w:rStyle w:val="a4"/>
            <w:color w:val="auto"/>
            <w:u w:val="none"/>
          </w:rPr>
          <w:t xml:space="preserve"> </w:t>
        </w:r>
        <w:r w:rsidRPr="00A635F9">
          <w:rPr>
            <w:rStyle w:val="a4"/>
            <w:color w:val="auto"/>
            <w:u w:val="none"/>
            <w:lang w:val="en-US"/>
          </w:rPr>
          <w:t>spasionovartemiy</w:t>
        </w:r>
        <w:r w:rsidRPr="00A635F9">
          <w:rPr>
            <w:rStyle w:val="a4"/>
            <w:color w:val="auto"/>
            <w:u w:val="none"/>
          </w:rPr>
          <w:t>@</w:t>
        </w:r>
        <w:r w:rsidRPr="00A635F9">
          <w:rPr>
            <w:rStyle w:val="a4"/>
            <w:color w:val="auto"/>
            <w:u w:val="none"/>
            <w:lang w:val="en-US"/>
          </w:rPr>
          <w:t>mail</w:t>
        </w:r>
        <w:r w:rsidRPr="00A635F9">
          <w:rPr>
            <w:rStyle w:val="a4"/>
            <w:color w:val="auto"/>
            <w:u w:val="none"/>
          </w:rPr>
          <w:t>.</w:t>
        </w:r>
        <w:r w:rsidRPr="00A635F9">
          <w:rPr>
            <w:rStyle w:val="a4"/>
            <w:color w:val="auto"/>
            <w:u w:val="none"/>
            <w:lang w:val="en-US"/>
          </w:rPr>
          <w:t>ru</w:t>
        </w:r>
      </w:hyperlink>
    </w:p>
    <w:p w:rsidR="00A635F9" w:rsidRDefault="00A635F9" w:rsidP="00A635F9">
      <w:pPr>
        <w:spacing w:line="360" w:lineRule="auto"/>
        <w:ind w:firstLine="709"/>
        <w:jc w:val="both"/>
        <w:rPr>
          <w:b/>
          <w:bCs/>
          <w:color w:val="2C2D2E"/>
          <w:shd w:val="clear" w:color="auto" w:fill="FFFFFF"/>
        </w:rPr>
      </w:pPr>
    </w:p>
    <w:p w:rsidR="001B2F1C" w:rsidRPr="00A635F9" w:rsidRDefault="00A635F9" w:rsidP="00A635F9">
      <w:pPr>
        <w:spacing w:line="360" w:lineRule="auto"/>
        <w:ind w:firstLine="709"/>
        <w:jc w:val="center"/>
        <w:rPr>
          <w:b/>
          <w:bCs/>
          <w:color w:val="2C2D2E"/>
          <w:shd w:val="clear" w:color="auto" w:fill="FFFFFF"/>
        </w:rPr>
      </w:pPr>
      <w:r w:rsidRPr="00A635F9">
        <w:rPr>
          <w:b/>
          <w:bCs/>
          <w:color w:val="2C2D2E"/>
          <w:shd w:val="clear" w:color="auto" w:fill="FFFFFF"/>
        </w:rPr>
        <w:t>ВЛИЯНИЕ</w:t>
      </w:r>
      <w:r>
        <w:rPr>
          <w:b/>
          <w:bCs/>
          <w:color w:val="2C2D2E"/>
          <w:shd w:val="clear" w:color="auto" w:fill="FFFFFF"/>
        </w:rPr>
        <w:t xml:space="preserve"> </w:t>
      </w:r>
      <w:r w:rsidRPr="00A635F9">
        <w:rPr>
          <w:b/>
          <w:bCs/>
          <w:color w:val="2C2D2E"/>
          <w:shd w:val="clear" w:color="auto" w:fill="FFFFFF"/>
        </w:rPr>
        <w:t>ЭКОЛОГИЧЕСКОГО</w:t>
      </w:r>
      <w:r>
        <w:rPr>
          <w:b/>
          <w:bCs/>
          <w:color w:val="2C2D2E"/>
          <w:shd w:val="clear" w:color="auto" w:fill="FFFFFF"/>
        </w:rPr>
        <w:t xml:space="preserve"> </w:t>
      </w:r>
      <w:r w:rsidRPr="00A635F9">
        <w:rPr>
          <w:b/>
          <w:bCs/>
          <w:color w:val="2C2D2E"/>
          <w:shd w:val="clear" w:color="auto" w:fill="FFFFFF"/>
        </w:rPr>
        <w:t>МЕЖРЕГИОНАЛЬНОГО</w:t>
      </w:r>
      <w:r>
        <w:rPr>
          <w:b/>
          <w:bCs/>
          <w:color w:val="2C2D2E"/>
          <w:shd w:val="clear" w:color="auto" w:fill="FFFFFF"/>
        </w:rPr>
        <w:t xml:space="preserve"> </w:t>
      </w:r>
      <w:r w:rsidRPr="00A635F9">
        <w:rPr>
          <w:b/>
          <w:bCs/>
          <w:color w:val="2C2D2E"/>
          <w:shd w:val="clear" w:color="auto" w:fill="FFFFFF"/>
        </w:rPr>
        <w:t>СОТРУДНИЧЕСТВА</w:t>
      </w:r>
      <w:r>
        <w:rPr>
          <w:b/>
          <w:bCs/>
          <w:color w:val="2C2D2E"/>
          <w:shd w:val="clear" w:color="auto" w:fill="FFFFFF"/>
        </w:rPr>
        <w:t xml:space="preserve"> </w:t>
      </w:r>
      <w:r w:rsidRPr="00A635F9">
        <w:rPr>
          <w:b/>
          <w:bCs/>
          <w:color w:val="2C2D2E"/>
          <w:shd w:val="clear" w:color="auto" w:fill="FFFFFF"/>
        </w:rPr>
        <w:t>НА</w:t>
      </w:r>
      <w:r>
        <w:rPr>
          <w:b/>
          <w:bCs/>
          <w:color w:val="2C2D2E"/>
          <w:shd w:val="clear" w:color="auto" w:fill="FFFFFF"/>
        </w:rPr>
        <w:t xml:space="preserve"> </w:t>
      </w:r>
      <w:r w:rsidRPr="00A635F9">
        <w:rPr>
          <w:b/>
          <w:bCs/>
          <w:color w:val="2C2D2E"/>
          <w:shd w:val="clear" w:color="auto" w:fill="FFFFFF"/>
        </w:rPr>
        <w:t>ЭКОНОМИКУ</w:t>
      </w:r>
      <w:r>
        <w:rPr>
          <w:b/>
          <w:bCs/>
          <w:color w:val="2C2D2E"/>
          <w:shd w:val="clear" w:color="auto" w:fill="FFFFFF"/>
        </w:rPr>
        <w:t xml:space="preserve"> </w:t>
      </w:r>
      <w:r w:rsidRPr="00A635F9">
        <w:rPr>
          <w:b/>
          <w:bCs/>
          <w:color w:val="2C2D2E"/>
          <w:shd w:val="clear" w:color="auto" w:fill="FFFFFF"/>
        </w:rPr>
        <w:t>РЕГИОНОВ</w:t>
      </w:r>
      <w:r>
        <w:rPr>
          <w:b/>
          <w:bCs/>
          <w:color w:val="2C2D2E"/>
          <w:shd w:val="clear" w:color="auto" w:fill="FFFFFF"/>
        </w:rPr>
        <w:t xml:space="preserve"> </w:t>
      </w:r>
      <w:r w:rsidRPr="00A635F9">
        <w:rPr>
          <w:b/>
          <w:bCs/>
          <w:color w:val="2C2D2E"/>
          <w:shd w:val="clear" w:color="auto" w:fill="FFFFFF"/>
        </w:rPr>
        <w:t>В</w:t>
      </w:r>
      <w:r>
        <w:rPr>
          <w:b/>
          <w:bCs/>
          <w:color w:val="2C2D2E"/>
          <w:shd w:val="clear" w:color="auto" w:fill="FFFFFF"/>
        </w:rPr>
        <w:t xml:space="preserve"> </w:t>
      </w:r>
      <w:r w:rsidRPr="00A635F9">
        <w:rPr>
          <w:b/>
          <w:bCs/>
          <w:color w:val="2C2D2E"/>
          <w:shd w:val="clear" w:color="auto" w:fill="FFFFFF"/>
        </w:rPr>
        <w:t>СОВРЕМЕННЫХ</w:t>
      </w:r>
      <w:r>
        <w:rPr>
          <w:b/>
          <w:bCs/>
          <w:color w:val="2C2D2E"/>
          <w:shd w:val="clear" w:color="auto" w:fill="FFFFFF"/>
        </w:rPr>
        <w:t xml:space="preserve"> </w:t>
      </w:r>
      <w:r w:rsidRPr="00A635F9">
        <w:rPr>
          <w:b/>
          <w:bCs/>
          <w:color w:val="2C2D2E"/>
          <w:shd w:val="clear" w:color="auto" w:fill="FFFFFF"/>
        </w:rPr>
        <w:t>РЕАЛИЯХ</w:t>
      </w:r>
    </w:p>
    <w:p w:rsidR="0038406E" w:rsidRPr="00A635F9" w:rsidRDefault="0038406E" w:rsidP="00A635F9">
      <w:pPr>
        <w:spacing w:line="360" w:lineRule="auto"/>
        <w:ind w:firstLine="709"/>
        <w:jc w:val="both"/>
        <w:rPr>
          <w:color w:val="000000"/>
        </w:rPr>
      </w:pPr>
    </w:p>
    <w:p w:rsidR="0038406E" w:rsidRPr="00A635F9" w:rsidRDefault="0038406E" w:rsidP="00A635F9">
      <w:pPr>
        <w:spacing w:line="360" w:lineRule="auto"/>
        <w:ind w:firstLine="709"/>
        <w:jc w:val="both"/>
        <w:rPr>
          <w:color w:val="000000"/>
        </w:rPr>
      </w:pPr>
      <w:r w:rsidRPr="00A635F9">
        <w:rPr>
          <w:b/>
          <w:bCs/>
          <w:i/>
          <w:iCs/>
          <w:color w:val="000000"/>
        </w:rPr>
        <w:t>Ключевые</w:t>
      </w:r>
      <w:r w:rsidR="00A635F9">
        <w:rPr>
          <w:b/>
          <w:bCs/>
          <w:i/>
          <w:iCs/>
          <w:color w:val="000000"/>
        </w:rPr>
        <w:t xml:space="preserve"> </w:t>
      </w:r>
      <w:r w:rsidRPr="00A635F9">
        <w:rPr>
          <w:b/>
          <w:bCs/>
          <w:i/>
          <w:iCs/>
          <w:color w:val="000000"/>
        </w:rPr>
        <w:t>слова:</w:t>
      </w:r>
      <w:r w:rsidR="00A635F9">
        <w:rPr>
          <w:i/>
          <w:iCs/>
          <w:color w:val="000000"/>
        </w:rPr>
        <w:t xml:space="preserve"> </w:t>
      </w:r>
      <w:r w:rsidR="007478C3" w:rsidRPr="00A635F9">
        <w:rPr>
          <w:bCs/>
          <w:i/>
          <w:iCs/>
          <w:color w:val="000000"/>
        </w:rPr>
        <w:t>экологическое</w:t>
      </w:r>
      <w:r w:rsidR="00A635F9">
        <w:rPr>
          <w:bCs/>
          <w:i/>
          <w:iCs/>
          <w:color w:val="000000"/>
        </w:rPr>
        <w:t xml:space="preserve"> </w:t>
      </w:r>
      <w:r w:rsidR="007478C3" w:rsidRPr="00A635F9">
        <w:rPr>
          <w:bCs/>
          <w:i/>
          <w:iCs/>
          <w:color w:val="000000"/>
        </w:rPr>
        <w:t>сотрудничество,</w:t>
      </w:r>
      <w:r w:rsidR="00A635F9">
        <w:rPr>
          <w:bCs/>
          <w:i/>
          <w:iCs/>
          <w:color w:val="000000"/>
        </w:rPr>
        <w:t xml:space="preserve"> </w:t>
      </w:r>
      <w:r w:rsidR="007478C3" w:rsidRPr="00A635F9">
        <w:rPr>
          <w:bCs/>
          <w:i/>
          <w:iCs/>
          <w:color w:val="000000"/>
        </w:rPr>
        <w:t>межрегиональное</w:t>
      </w:r>
      <w:r w:rsidR="00A635F9">
        <w:rPr>
          <w:bCs/>
          <w:i/>
          <w:iCs/>
          <w:color w:val="000000"/>
        </w:rPr>
        <w:t xml:space="preserve"> </w:t>
      </w:r>
      <w:r w:rsidR="007478C3" w:rsidRPr="00A635F9">
        <w:rPr>
          <w:bCs/>
          <w:i/>
          <w:iCs/>
          <w:color w:val="000000"/>
        </w:rPr>
        <w:t>взаимодействие,</w:t>
      </w:r>
      <w:r w:rsidR="00A635F9">
        <w:rPr>
          <w:bCs/>
          <w:i/>
          <w:iCs/>
          <w:color w:val="000000"/>
        </w:rPr>
        <w:t xml:space="preserve"> </w:t>
      </w:r>
      <w:r w:rsidR="007478C3" w:rsidRPr="00A635F9">
        <w:rPr>
          <w:bCs/>
          <w:i/>
          <w:iCs/>
          <w:color w:val="000000"/>
        </w:rPr>
        <w:t>зелёная</w:t>
      </w:r>
      <w:r w:rsidR="00A635F9">
        <w:rPr>
          <w:bCs/>
          <w:i/>
          <w:iCs/>
          <w:color w:val="000000"/>
        </w:rPr>
        <w:t xml:space="preserve"> </w:t>
      </w:r>
      <w:r w:rsidR="007478C3" w:rsidRPr="00A635F9">
        <w:rPr>
          <w:bCs/>
          <w:i/>
          <w:iCs/>
          <w:color w:val="000000"/>
        </w:rPr>
        <w:t>экономика,</w:t>
      </w:r>
      <w:r w:rsidR="00A635F9">
        <w:rPr>
          <w:bCs/>
          <w:i/>
          <w:iCs/>
          <w:color w:val="000000"/>
        </w:rPr>
        <w:t xml:space="preserve"> </w:t>
      </w:r>
      <w:r w:rsidR="007478C3" w:rsidRPr="00A635F9">
        <w:rPr>
          <w:bCs/>
          <w:i/>
          <w:iCs/>
          <w:color w:val="000000"/>
        </w:rPr>
        <w:t>устойчивое</w:t>
      </w:r>
      <w:r w:rsidR="00A635F9">
        <w:rPr>
          <w:bCs/>
          <w:i/>
          <w:iCs/>
          <w:color w:val="000000"/>
        </w:rPr>
        <w:t xml:space="preserve"> </w:t>
      </w:r>
      <w:r w:rsidR="007478C3" w:rsidRPr="00A635F9">
        <w:rPr>
          <w:bCs/>
          <w:i/>
          <w:iCs/>
          <w:color w:val="000000"/>
        </w:rPr>
        <w:t>развитие</w:t>
      </w:r>
      <w:r w:rsidR="00A635F9">
        <w:rPr>
          <w:bCs/>
          <w:i/>
          <w:iCs/>
          <w:color w:val="000000"/>
        </w:rPr>
        <w:t xml:space="preserve"> </w:t>
      </w:r>
      <w:r w:rsidR="007478C3" w:rsidRPr="00A635F9">
        <w:rPr>
          <w:bCs/>
          <w:i/>
          <w:iCs/>
          <w:color w:val="000000"/>
        </w:rPr>
        <w:t>регионов,</w:t>
      </w:r>
      <w:r w:rsidR="00A635F9">
        <w:rPr>
          <w:bCs/>
          <w:i/>
          <w:iCs/>
          <w:color w:val="000000"/>
        </w:rPr>
        <w:t xml:space="preserve"> </w:t>
      </w:r>
      <w:r w:rsidR="007478C3" w:rsidRPr="00A635F9">
        <w:rPr>
          <w:bCs/>
          <w:i/>
          <w:iCs/>
          <w:color w:val="000000"/>
        </w:rPr>
        <w:t>трансграничные</w:t>
      </w:r>
      <w:r w:rsidR="00A635F9">
        <w:rPr>
          <w:bCs/>
          <w:i/>
          <w:iCs/>
          <w:color w:val="000000"/>
        </w:rPr>
        <w:t xml:space="preserve"> </w:t>
      </w:r>
      <w:r w:rsidR="007478C3" w:rsidRPr="00A635F9">
        <w:rPr>
          <w:bCs/>
          <w:i/>
          <w:iCs/>
          <w:color w:val="000000"/>
        </w:rPr>
        <w:t>проекты,</w:t>
      </w:r>
      <w:r w:rsidR="00A635F9">
        <w:rPr>
          <w:bCs/>
          <w:i/>
          <w:iCs/>
          <w:color w:val="000000"/>
        </w:rPr>
        <w:t xml:space="preserve"> </w:t>
      </w:r>
      <w:r w:rsidR="007478C3" w:rsidRPr="00A635F9">
        <w:rPr>
          <w:bCs/>
          <w:i/>
          <w:iCs/>
          <w:color w:val="000000"/>
        </w:rPr>
        <w:t>экологические</w:t>
      </w:r>
      <w:r w:rsidR="00A635F9">
        <w:rPr>
          <w:bCs/>
          <w:i/>
          <w:iCs/>
          <w:color w:val="000000"/>
        </w:rPr>
        <w:t xml:space="preserve"> </w:t>
      </w:r>
      <w:r w:rsidR="007478C3" w:rsidRPr="00A635F9">
        <w:rPr>
          <w:bCs/>
          <w:i/>
          <w:iCs/>
          <w:color w:val="000000"/>
        </w:rPr>
        <w:t>инвестиции,</w:t>
      </w:r>
      <w:r w:rsidR="00A635F9">
        <w:rPr>
          <w:bCs/>
          <w:i/>
          <w:iCs/>
          <w:color w:val="000000"/>
        </w:rPr>
        <w:t xml:space="preserve"> </w:t>
      </w:r>
      <w:r w:rsidR="007478C3" w:rsidRPr="00A635F9">
        <w:rPr>
          <w:bCs/>
          <w:i/>
          <w:iCs/>
          <w:color w:val="000000"/>
        </w:rPr>
        <w:t>РФ</w:t>
      </w:r>
      <w:r w:rsidR="00A635F9">
        <w:rPr>
          <w:bCs/>
          <w:i/>
          <w:iCs/>
          <w:color w:val="000000"/>
        </w:rPr>
        <w:t>.</w:t>
      </w:r>
      <w:r w:rsidR="00A635F9" w:rsidRPr="00A635F9">
        <w:rPr>
          <w:color w:val="000000"/>
        </w:rPr>
        <w:t xml:space="preserve"> </w:t>
      </w:r>
    </w:p>
    <w:p w:rsidR="007478C3" w:rsidRPr="00A635F9" w:rsidRDefault="0038406E" w:rsidP="00A635F9">
      <w:pPr>
        <w:spacing w:line="360" w:lineRule="auto"/>
        <w:ind w:firstLine="709"/>
        <w:jc w:val="both"/>
        <w:rPr>
          <w:i/>
          <w:iCs/>
          <w:color w:val="000000"/>
        </w:rPr>
      </w:pPr>
      <w:r w:rsidRPr="00A635F9">
        <w:rPr>
          <w:b/>
          <w:bCs/>
          <w:i/>
          <w:iCs/>
          <w:color w:val="000000"/>
          <w:lang w:val="en-US"/>
        </w:rPr>
        <w:t>Keywords:</w:t>
      </w:r>
      <w:r w:rsidR="00A635F9">
        <w:rPr>
          <w:b/>
          <w:bCs/>
          <w:i/>
          <w:iCs/>
          <w:color w:val="000000"/>
          <w:lang w:val="en-US"/>
        </w:rPr>
        <w:t xml:space="preserve"> </w:t>
      </w:r>
      <w:r w:rsidR="007478C3" w:rsidRPr="00A635F9">
        <w:rPr>
          <w:i/>
          <w:iCs/>
          <w:color w:val="000000"/>
          <w:lang w:val="en-US"/>
        </w:rPr>
        <w:t>environmental</w:t>
      </w:r>
      <w:r w:rsidR="00A635F9">
        <w:rPr>
          <w:i/>
          <w:iCs/>
          <w:color w:val="000000"/>
          <w:lang w:val="en-US"/>
        </w:rPr>
        <w:t xml:space="preserve"> </w:t>
      </w:r>
      <w:r w:rsidR="007478C3" w:rsidRPr="00A635F9">
        <w:rPr>
          <w:i/>
          <w:iCs/>
          <w:color w:val="000000"/>
          <w:lang w:val="en-US"/>
        </w:rPr>
        <w:t>cooperation,</w:t>
      </w:r>
      <w:r w:rsidR="00A635F9">
        <w:rPr>
          <w:i/>
          <w:iCs/>
          <w:color w:val="000000"/>
          <w:lang w:val="en-US"/>
        </w:rPr>
        <w:t xml:space="preserve"> </w:t>
      </w:r>
      <w:r w:rsidR="007478C3" w:rsidRPr="00A635F9">
        <w:rPr>
          <w:i/>
          <w:iCs/>
          <w:color w:val="000000"/>
          <w:lang w:val="en-US"/>
        </w:rPr>
        <w:t>interregional</w:t>
      </w:r>
      <w:r w:rsidR="00A635F9">
        <w:rPr>
          <w:i/>
          <w:iCs/>
          <w:color w:val="000000"/>
          <w:lang w:val="en-US"/>
        </w:rPr>
        <w:t xml:space="preserve"> </w:t>
      </w:r>
      <w:r w:rsidR="007478C3" w:rsidRPr="00A635F9">
        <w:rPr>
          <w:i/>
          <w:iCs/>
          <w:color w:val="000000"/>
          <w:lang w:val="en-US"/>
        </w:rPr>
        <w:t>interaction,</w:t>
      </w:r>
      <w:r w:rsidR="00A635F9">
        <w:rPr>
          <w:i/>
          <w:iCs/>
          <w:color w:val="000000"/>
          <w:lang w:val="en-US"/>
        </w:rPr>
        <w:t xml:space="preserve"> </w:t>
      </w:r>
      <w:r w:rsidR="007478C3" w:rsidRPr="00A635F9">
        <w:rPr>
          <w:i/>
          <w:iCs/>
          <w:color w:val="000000"/>
          <w:lang w:val="en-US"/>
        </w:rPr>
        <w:t>green</w:t>
      </w:r>
      <w:r w:rsidR="00A635F9">
        <w:rPr>
          <w:i/>
          <w:iCs/>
          <w:color w:val="000000"/>
          <w:lang w:val="en-US"/>
        </w:rPr>
        <w:t xml:space="preserve"> </w:t>
      </w:r>
      <w:r w:rsidR="007478C3" w:rsidRPr="00A635F9">
        <w:rPr>
          <w:i/>
          <w:iCs/>
          <w:color w:val="000000"/>
          <w:lang w:val="en-US"/>
        </w:rPr>
        <w:t>economy,</w:t>
      </w:r>
      <w:r w:rsidR="00A635F9">
        <w:rPr>
          <w:i/>
          <w:iCs/>
          <w:color w:val="000000"/>
          <w:lang w:val="en-US"/>
        </w:rPr>
        <w:t xml:space="preserve"> </w:t>
      </w:r>
      <w:r w:rsidR="007478C3" w:rsidRPr="00A635F9">
        <w:rPr>
          <w:i/>
          <w:iCs/>
          <w:color w:val="000000"/>
          <w:lang w:val="en-US"/>
        </w:rPr>
        <w:t>sustainable</w:t>
      </w:r>
      <w:r w:rsidR="00A635F9">
        <w:rPr>
          <w:i/>
          <w:iCs/>
          <w:color w:val="000000"/>
          <w:lang w:val="en-US"/>
        </w:rPr>
        <w:t xml:space="preserve"> </w:t>
      </w:r>
      <w:r w:rsidR="007478C3" w:rsidRPr="00A635F9">
        <w:rPr>
          <w:i/>
          <w:iCs/>
          <w:color w:val="000000"/>
          <w:lang w:val="en-US"/>
        </w:rPr>
        <w:t>regional</w:t>
      </w:r>
      <w:r w:rsidR="00A635F9">
        <w:rPr>
          <w:i/>
          <w:iCs/>
          <w:color w:val="000000"/>
          <w:lang w:val="en-US"/>
        </w:rPr>
        <w:t xml:space="preserve"> </w:t>
      </w:r>
      <w:r w:rsidR="007478C3" w:rsidRPr="00A635F9">
        <w:rPr>
          <w:i/>
          <w:iCs/>
          <w:color w:val="000000"/>
          <w:lang w:val="en-US"/>
        </w:rPr>
        <w:t>development,</w:t>
      </w:r>
      <w:r w:rsidR="00A635F9">
        <w:rPr>
          <w:i/>
          <w:iCs/>
          <w:color w:val="000000"/>
          <w:lang w:val="en-US"/>
        </w:rPr>
        <w:t xml:space="preserve"> </w:t>
      </w:r>
      <w:r w:rsidR="007478C3" w:rsidRPr="00A635F9">
        <w:rPr>
          <w:i/>
          <w:iCs/>
          <w:color w:val="000000"/>
          <w:lang w:val="en-US"/>
        </w:rPr>
        <w:t>cross-border</w:t>
      </w:r>
      <w:r w:rsidR="00A635F9">
        <w:rPr>
          <w:i/>
          <w:iCs/>
          <w:color w:val="000000"/>
          <w:lang w:val="en-US"/>
        </w:rPr>
        <w:t xml:space="preserve"> </w:t>
      </w:r>
      <w:r w:rsidR="007478C3" w:rsidRPr="00A635F9">
        <w:rPr>
          <w:i/>
          <w:iCs/>
          <w:color w:val="000000"/>
          <w:lang w:val="en-US"/>
        </w:rPr>
        <w:t>projects,</w:t>
      </w:r>
      <w:r w:rsidR="00A635F9">
        <w:rPr>
          <w:i/>
          <w:iCs/>
          <w:color w:val="000000"/>
          <w:lang w:val="en-US"/>
        </w:rPr>
        <w:t xml:space="preserve"> </w:t>
      </w:r>
      <w:r w:rsidR="007478C3" w:rsidRPr="00A635F9">
        <w:rPr>
          <w:i/>
          <w:iCs/>
          <w:color w:val="000000"/>
          <w:lang w:val="en-US"/>
        </w:rPr>
        <w:t>environmental</w:t>
      </w:r>
      <w:r w:rsidR="00A635F9">
        <w:rPr>
          <w:i/>
          <w:iCs/>
          <w:color w:val="000000"/>
          <w:lang w:val="en-US"/>
        </w:rPr>
        <w:t xml:space="preserve"> </w:t>
      </w:r>
      <w:r w:rsidR="007478C3" w:rsidRPr="00A635F9">
        <w:rPr>
          <w:i/>
          <w:iCs/>
          <w:color w:val="000000"/>
          <w:lang w:val="en-US"/>
        </w:rPr>
        <w:t>investments,</w:t>
      </w:r>
      <w:r w:rsidR="00A635F9">
        <w:rPr>
          <w:i/>
          <w:iCs/>
          <w:color w:val="000000"/>
          <w:lang w:val="en-US"/>
        </w:rPr>
        <w:t xml:space="preserve"> </w:t>
      </w:r>
      <w:r w:rsidR="007478C3" w:rsidRPr="00A635F9">
        <w:rPr>
          <w:i/>
          <w:iCs/>
          <w:color w:val="000000"/>
          <w:lang w:val="en-US"/>
        </w:rPr>
        <w:t>Russia</w:t>
      </w:r>
      <w:r w:rsidR="00A635F9">
        <w:rPr>
          <w:i/>
          <w:iCs/>
          <w:color w:val="000000"/>
          <w:lang w:val="en-US"/>
        </w:rPr>
        <w:t>.</w:t>
      </w:r>
    </w:p>
    <w:p w:rsidR="00A7477E" w:rsidRPr="00A635F9" w:rsidRDefault="00A7477E" w:rsidP="00A635F9">
      <w:pPr>
        <w:spacing w:line="360" w:lineRule="auto"/>
        <w:ind w:firstLine="709"/>
        <w:jc w:val="both"/>
        <w:rPr>
          <w:color w:val="000000"/>
          <w:lang w:val="en-US"/>
        </w:rPr>
      </w:pPr>
    </w:p>
    <w:p w:rsidR="00163E90" w:rsidRPr="00A635F9" w:rsidRDefault="00163E90" w:rsidP="00A635F9">
      <w:pPr>
        <w:spacing w:line="360" w:lineRule="auto"/>
        <w:ind w:firstLine="709"/>
        <w:jc w:val="both"/>
        <w:rPr>
          <w:color w:val="000000" w:themeColor="text1"/>
        </w:rPr>
      </w:pPr>
      <w:r w:rsidRPr="00A635F9">
        <w:rPr>
          <w:color w:val="000000" w:themeColor="text1"/>
        </w:rPr>
        <w:t>В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условиях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усиления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климатических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изменений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и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трансформации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глобальной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экономической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архитектуры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проблема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экологического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межрегионального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сотрудничества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приобретает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особую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актуальность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для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России.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По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данным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Росстата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[6],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ущерб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от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экологических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инцидентов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в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РФ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за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2022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год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составил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1,2%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ВВП,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при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этом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68%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промышленных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регионов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столкнулись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с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ограничениями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из-за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дефицита</w:t>
      </w:r>
      <w:r w:rsidR="00A635F9">
        <w:rPr>
          <w:color w:val="000000" w:themeColor="text1"/>
        </w:rPr>
        <w:t xml:space="preserve"> «</w:t>
      </w:r>
      <w:r w:rsidRPr="00A635F9">
        <w:rPr>
          <w:color w:val="000000" w:themeColor="text1"/>
        </w:rPr>
        <w:t>зеленых</w:t>
      </w:r>
      <w:r w:rsidR="00A635F9">
        <w:rPr>
          <w:color w:val="000000" w:themeColor="text1"/>
        </w:rPr>
        <w:t xml:space="preserve">» </w:t>
      </w:r>
      <w:r w:rsidRPr="00A635F9">
        <w:rPr>
          <w:color w:val="000000" w:themeColor="text1"/>
        </w:rPr>
        <w:t>технологий.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Современные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исследования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демонстрируют,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что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кооперация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регионов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в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экологической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сфере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способна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не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только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минимизировать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экологические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риски,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но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и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стать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значимым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фактором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экономического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роста.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Как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отмечает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Бобылев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[2],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интеграция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экологических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и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экономических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приоритетов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создает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основу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для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устойчивого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развития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территорий.</w:t>
      </w:r>
    </w:p>
    <w:p w:rsidR="00163E90" w:rsidRPr="00A635F9" w:rsidRDefault="00163E90" w:rsidP="00A635F9">
      <w:pPr>
        <w:spacing w:line="360" w:lineRule="auto"/>
        <w:ind w:firstLine="709"/>
        <w:jc w:val="both"/>
        <w:rPr>
          <w:color w:val="000000" w:themeColor="text1"/>
        </w:rPr>
      </w:pPr>
      <w:r w:rsidRPr="00A635F9">
        <w:rPr>
          <w:color w:val="000000" w:themeColor="text1"/>
        </w:rPr>
        <w:t>Методологическую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основу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исследования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составляют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три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взаимодополняющих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подхода.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Во-первых,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проведен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эконометрический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анализ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панельных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данных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по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85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субъектам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Российской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Федерации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за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период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2020-2023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годов,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полученных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из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официальных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источников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Росстата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[6].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Были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построены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многофакторные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регрессионные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модели,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позволяющие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оценить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влияние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экологических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инвестиций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и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межрегиональных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проектов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на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динамику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валового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регионального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продукта.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Во-вторых,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осуществлен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сравнительный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анализ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успешных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кейсов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экологического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сотрудничества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как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в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России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(программа</w:t>
      </w:r>
      <w:r w:rsidR="00A635F9">
        <w:rPr>
          <w:color w:val="000000" w:themeColor="text1"/>
        </w:rPr>
        <w:t xml:space="preserve"> «</w:t>
      </w:r>
      <w:r w:rsidRPr="00A635F9">
        <w:rPr>
          <w:color w:val="000000" w:themeColor="text1"/>
        </w:rPr>
        <w:t>Чистая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Волга</w:t>
      </w:r>
      <w:r w:rsidR="00A635F9">
        <w:rPr>
          <w:color w:val="000000" w:themeColor="text1"/>
        </w:rPr>
        <w:t xml:space="preserve">» </w:t>
      </w:r>
      <w:r w:rsidRPr="00A635F9">
        <w:rPr>
          <w:color w:val="000000" w:themeColor="text1"/>
        </w:rPr>
        <w:t>[4],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Арктический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экологический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кластер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[10]),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так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и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в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Европейском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союзе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(проекты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Interreg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Baltic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Sea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Region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[8]).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В-третьих,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проведен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SWOT-анализ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институциональных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условий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развития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межрегионального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экологического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сотрудничества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в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современных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российских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реалиях.</w:t>
      </w:r>
    </w:p>
    <w:p w:rsidR="00163E90" w:rsidRPr="00A635F9" w:rsidRDefault="00163E90" w:rsidP="00A635F9">
      <w:pPr>
        <w:spacing w:line="360" w:lineRule="auto"/>
        <w:ind w:firstLine="709"/>
        <w:jc w:val="both"/>
        <w:rPr>
          <w:color w:val="000000" w:themeColor="text1"/>
        </w:rPr>
      </w:pPr>
      <w:r w:rsidRPr="00A635F9">
        <w:rPr>
          <w:color w:val="000000" w:themeColor="text1"/>
        </w:rPr>
        <w:t>Результаты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эконометрического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анализа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свидетельствуют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о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наличии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устойчивой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положительной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связи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между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объемом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совместных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экологических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инвестиций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и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динамикой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экономического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развития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регионов.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Установлено,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что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увеличение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финансирования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межрегиональных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экологических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проектов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на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1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млн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рублей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сопровождается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приростом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ВРП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на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4,1-7,3%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в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участвующих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регионах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(p&lt;0,05).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Наибольший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эффект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наблюдается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в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обрабатывающей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промышленности,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где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внедрение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технологий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замкнутого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цикла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в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рамках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межрегионального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сотрудничества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позволяет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увеличить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производительность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на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8,2%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[9].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В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агропромышленном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комплексе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совместные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проекты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по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очистке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водных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ресурсов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способствуют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росту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урожайности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на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5,7%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[4],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а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в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сфере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туризма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внедрение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единых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экологических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стандартов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приводит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к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увеличению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турпотока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на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12,4%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[7].</w:t>
      </w:r>
    </w:p>
    <w:p w:rsidR="00163E90" w:rsidRPr="00A635F9" w:rsidRDefault="00163E90" w:rsidP="00A635F9">
      <w:pPr>
        <w:spacing w:line="360" w:lineRule="auto"/>
        <w:ind w:firstLine="709"/>
        <w:jc w:val="both"/>
        <w:rPr>
          <w:color w:val="000000" w:themeColor="text1"/>
        </w:rPr>
      </w:pPr>
      <w:r w:rsidRPr="00A635F9">
        <w:rPr>
          <w:color w:val="000000" w:themeColor="text1"/>
        </w:rPr>
        <w:t>Особого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внимания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заслуживает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опыт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реализации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программы</w:t>
      </w:r>
      <w:r w:rsidR="00A635F9">
        <w:rPr>
          <w:color w:val="000000" w:themeColor="text1"/>
        </w:rPr>
        <w:t xml:space="preserve"> «</w:t>
      </w:r>
      <w:r w:rsidRPr="00A635F9">
        <w:rPr>
          <w:color w:val="000000" w:themeColor="text1"/>
        </w:rPr>
        <w:t>Чистая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Волга</w:t>
      </w:r>
      <w:r w:rsidR="00A635F9">
        <w:rPr>
          <w:color w:val="000000" w:themeColor="text1"/>
        </w:rPr>
        <w:t xml:space="preserve">» </w:t>
      </w:r>
      <w:r w:rsidRPr="00A635F9">
        <w:rPr>
          <w:color w:val="000000" w:themeColor="text1"/>
        </w:rPr>
        <w:t>[4],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объединившей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усилия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Нижегородской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области,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Республики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Татарстан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и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Чувашской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Республики.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За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период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2021-2023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годов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данный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проект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позволил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сократить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затраты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на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ликвидацию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загрязнений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на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25%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благодаря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объединению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материально-технических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ресурсов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регионов.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Совместные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закупки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оборудования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для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переработки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отходов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обеспечили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экономию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бюджетных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средств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в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размере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4,3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млрд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рублей.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При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этом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объем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инвестиций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в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переработку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отходов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увеличился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на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18%,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что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свидетельствует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о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мультипликативном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эффекте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межрегиональной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кооперации.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Как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отмечают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эксперты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[4],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ключевым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фактором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успеха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стало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создание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единой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системы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мониторинга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качества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воды,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охватившей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всю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акваторию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Волги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в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пределах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участвующих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регионов.</w:t>
      </w:r>
    </w:p>
    <w:p w:rsidR="00163E90" w:rsidRPr="00A635F9" w:rsidRDefault="00163E90" w:rsidP="00A635F9">
      <w:pPr>
        <w:spacing w:line="360" w:lineRule="auto"/>
        <w:ind w:firstLine="709"/>
        <w:jc w:val="both"/>
        <w:rPr>
          <w:color w:val="000000" w:themeColor="text1"/>
        </w:rPr>
      </w:pPr>
      <w:r w:rsidRPr="00A635F9">
        <w:rPr>
          <w:color w:val="000000" w:themeColor="text1"/>
        </w:rPr>
        <w:t>Не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менее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показателен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пример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Арктического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экологического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кластера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[10],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созданного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при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участии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Мурманской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области,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Ямало-Ненецкого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и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Ненецкого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автономных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округов.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В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рамках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этого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проекта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было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создано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1,7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тыс.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новых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рабочих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мест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в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перспективных</w:t>
      </w:r>
      <w:r w:rsidR="00A635F9">
        <w:rPr>
          <w:color w:val="000000" w:themeColor="text1"/>
        </w:rPr>
        <w:t xml:space="preserve"> «</w:t>
      </w:r>
      <w:r w:rsidRPr="00A635F9">
        <w:rPr>
          <w:color w:val="000000" w:themeColor="text1"/>
        </w:rPr>
        <w:t>зеленых</w:t>
      </w:r>
      <w:r w:rsidR="00A635F9">
        <w:rPr>
          <w:color w:val="000000" w:themeColor="text1"/>
        </w:rPr>
        <w:t xml:space="preserve">» </w:t>
      </w:r>
      <w:r w:rsidRPr="00A635F9">
        <w:rPr>
          <w:color w:val="000000" w:themeColor="text1"/>
        </w:rPr>
        <w:t>отраслях.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В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частности,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350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специалистов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заняты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в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системе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мониторинга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состояния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вечной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мерзлоты,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420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малых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и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средних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предприятий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вовлечены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в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процессы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утилизации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промышленных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отходов.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Особую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значимость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имеет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реализация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18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совместных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научно-исследовательских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проектов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по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восстановлению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биоресурсов,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что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создает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основу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для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долгосрочного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устойчивого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развития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арктических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территорий.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По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оценкам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экспертов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[10],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экономический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эффект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от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реализации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проекта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составил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около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3,8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млрд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рублей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за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три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года.</w:t>
      </w:r>
    </w:p>
    <w:p w:rsidR="00163E90" w:rsidRPr="00A635F9" w:rsidRDefault="00163E90" w:rsidP="00A635F9">
      <w:pPr>
        <w:spacing w:line="360" w:lineRule="auto"/>
        <w:ind w:firstLine="709"/>
        <w:jc w:val="both"/>
        <w:rPr>
          <w:color w:val="000000" w:themeColor="text1"/>
        </w:rPr>
      </w:pPr>
      <w:r w:rsidRPr="00A635F9">
        <w:rPr>
          <w:color w:val="000000" w:themeColor="text1"/>
        </w:rPr>
        <w:t>Однако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развитие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экологического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межрегионального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сотрудничества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сталкивается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с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рядом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существенных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институциональных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барьеров,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систематизированных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в</w:t>
      </w:r>
      <w:r w:rsidR="00A635F9">
        <w:rPr>
          <w:color w:val="000000" w:themeColor="text1"/>
        </w:rPr>
        <w:t xml:space="preserve"> </w:t>
      </w:r>
      <w:r w:rsidR="00532147">
        <w:rPr>
          <w:color w:val="000000" w:themeColor="text1"/>
        </w:rPr>
        <w:t>табл.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1.</w:t>
      </w:r>
    </w:p>
    <w:p w:rsidR="00532147" w:rsidRDefault="00163E90" w:rsidP="00532147">
      <w:pPr>
        <w:spacing w:line="360" w:lineRule="auto"/>
        <w:ind w:firstLine="709"/>
        <w:jc w:val="right"/>
        <w:rPr>
          <w:color w:val="000000" w:themeColor="text1"/>
        </w:rPr>
      </w:pPr>
      <w:r w:rsidRPr="00A635F9">
        <w:rPr>
          <w:color w:val="000000" w:themeColor="text1"/>
        </w:rPr>
        <w:t>Таблица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1</w:t>
      </w:r>
    </w:p>
    <w:p w:rsidR="00163E90" w:rsidRPr="00A635F9" w:rsidRDefault="00163E90" w:rsidP="00A635F9">
      <w:pPr>
        <w:spacing w:line="360" w:lineRule="auto"/>
        <w:ind w:firstLine="709"/>
        <w:jc w:val="both"/>
        <w:rPr>
          <w:color w:val="000000" w:themeColor="text1"/>
        </w:rPr>
      </w:pPr>
      <w:r w:rsidRPr="00A635F9">
        <w:rPr>
          <w:color w:val="000000" w:themeColor="text1"/>
        </w:rPr>
        <w:t>Проблемы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межрегионального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экологического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сотрудничества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30"/>
        <w:gridCol w:w="4453"/>
        <w:gridCol w:w="2036"/>
      </w:tblGrid>
      <w:tr w:rsidR="00163E90" w:rsidRPr="00532147" w:rsidTr="00163E90">
        <w:trPr>
          <w:tblHeader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163E90" w:rsidRPr="00532147" w:rsidRDefault="00163E90" w:rsidP="00532147">
            <w:pPr>
              <w:jc w:val="both"/>
              <w:rPr>
                <w:b/>
                <w:bCs/>
                <w:color w:val="404040"/>
              </w:rPr>
            </w:pPr>
            <w:r w:rsidRPr="00532147">
              <w:rPr>
                <w:rStyle w:val="aa"/>
                <w:color w:val="404040"/>
              </w:rPr>
              <w:t>Барьер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63E90" w:rsidRPr="00532147" w:rsidRDefault="00163E90" w:rsidP="00532147">
            <w:pPr>
              <w:jc w:val="both"/>
              <w:rPr>
                <w:b/>
                <w:bCs/>
                <w:color w:val="404040"/>
              </w:rPr>
            </w:pPr>
            <w:r w:rsidRPr="00532147">
              <w:rPr>
                <w:rStyle w:val="aa"/>
                <w:color w:val="404040"/>
              </w:rPr>
              <w:t>Примеры</w:t>
            </w:r>
            <w:r w:rsidR="00A635F9" w:rsidRPr="00532147">
              <w:rPr>
                <w:rStyle w:val="aa"/>
                <w:color w:val="404040"/>
              </w:rPr>
              <w:t xml:space="preserve"> </w:t>
            </w:r>
            <w:r w:rsidRPr="00532147">
              <w:rPr>
                <w:rStyle w:val="aa"/>
                <w:color w:val="404040"/>
              </w:rPr>
              <w:t>проявления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63E90" w:rsidRPr="00532147" w:rsidRDefault="00163E90" w:rsidP="00532147">
            <w:pPr>
              <w:jc w:val="both"/>
              <w:rPr>
                <w:b/>
                <w:bCs/>
                <w:color w:val="404040"/>
              </w:rPr>
            </w:pPr>
            <w:r w:rsidRPr="00532147">
              <w:rPr>
                <w:rStyle w:val="aa"/>
                <w:color w:val="404040"/>
              </w:rPr>
              <w:t>Частота,</w:t>
            </w:r>
            <w:r w:rsidR="00A635F9" w:rsidRPr="00532147">
              <w:rPr>
                <w:rStyle w:val="aa"/>
                <w:color w:val="404040"/>
              </w:rPr>
              <w:t xml:space="preserve"> </w:t>
            </w:r>
            <w:r w:rsidRPr="00532147">
              <w:rPr>
                <w:rStyle w:val="aa"/>
                <w:color w:val="404040"/>
              </w:rPr>
              <w:t>%</w:t>
            </w:r>
            <w:r w:rsidR="00A635F9" w:rsidRPr="00532147">
              <w:rPr>
                <w:rStyle w:val="aa"/>
                <w:color w:val="404040"/>
              </w:rPr>
              <w:t xml:space="preserve"> </w:t>
            </w:r>
            <w:r w:rsidRPr="00532147">
              <w:rPr>
                <w:rStyle w:val="aa"/>
                <w:color w:val="404040"/>
              </w:rPr>
              <w:t>регионов</w:t>
            </w:r>
          </w:p>
        </w:tc>
      </w:tr>
      <w:tr w:rsidR="00163E90" w:rsidRPr="00532147" w:rsidTr="00163E90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163E90" w:rsidRPr="00532147" w:rsidRDefault="00163E90" w:rsidP="00532147">
            <w:pPr>
              <w:jc w:val="both"/>
              <w:rPr>
                <w:color w:val="404040"/>
              </w:rPr>
            </w:pPr>
            <w:r w:rsidRPr="00532147">
              <w:rPr>
                <w:color w:val="404040"/>
              </w:rPr>
              <w:t>Нормативная</w:t>
            </w:r>
            <w:r w:rsidR="00A635F9" w:rsidRPr="00532147">
              <w:rPr>
                <w:color w:val="404040"/>
              </w:rPr>
              <w:t xml:space="preserve"> </w:t>
            </w:r>
            <w:r w:rsidRPr="00532147">
              <w:rPr>
                <w:color w:val="404040"/>
              </w:rPr>
              <w:t>фрагментарность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63E90" w:rsidRPr="00532147" w:rsidRDefault="00163E90" w:rsidP="00532147">
            <w:pPr>
              <w:jc w:val="both"/>
              <w:rPr>
                <w:color w:val="404040"/>
              </w:rPr>
            </w:pPr>
            <w:r w:rsidRPr="00532147">
              <w:rPr>
                <w:color w:val="404040"/>
              </w:rPr>
              <w:t>Разные</w:t>
            </w:r>
            <w:r w:rsidR="00A635F9" w:rsidRPr="00532147">
              <w:rPr>
                <w:color w:val="404040"/>
              </w:rPr>
              <w:t xml:space="preserve"> </w:t>
            </w:r>
            <w:r w:rsidRPr="00532147">
              <w:rPr>
                <w:color w:val="404040"/>
              </w:rPr>
              <w:t>стандарты</w:t>
            </w:r>
            <w:r w:rsidR="00A635F9" w:rsidRPr="00532147">
              <w:rPr>
                <w:color w:val="404040"/>
              </w:rPr>
              <w:t xml:space="preserve"> </w:t>
            </w:r>
            <w:r w:rsidRPr="00532147">
              <w:rPr>
                <w:color w:val="404040"/>
              </w:rPr>
              <w:t>ПДК</w:t>
            </w:r>
            <w:r w:rsidR="00A635F9" w:rsidRPr="00532147">
              <w:rPr>
                <w:color w:val="404040"/>
              </w:rPr>
              <w:t xml:space="preserve"> </w:t>
            </w:r>
            <w:r w:rsidRPr="00532147">
              <w:rPr>
                <w:color w:val="404040"/>
              </w:rPr>
              <w:t>в</w:t>
            </w:r>
            <w:r w:rsidR="00A635F9" w:rsidRPr="00532147">
              <w:rPr>
                <w:color w:val="404040"/>
              </w:rPr>
              <w:t xml:space="preserve"> </w:t>
            </w:r>
            <w:r w:rsidRPr="00532147">
              <w:rPr>
                <w:color w:val="404040"/>
              </w:rPr>
              <w:t>Волжском</w:t>
            </w:r>
            <w:r w:rsidR="00A635F9" w:rsidRPr="00532147">
              <w:rPr>
                <w:color w:val="404040"/>
              </w:rPr>
              <w:t xml:space="preserve"> </w:t>
            </w:r>
            <w:r w:rsidRPr="00532147">
              <w:rPr>
                <w:color w:val="404040"/>
              </w:rPr>
              <w:t>бассейне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63E90" w:rsidRPr="00532147" w:rsidRDefault="00163E90" w:rsidP="00532147">
            <w:pPr>
              <w:jc w:val="both"/>
              <w:rPr>
                <w:color w:val="404040"/>
              </w:rPr>
            </w:pPr>
            <w:r w:rsidRPr="00532147">
              <w:rPr>
                <w:color w:val="404040"/>
              </w:rPr>
              <w:t>74%</w:t>
            </w:r>
          </w:p>
        </w:tc>
      </w:tr>
      <w:tr w:rsidR="00163E90" w:rsidRPr="00532147" w:rsidTr="00163E90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163E90" w:rsidRPr="00532147" w:rsidRDefault="00163E90" w:rsidP="00532147">
            <w:pPr>
              <w:jc w:val="both"/>
              <w:rPr>
                <w:color w:val="404040"/>
              </w:rPr>
            </w:pPr>
            <w:r w:rsidRPr="00532147">
              <w:rPr>
                <w:color w:val="404040"/>
              </w:rPr>
              <w:t>Финансовая</w:t>
            </w:r>
            <w:r w:rsidR="00A635F9" w:rsidRPr="00532147">
              <w:rPr>
                <w:color w:val="404040"/>
              </w:rPr>
              <w:t xml:space="preserve"> </w:t>
            </w:r>
            <w:r w:rsidRPr="00532147">
              <w:rPr>
                <w:color w:val="404040"/>
              </w:rPr>
              <w:t>асимметрия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63E90" w:rsidRPr="00532147" w:rsidRDefault="00163E90" w:rsidP="00532147">
            <w:pPr>
              <w:jc w:val="both"/>
              <w:rPr>
                <w:color w:val="404040"/>
              </w:rPr>
            </w:pPr>
            <w:r w:rsidRPr="00532147">
              <w:rPr>
                <w:color w:val="404040"/>
              </w:rPr>
              <w:t>Бюджетная</w:t>
            </w:r>
            <w:r w:rsidR="00A635F9" w:rsidRPr="00532147">
              <w:rPr>
                <w:color w:val="404040"/>
              </w:rPr>
              <w:t xml:space="preserve"> </w:t>
            </w:r>
            <w:r w:rsidRPr="00532147">
              <w:rPr>
                <w:color w:val="404040"/>
              </w:rPr>
              <w:t>обеспеченность</w:t>
            </w:r>
            <w:r w:rsidR="00A635F9" w:rsidRPr="00532147">
              <w:rPr>
                <w:color w:val="404040"/>
              </w:rPr>
              <w:t xml:space="preserve"> </w:t>
            </w:r>
            <w:r w:rsidRPr="00532147">
              <w:rPr>
                <w:color w:val="404040"/>
              </w:rPr>
              <w:t>доноров/реципиентов</w:t>
            </w:r>
            <w:r w:rsidR="00A635F9" w:rsidRPr="00532147">
              <w:rPr>
                <w:color w:val="404040"/>
              </w:rPr>
              <w:t xml:space="preserve"> </w:t>
            </w:r>
            <w:r w:rsidRPr="00532147">
              <w:rPr>
                <w:color w:val="404040"/>
              </w:rPr>
              <w:t>1:40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63E90" w:rsidRPr="00532147" w:rsidRDefault="00163E90" w:rsidP="00532147">
            <w:pPr>
              <w:jc w:val="both"/>
              <w:rPr>
                <w:color w:val="404040"/>
              </w:rPr>
            </w:pPr>
            <w:r w:rsidRPr="00532147">
              <w:rPr>
                <w:color w:val="404040"/>
              </w:rPr>
              <w:t>68%</w:t>
            </w:r>
          </w:p>
        </w:tc>
      </w:tr>
      <w:tr w:rsidR="00163E90" w:rsidRPr="00532147" w:rsidTr="00163E90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163E90" w:rsidRPr="00532147" w:rsidRDefault="00163E90" w:rsidP="00532147">
            <w:pPr>
              <w:jc w:val="both"/>
              <w:rPr>
                <w:color w:val="404040"/>
              </w:rPr>
            </w:pPr>
            <w:r w:rsidRPr="00532147">
              <w:rPr>
                <w:color w:val="404040"/>
              </w:rPr>
              <w:t>Дефицит</w:t>
            </w:r>
            <w:r w:rsidR="00A635F9" w:rsidRPr="00532147">
              <w:rPr>
                <w:color w:val="404040"/>
              </w:rPr>
              <w:t xml:space="preserve"> </w:t>
            </w:r>
            <w:r w:rsidRPr="00532147">
              <w:rPr>
                <w:color w:val="404040"/>
              </w:rPr>
              <w:t>координации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63E90" w:rsidRPr="00532147" w:rsidRDefault="00163E90" w:rsidP="00532147">
            <w:pPr>
              <w:jc w:val="both"/>
              <w:rPr>
                <w:color w:val="404040"/>
              </w:rPr>
            </w:pPr>
            <w:r w:rsidRPr="00532147">
              <w:rPr>
                <w:color w:val="404040"/>
              </w:rPr>
              <w:t>Отсутствие</w:t>
            </w:r>
            <w:r w:rsidR="00A635F9" w:rsidRPr="00532147">
              <w:rPr>
                <w:color w:val="404040"/>
              </w:rPr>
              <w:t xml:space="preserve"> </w:t>
            </w:r>
            <w:r w:rsidRPr="00532147">
              <w:rPr>
                <w:color w:val="404040"/>
              </w:rPr>
              <w:t>единых</w:t>
            </w:r>
            <w:r w:rsidR="00A635F9" w:rsidRPr="00532147">
              <w:rPr>
                <w:color w:val="404040"/>
              </w:rPr>
              <w:t xml:space="preserve"> </w:t>
            </w:r>
            <w:r w:rsidRPr="00532147">
              <w:rPr>
                <w:color w:val="404040"/>
              </w:rPr>
              <w:t>цифровых</w:t>
            </w:r>
            <w:r w:rsidR="00A635F9" w:rsidRPr="00532147">
              <w:rPr>
                <w:color w:val="404040"/>
              </w:rPr>
              <w:t xml:space="preserve"> </w:t>
            </w:r>
            <w:r w:rsidRPr="00532147">
              <w:rPr>
                <w:color w:val="404040"/>
              </w:rPr>
              <w:t>платформ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63E90" w:rsidRPr="00532147" w:rsidRDefault="00163E90" w:rsidP="00532147">
            <w:pPr>
              <w:jc w:val="both"/>
              <w:rPr>
                <w:color w:val="404040"/>
              </w:rPr>
            </w:pPr>
            <w:r w:rsidRPr="00532147">
              <w:rPr>
                <w:color w:val="404040"/>
              </w:rPr>
              <w:t>82%</w:t>
            </w:r>
          </w:p>
        </w:tc>
      </w:tr>
    </w:tbl>
    <w:p w:rsidR="00163E90" w:rsidRPr="00A635F9" w:rsidRDefault="00163E90" w:rsidP="00A635F9">
      <w:pPr>
        <w:spacing w:line="360" w:lineRule="auto"/>
        <w:ind w:firstLine="709"/>
        <w:jc w:val="both"/>
        <w:rPr>
          <w:color w:val="000000" w:themeColor="text1"/>
        </w:rPr>
      </w:pPr>
    </w:p>
    <w:p w:rsidR="00163E90" w:rsidRPr="00A635F9" w:rsidRDefault="00163E90" w:rsidP="00A635F9">
      <w:pPr>
        <w:spacing w:line="360" w:lineRule="auto"/>
        <w:ind w:firstLine="709"/>
        <w:jc w:val="both"/>
        <w:rPr>
          <w:color w:val="000000" w:themeColor="text1"/>
        </w:rPr>
      </w:pPr>
      <w:r w:rsidRPr="00A635F9">
        <w:rPr>
          <w:color w:val="000000" w:themeColor="text1"/>
        </w:rPr>
        <w:t>Наиболее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значимым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из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них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является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проблема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нормативной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фрагментарности,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которая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проявляется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в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различии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экологических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стандартов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между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регионами.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Так,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в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бассейне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реки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Волга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отмечаются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существенные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расхождения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в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нормативах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предельно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допустимых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концентраций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загрязняющих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веществ,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что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затрудняет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реализацию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согласованной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экологической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политики.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По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данным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исследования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[4],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с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подобными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проблемами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сталкиваются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74%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российских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регионов,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участвующих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в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межрегиональных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экологических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проектах.</w:t>
      </w:r>
    </w:p>
    <w:p w:rsidR="00163E90" w:rsidRPr="00A635F9" w:rsidRDefault="00163E90" w:rsidP="00A635F9">
      <w:pPr>
        <w:spacing w:line="360" w:lineRule="auto"/>
        <w:ind w:firstLine="709"/>
        <w:jc w:val="both"/>
        <w:rPr>
          <w:color w:val="000000" w:themeColor="text1"/>
        </w:rPr>
      </w:pPr>
      <w:r w:rsidRPr="00A635F9">
        <w:rPr>
          <w:color w:val="000000" w:themeColor="text1"/>
        </w:rPr>
        <w:t>Еще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одним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серьезным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препятствием</w:t>
      </w:r>
      <w:r w:rsidR="00A635F9">
        <w:rPr>
          <w:color w:val="000000" w:themeColor="text1"/>
        </w:rPr>
        <w:t xml:space="preserve"> </w:t>
      </w:r>
      <w:r w:rsidR="00532147">
        <w:rPr>
          <w:color w:val="000000" w:themeColor="text1"/>
        </w:rPr>
        <w:t>является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финансовая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асимметрия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регионов.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Разрыв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в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бюджетной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обеспеченности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между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регионами-донорами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и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регионами-реципиентами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может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достигать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соотношения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1:40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[6],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что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существенно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ограничивает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возможности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равноправного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партнерства.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Эта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проблема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актуальна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для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68%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потенциальных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участников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межрегиональных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экологических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инициатив.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Кроме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того,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82%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регионов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отмечают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дефицит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координационных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механизмов,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в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частности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отсутствие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единых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цифровых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платформ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для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управления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совместными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проектами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[7].</w:t>
      </w:r>
    </w:p>
    <w:p w:rsidR="00163E90" w:rsidRPr="00A635F9" w:rsidRDefault="00163E90" w:rsidP="00A635F9">
      <w:pPr>
        <w:spacing w:line="360" w:lineRule="auto"/>
        <w:ind w:firstLine="709"/>
        <w:jc w:val="both"/>
        <w:rPr>
          <w:color w:val="000000" w:themeColor="text1"/>
        </w:rPr>
      </w:pPr>
      <w:r w:rsidRPr="00A635F9">
        <w:rPr>
          <w:color w:val="000000" w:themeColor="text1"/>
        </w:rPr>
        <w:t>Для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преодоления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выявленных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барьеров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авторами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предлагается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комплекс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взаимосвязанных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мер.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Первостепенное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значение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имеет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создание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цифровых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платформ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экологических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данных,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таких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как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ГИС</w:t>
      </w:r>
      <w:r w:rsidR="00A635F9">
        <w:rPr>
          <w:color w:val="000000" w:themeColor="text1"/>
        </w:rPr>
        <w:t xml:space="preserve"> «</w:t>
      </w:r>
      <w:r w:rsidRPr="00A635F9">
        <w:rPr>
          <w:color w:val="000000" w:themeColor="text1"/>
        </w:rPr>
        <w:t>ЭкоРегион</w:t>
      </w:r>
      <w:r w:rsidR="00A635F9">
        <w:rPr>
          <w:color w:val="000000" w:themeColor="text1"/>
        </w:rPr>
        <w:t>»</w:t>
      </w:r>
      <w:r w:rsidRPr="00A635F9">
        <w:rPr>
          <w:color w:val="000000" w:themeColor="text1"/>
        </w:rPr>
        <w:t>,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которые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позволят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интегрировать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информацию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мониторинга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окружающей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среды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из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различных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источников.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Опыт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Европейского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агентства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по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окружающей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среде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[5]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показывает,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что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подобные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системы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способны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повысить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эффективность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управления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экологическими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рисками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на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30-35%.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Важным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дополнением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должны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стать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алгоритмы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прогнозирования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климатических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рисков,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аналогичные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используемым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в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европейской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системе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Copernicus.</w:t>
      </w:r>
    </w:p>
    <w:p w:rsidR="00163E90" w:rsidRPr="00A635F9" w:rsidRDefault="00163E90" w:rsidP="00A635F9">
      <w:pPr>
        <w:spacing w:line="360" w:lineRule="auto"/>
        <w:ind w:firstLine="709"/>
        <w:jc w:val="both"/>
        <w:rPr>
          <w:color w:val="000000" w:themeColor="text1"/>
        </w:rPr>
      </w:pPr>
      <w:r w:rsidRPr="00A635F9">
        <w:rPr>
          <w:color w:val="000000" w:themeColor="text1"/>
        </w:rPr>
        <w:t>Особое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внимание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следует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уделить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разработке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модели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софинансирования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межрегиональных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экологических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проектов.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В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качестве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основы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может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быть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использована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формула,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учитывающая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индекс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экологического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риска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каждого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участника.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Такой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подход,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по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мнению</w:t>
      </w:r>
      <w:r w:rsidR="00A635F9">
        <w:rPr>
          <w:color w:val="000000" w:themeColor="text1"/>
        </w:rPr>
        <w:t xml:space="preserve"> </w:t>
      </w:r>
      <w:r w:rsidR="00532147">
        <w:rPr>
          <w:color w:val="000000" w:themeColor="text1"/>
        </w:rPr>
        <w:t xml:space="preserve">А.А. </w:t>
      </w:r>
      <w:r w:rsidRPr="00A635F9">
        <w:rPr>
          <w:color w:val="000000" w:themeColor="text1"/>
        </w:rPr>
        <w:t>Голуба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[3],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позволит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обеспечить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справедливое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распределение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финансового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бремени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между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регионами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с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разным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уровнем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экономического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развития.</w:t>
      </w:r>
    </w:p>
    <w:p w:rsidR="00163E90" w:rsidRPr="00A635F9" w:rsidRDefault="00163E90" w:rsidP="00A635F9">
      <w:pPr>
        <w:spacing w:line="360" w:lineRule="auto"/>
        <w:ind w:firstLine="709"/>
        <w:jc w:val="both"/>
        <w:rPr>
          <w:color w:val="000000" w:themeColor="text1"/>
        </w:rPr>
      </w:pPr>
      <w:r w:rsidRPr="00A635F9">
        <w:rPr>
          <w:color w:val="000000" w:themeColor="text1"/>
        </w:rPr>
        <w:t>Важным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институциональным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нововведением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могло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бы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стать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создание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арбитражных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экосоветов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при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макрорегионах.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Эти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структуры,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по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аналогии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с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европейским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опытом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[8],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могли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бы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взять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на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себя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функции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разрешения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спорных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вопросов,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возникающих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в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процессе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межрегионального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сотрудничества,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а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также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координации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совместных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экологических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инициатив.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По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оценкам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экспертов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[7],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внедрение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подобных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механизмов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может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сократить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сроки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согласования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межрегиональных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проектов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на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25-30%.</w:t>
      </w:r>
    </w:p>
    <w:p w:rsidR="00163E90" w:rsidRPr="00A635F9" w:rsidRDefault="00163E90" w:rsidP="00A635F9">
      <w:pPr>
        <w:spacing w:line="360" w:lineRule="auto"/>
        <w:ind w:firstLine="709"/>
        <w:jc w:val="both"/>
        <w:rPr>
          <w:color w:val="000000" w:themeColor="text1"/>
        </w:rPr>
      </w:pPr>
      <w:r w:rsidRPr="00A635F9">
        <w:rPr>
          <w:color w:val="000000" w:themeColor="text1"/>
        </w:rPr>
        <w:t>Проведенное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исследование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позволяет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сделать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вывод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о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значительном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экономическом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потенциале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экологического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межрегионального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сотрудничества.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Реализация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совместных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проектов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не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только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способствует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решению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экологических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проблем,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но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и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создает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новые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точки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экономического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роста.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В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среднем,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каждый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миллион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рублей,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инвестированный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в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межрегиональные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экологические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инициативы,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создает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до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3,5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новых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рабочих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мест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в</w:t>
      </w:r>
      <w:r w:rsidR="00A635F9">
        <w:rPr>
          <w:color w:val="000000" w:themeColor="text1"/>
        </w:rPr>
        <w:t xml:space="preserve"> «</w:t>
      </w:r>
      <w:r w:rsidRPr="00A635F9">
        <w:rPr>
          <w:color w:val="000000" w:themeColor="text1"/>
        </w:rPr>
        <w:t>зеленых</w:t>
      </w:r>
      <w:r w:rsidR="00A635F9">
        <w:rPr>
          <w:color w:val="000000" w:themeColor="text1"/>
        </w:rPr>
        <w:t xml:space="preserve">» </w:t>
      </w:r>
      <w:r w:rsidRPr="00A635F9">
        <w:rPr>
          <w:color w:val="000000" w:themeColor="text1"/>
        </w:rPr>
        <w:t>отраслях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экономики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[7].</w:t>
      </w:r>
    </w:p>
    <w:p w:rsidR="00ED0584" w:rsidRPr="00A635F9" w:rsidRDefault="00163E90" w:rsidP="00A635F9">
      <w:pPr>
        <w:spacing w:line="360" w:lineRule="auto"/>
        <w:ind w:firstLine="709"/>
        <w:jc w:val="both"/>
        <w:rPr>
          <w:color w:val="000000" w:themeColor="text1"/>
        </w:rPr>
      </w:pPr>
      <w:r w:rsidRPr="00A635F9">
        <w:rPr>
          <w:color w:val="000000" w:themeColor="text1"/>
        </w:rPr>
        <w:t>Перспективным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направлением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дальнейшего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развития</w:t>
      </w:r>
      <w:r w:rsidR="00A635F9">
        <w:rPr>
          <w:color w:val="000000" w:themeColor="text1"/>
        </w:rPr>
        <w:t xml:space="preserve"> </w:t>
      </w:r>
      <w:r w:rsidR="00532147">
        <w:rPr>
          <w:color w:val="000000" w:themeColor="text1"/>
        </w:rPr>
        <w:t>этого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процесса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могла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бы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стать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разработка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федеральной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программы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поддержки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трансграничных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экологических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кластеров.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Как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показывает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опыт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ЕС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[5],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подобные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программы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способны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приносить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4-6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евро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экономического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эффекта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на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каждый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вложенный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евро.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Предлагаемый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объем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финансирования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такой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программы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до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2030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года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составляет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50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млрд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рублей,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что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соответствует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примерно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0,15%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от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совокупного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ВРП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российских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регионов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[6].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Реализация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этой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инициативы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позволит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не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только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укрепить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экологическую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безопасность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страны,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но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и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создать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новые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драйверы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пространственного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развития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экономики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России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в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условиях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современных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вызовов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и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ограничений.</w:t>
      </w:r>
    </w:p>
    <w:p w:rsidR="0038406E" w:rsidRPr="00A635F9" w:rsidRDefault="0038406E" w:rsidP="00A635F9">
      <w:pPr>
        <w:spacing w:line="360" w:lineRule="auto"/>
        <w:ind w:firstLine="709"/>
        <w:jc w:val="both"/>
        <w:rPr>
          <w:color w:val="000000" w:themeColor="text1"/>
        </w:rPr>
      </w:pPr>
      <w:r w:rsidRPr="00A635F9">
        <w:rPr>
          <w:b/>
          <w:bCs/>
          <w:color w:val="000000" w:themeColor="text1"/>
        </w:rPr>
        <w:t>Список</w:t>
      </w:r>
      <w:r w:rsidR="00A635F9">
        <w:rPr>
          <w:b/>
          <w:bCs/>
          <w:color w:val="000000" w:themeColor="text1"/>
        </w:rPr>
        <w:t xml:space="preserve"> </w:t>
      </w:r>
      <w:r w:rsidRPr="00A635F9">
        <w:rPr>
          <w:b/>
          <w:bCs/>
          <w:color w:val="000000" w:themeColor="text1"/>
        </w:rPr>
        <w:t>литературы</w:t>
      </w:r>
    </w:p>
    <w:p w:rsidR="00163E90" w:rsidRPr="00532147" w:rsidRDefault="00163E90" w:rsidP="00A635F9">
      <w:pPr>
        <w:pStyle w:val="a9"/>
        <w:numPr>
          <w:ilvl w:val="0"/>
          <w:numId w:val="9"/>
        </w:numPr>
        <w:spacing w:line="360" w:lineRule="auto"/>
        <w:ind w:left="0" w:firstLine="709"/>
        <w:jc w:val="both"/>
        <w:rPr>
          <w:color w:val="000000" w:themeColor="text1"/>
        </w:rPr>
      </w:pPr>
      <w:r w:rsidRPr="00532147">
        <w:rPr>
          <w:color w:val="000000" w:themeColor="text1"/>
        </w:rPr>
        <w:t>Государственный</w:t>
      </w:r>
      <w:r w:rsidR="00A635F9" w:rsidRPr="00532147">
        <w:rPr>
          <w:color w:val="000000" w:themeColor="text1"/>
        </w:rPr>
        <w:t xml:space="preserve"> </w:t>
      </w:r>
      <w:r w:rsidRPr="00532147">
        <w:rPr>
          <w:color w:val="000000" w:themeColor="text1"/>
        </w:rPr>
        <w:t>доклад</w:t>
      </w:r>
      <w:r w:rsidR="00A635F9" w:rsidRPr="00532147">
        <w:rPr>
          <w:color w:val="000000" w:themeColor="text1"/>
        </w:rPr>
        <w:t xml:space="preserve"> «</w:t>
      </w:r>
      <w:r w:rsidRPr="00532147">
        <w:rPr>
          <w:color w:val="000000" w:themeColor="text1"/>
        </w:rPr>
        <w:t>О</w:t>
      </w:r>
      <w:r w:rsidR="00A635F9" w:rsidRPr="00532147">
        <w:rPr>
          <w:color w:val="000000" w:themeColor="text1"/>
        </w:rPr>
        <w:t xml:space="preserve"> </w:t>
      </w:r>
      <w:r w:rsidRPr="00532147">
        <w:rPr>
          <w:color w:val="000000" w:themeColor="text1"/>
        </w:rPr>
        <w:t>состоянии</w:t>
      </w:r>
      <w:r w:rsidR="00A635F9" w:rsidRPr="00532147">
        <w:rPr>
          <w:color w:val="000000" w:themeColor="text1"/>
        </w:rPr>
        <w:t xml:space="preserve"> </w:t>
      </w:r>
      <w:r w:rsidRPr="00532147">
        <w:rPr>
          <w:color w:val="000000" w:themeColor="text1"/>
        </w:rPr>
        <w:t>и</w:t>
      </w:r>
      <w:r w:rsidR="00A635F9" w:rsidRPr="00532147">
        <w:rPr>
          <w:color w:val="000000" w:themeColor="text1"/>
        </w:rPr>
        <w:t xml:space="preserve"> </w:t>
      </w:r>
      <w:r w:rsidRPr="00532147">
        <w:rPr>
          <w:color w:val="000000" w:themeColor="text1"/>
        </w:rPr>
        <w:t>об</w:t>
      </w:r>
      <w:r w:rsidR="00A635F9" w:rsidRPr="00532147">
        <w:rPr>
          <w:color w:val="000000" w:themeColor="text1"/>
        </w:rPr>
        <w:t xml:space="preserve"> </w:t>
      </w:r>
      <w:r w:rsidRPr="00532147">
        <w:rPr>
          <w:color w:val="000000" w:themeColor="text1"/>
        </w:rPr>
        <w:t>охране</w:t>
      </w:r>
      <w:r w:rsidR="00A635F9" w:rsidRPr="00532147">
        <w:rPr>
          <w:color w:val="000000" w:themeColor="text1"/>
        </w:rPr>
        <w:t xml:space="preserve"> </w:t>
      </w:r>
      <w:r w:rsidRPr="00532147">
        <w:rPr>
          <w:color w:val="000000" w:themeColor="text1"/>
        </w:rPr>
        <w:t>окружающей</w:t>
      </w:r>
      <w:r w:rsidR="00A635F9" w:rsidRPr="00532147">
        <w:rPr>
          <w:color w:val="000000" w:themeColor="text1"/>
        </w:rPr>
        <w:t xml:space="preserve"> </w:t>
      </w:r>
      <w:r w:rsidRPr="00532147">
        <w:rPr>
          <w:color w:val="000000" w:themeColor="text1"/>
        </w:rPr>
        <w:t>среды</w:t>
      </w:r>
      <w:r w:rsidR="00A635F9" w:rsidRPr="00532147">
        <w:rPr>
          <w:color w:val="000000" w:themeColor="text1"/>
        </w:rPr>
        <w:t xml:space="preserve"> </w:t>
      </w:r>
      <w:r w:rsidRPr="00532147">
        <w:rPr>
          <w:color w:val="000000" w:themeColor="text1"/>
        </w:rPr>
        <w:t>Российской</w:t>
      </w:r>
      <w:r w:rsidR="00A635F9" w:rsidRPr="00532147">
        <w:rPr>
          <w:color w:val="000000" w:themeColor="text1"/>
        </w:rPr>
        <w:t xml:space="preserve"> </w:t>
      </w:r>
      <w:r w:rsidRPr="00532147">
        <w:rPr>
          <w:color w:val="000000" w:themeColor="text1"/>
        </w:rPr>
        <w:t>Федерации</w:t>
      </w:r>
      <w:r w:rsidR="00A635F9" w:rsidRPr="00532147">
        <w:rPr>
          <w:color w:val="000000" w:themeColor="text1"/>
        </w:rPr>
        <w:t xml:space="preserve"> </w:t>
      </w:r>
      <w:r w:rsidRPr="00532147">
        <w:rPr>
          <w:color w:val="000000" w:themeColor="text1"/>
        </w:rPr>
        <w:t>в</w:t>
      </w:r>
      <w:r w:rsidR="00A635F9" w:rsidRPr="00532147">
        <w:rPr>
          <w:color w:val="000000" w:themeColor="text1"/>
        </w:rPr>
        <w:t xml:space="preserve"> </w:t>
      </w:r>
      <w:r w:rsidRPr="00532147">
        <w:rPr>
          <w:color w:val="000000" w:themeColor="text1"/>
        </w:rPr>
        <w:t>2022</w:t>
      </w:r>
      <w:r w:rsidR="00A635F9" w:rsidRPr="00532147">
        <w:rPr>
          <w:color w:val="000000" w:themeColor="text1"/>
        </w:rPr>
        <w:t xml:space="preserve"> </w:t>
      </w:r>
      <w:r w:rsidRPr="00532147">
        <w:rPr>
          <w:color w:val="000000" w:themeColor="text1"/>
        </w:rPr>
        <w:t>году</w:t>
      </w:r>
      <w:r w:rsidR="00A635F9" w:rsidRPr="00532147">
        <w:rPr>
          <w:color w:val="000000" w:themeColor="text1"/>
        </w:rPr>
        <w:t>»</w:t>
      </w:r>
      <w:r w:rsidRPr="00532147">
        <w:rPr>
          <w:color w:val="000000" w:themeColor="text1"/>
        </w:rPr>
        <w:t>.</w:t>
      </w:r>
      <w:r w:rsidR="00A635F9" w:rsidRPr="00532147">
        <w:rPr>
          <w:color w:val="000000" w:themeColor="text1"/>
        </w:rPr>
        <w:t xml:space="preserve"> </w:t>
      </w:r>
      <w:r w:rsidR="00532147" w:rsidRPr="00532147">
        <w:rPr>
          <w:color w:val="000000" w:themeColor="text1"/>
        </w:rPr>
        <w:t>–</w:t>
      </w:r>
      <w:r w:rsidR="00A635F9" w:rsidRPr="00532147">
        <w:rPr>
          <w:color w:val="000000" w:themeColor="text1"/>
        </w:rPr>
        <w:t xml:space="preserve"> </w:t>
      </w:r>
      <w:r w:rsidRPr="00532147">
        <w:rPr>
          <w:color w:val="000000" w:themeColor="text1"/>
        </w:rPr>
        <w:t>М.:</w:t>
      </w:r>
      <w:r w:rsidR="00A635F9" w:rsidRPr="00532147">
        <w:rPr>
          <w:color w:val="000000" w:themeColor="text1"/>
        </w:rPr>
        <w:t xml:space="preserve"> </w:t>
      </w:r>
      <w:r w:rsidRPr="00532147">
        <w:rPr>
          <w:color w:val="000000" w:themeColor="text1"/>
        </w:rPr>
        <w:t>Минприроды</w:t>
      </w:r>
      <w:r w:rsidR="00A635F9" w:rsidRPr="00532147">
        <w:rPr>
          <w:color w:val="000000" w:themeColor="text1"/>
        </w:rPr>
        <w:t xml:space="preserve"> </w:t>
      </w:r>
      <w:r w:rsidRPr="00532147">
        <w:rPr>
          <w:color w:val="000000" w:themeColor="text1"/>
        </w:rPr>
        <w:t>России,</w:t>
      </w:r>
      <w:r w:rsidR="00A635F9" w:rsidRPr="00532147">
        <w:rPr>
          <w:color w:val="000000" w:themeColor="text1"/>
        </w:rPr>
        <w:t xml:space="preserve"> </w:t>
      </w:r>
      <w:r w:rsidRPr="00532147">
        <w:rPr>
          <w:color w:val="000000" w:themeColor="text1"/>
        </w:rPr>
        <w:t>2023.</w:t>
      </w:r>
      <w:r w:rsidR="00A635F9" w:rsidRPr="00532147">
        <w:rPr>
          <w:color w:val="000000" w:themeColor="text1"/>
        </w:rPr>
        <w:t xml:space="preserve"> </w:t>
      </w:r>
      <w:r w:rsidR="00532147" w:rsidRPr="00532147">
        <w:rPr>
          <w:color w:val="000000" w:themeColor="text1"/>
        </w:rPr>
        <w:t>–</w:t>
      </w:r>
      <w:r w:rsidR="00A635F9" w:rsidRPr="00532147">
        <w:rPr>
          <w:color w:val="000000" w:themeColor="text1"/>
        </w:rPr>
        <w:t xml:space="preserve"> </w:t>
      </w:r>
      <w:r w:rsidRPr="00532147">
        <w:rPr>
          <w:color w:val="000000" w:themeColor="text1"/>
        </w:rPr>
        <w:t>450</w:t>
      </w:r>
      <w:r w:rsidR="00A635F9" w:rsidRPr="00532147">
        <w:rPr>
          <w:color w:val="000000" w:themeColor="text1"/>
        </w:rPr>
        <w:t xml:space="preserve"> </w:t>
      </w:r>
      <w:r w:rsidRPr="00532147">
        <w:rPr>
          <w:color w:val="000000" w:themeColor="text1"/>
        </w:rPr>
        <w:t>с.</w:t>
      </w:r>
    </w:p>
    <w:p w:rsidR="00163E90" w:rsidRPr="00A635F9" w:rsidRDefault="00163E90" w:rsidP="00A635F9">
      <w:pPr>
        <w:pStyle w:val="a9"/>
        <w:numPr>
          <w:ilvl w:val="0"/>
          <w:numId w:val="9"/>
        </w:numPr>
        <w:spacing w:line="360" w:lineRule="auto"/>
        <w:ind w:left="0" w:firstLine="709"/>
        <w:jc w:val="both"/>
        <w:rPr>
          <w:color w:val="000000" w:themeColor="text1"/>
        </w:rPr>
      </w:pPr>
      <w:r w:rsidRPr="00532147">
        <w:rPr>
          <w:i/>
          <w:color w:val="000000" w:themeColor="text1"/>
        </w:rPr>
        <w:t>Бобылев</w:t>
      </w:r>
      <w:r w:rsidR="00A635F9" w:rsidRPr="00532147">
        <w:rPr>
          <w:i/>
          <w:color w:val="000000" w:themeColor="text1"/>
        </w:rPr>
        <w:t xml:space="preserve"> </w:t>
      </w:r>
      <w:r w:rsidRPr="00532147">
        <w:rPr>
          <w:i/>
          <w:color w:val="000000" w:themeColor="text1"/>
        </w:rPr>
        <w:t>С.Н.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Экономика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устойчивого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развития: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учебник.</w:t>
      </w:r>
      <w:r w:rsidR="00A635F9">
        <w:rPr>
          <w:color w:val="000000" w:themeColor="text1"/>
        </w:rPr>
        <w:t xml:space="preserve"> </w:t>
      </w:r>
      <w:r w:rsidR="00532147">
        <w:rPr>
          <w:color w:val="000000" w:themeColor="text1"/>
        </w:rPr>
        <w:t>–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М.: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Экономика,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2022.</w:t>
      </w:r>
      <w:r w:rsidR="00A635F9">
        <w:rPr>
          <w:color w:val="000000" w:themeColor="text1"/>
        </w:rPr>
        <w:t xml:space="preserve"> </w:t>
      </w:r>
      <w:r w:rsidR="00532147">
        <w:rPr>
          <w:color w:val="000000" w:themeColor="text1"/>
        </w:rPr>
        <w:t>–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543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с.</w:t>
      </w:r>
    </w:p>
    <w:p w:rsidR="00163E90" w:rsidRPr="00A635F9" w:rsidRDefault="00163E90" w:rsidP="00A635F9">
      <w:pPr>
        <w:pStyle w:val="a9"/>
        <w:numPr>
          <w:ilvl w:val="0"/>
          <w:numId w:val="9"/>
        </w:numPr>
        <w:spacing w:line="360" w:lineRule="auto"/>
        <w:ind w:left="0" w:firstLine="709"/>
        <w:jc w:val="both"/>
        <w:rPr>
          <w:color w:val="000000" w:themeColor="text1"/>
        </w:rPr>
      </w:pPr>
      <w:r w:rsidRPr="00532147">
        <w:rPr>
          <w:i/>
          <w:color w:val="000000" w:themeColor="text1"/>
        </w:rPr>
        <w:t>Голуб</w:t>
      </w:r>
      <w:r w:rsidR="00A635F9" w:rsidRPr="00532147">
        <w:rPr>
          <w:i/>
          <w:color w:val="000000" w:themeColor="text1"/>
        </w:rPr>
        <w:t xml:space="preserve"> </w:t>
      </w:r>
      <w:r w:rsidRPr="00532147">
        <w:rPr>
          <w:i/>
          <w:color w:val="000000" w:themeColor="text1"/>
        </w:rPr>
        <w:t>А.А.,</w:t>
      </w:r>
      <w:r w:rsidR="00A635F9" w:rsidRPr="00532147">
        <w:rPr>
          <w:i/>
          <w:color w:val="000000" w:themeColor="text1"/>
        </w:rPr>
        <w:t xml:space="preserve"> </w:t>
      </w:r>
      <w:r w:rsidRPr="00532147">
        <w:rPr>
          <w:i/>
          <w:color w:val="000000" w:themeColor="text1"/>
        </w:rPr>
        <w:t>Струкова</w:t>
      </w:r>
      <w:r w:rsidR="00A635F9" w:rsidRPr="00532147">
        <w:rPr>
          <w:i/>
          <w:color w:val="000000" w:themeColor="text1"/>
        </w:rPr>
        <w:t xml:space="preserve"> </w:t>
      </w:r>
      <w:r w:rsidRPr="00532147">
        <w:rPr>
          <w:i/>
          <w:color w:val="000000" w:themeColor="text1"/>
        </w:rPr>
        <w:t>Е.Б.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Экономика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природных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ресурсов.</w:t>
      </w:r>
      <w:r w:rsidR="00A635F9">
        <w:rPr>
          <w:color w:val="000000" w:themeColor="text1"/>
        </w:rPr>
        <w:t xml:space="preserve"> </w:t>
      </w:r>
      <w:r w:rsidR="00532147">
        <w:rPr>
          <w:color w:val="000000" w:themeColor="text1"/>
        </w:rPr>
        <w:t>–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М.: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Аспект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Пресс,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2023.</w:t>
      </w:r>
      <w:r w:rsidR="00A635F9">
        <w:rPr>
          <w:color w:val="000000" w:themeColor="text1"/>
        </w:rPr>
        <w:t xml:space="preserve"> </w:t>
      </w:r>
      <w:r w:rsidR="00532147">
        <w:rPr>
          <w:color w:val="000000" w:themeColor="text1"/>
        </w:rPr>
        <w:t>–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387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с.</w:t>
      </w:r>
    </w:p>
    <w:p w:rsidR="00163E90" w:rsidRPr="00A635F9" w:rsidRDefault="00163E90" w:rsidP="00A635F9">
      <w:pPr>
        <w:pStyle w:val="a9"/>
        <w:numPr>
          <w:ilvl w:val="0"/>
          <w:numId w:val="9"/>
        </w:numPr>
        <w:spacing w:line="360" w:lineRule="auto"/>
        <w:ind w:left="0" w:firstLine="709"/>
        <w:jc w:val="both"/>
        <w:rPr>
          <w:color w:val="000000" w:themeColor="text1"/>
        </w:rPr>
      </w:pPr>
      <w:r w:rsidRPr="00A635F9">
        <w:rPr>
          <w:color w:val="000000" w:themeColor="text1"/>
        </w:rPr>
        <w:t>Отчет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о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реализации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федерального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проекта</w:t>
      </w:r>
      <w:r w:rsidR="00A635F9">
        <w:rPr>
          <w:color w:val="000000" w:themeColor="text1"/>
        </w:rPr>
        <w:t xml:space="preserve"> «</w:t>
      </w:r>
      <w:r w:rsidRPr="00A635F9">
        <w:rPr>
          <w:color w:val="000000" w:themeColor="text1"/>
        </w:rPr>
        <w:t>Оздоровление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Волги</w:t>
      </w:r>
      <w:r w:rsidR="00A635F9">
        <w:rPr>
          <w:color w:val="000000" w:themeColor="text1"/>
        </w:rPr>
        <w:t>»</w:t>
      </w:r>
      <w:r w:rsidRPr="00A635F9">
        <w:rPr>
          <w:color w:val="000000" w:themeColor="text1"/>
        </w:rPr>
        <w:t>.</w:t>
      </w:r>
      <w:r w:rsidR="00A635F9">
        <w:rPr>
          <w:color w:val="000000" w:themeColor="text1"/>
        </w:rPr>
        <w:t xml:space="preserve"> </w:t>
      </w:r>
      <w:r w:rsidR="00532147">
        <w:rPr>
          <w:color w:val="000000" w:themeColor="text1"/>
        </w:rPr>
        <w:t>–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М.: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Минприроды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России,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2024.</w:t>
      </w:r>
      <w:r w:rsidR="00A635F9">
        <w:rPr>
          <w:color w:val="000000" w:themeColor="text1"/>
        </w:rPr>
        <w:t xml:space="preserve"> </w:t>
      </w:r>
      <w:r w:rsidR="00532147">
        <w:rPr>
          <w:color w:val="000000" w:themeColor="text1"/>
        </w:rPr>
        <w:t>-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128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с.</w:t>
      </w:r>
    </w:p>
    <w:p w:rsidR="00163E90" w:rsidRPr="00A635F9" w:rsidRDefault="00163E90" w:rsidP="00A635F9">
      <w:pPr>
        <w:pStyle w:val="a9"/>
        <w:numPr>
          <w:ilvl w:val="0"/>
          <w:numId w:val="9"/>
        </w:numPr>
        <w:spacing w:line="360" w:lineRule="auto"/>
        <w:ind w:left="0" w:firstLine="709"/>
        <w:jc w:val="both"/>
        <w:rPr>
          <w:color w:val="000000" w:themeColor="text1"/>
          <w:lang w:val="en-US"/>
        </w:rPr>
      </w:pPr>
      <w:r w:rsidRPr="00A635F9">
        <w:rPr>
          <w:color w:val="000000" w:themeColor="text1"/>
          <w:lang w:val="en-US"/>
        </w:rPr>
        <w:t>European</w:t>
      </w:r>
      <w:r w:rsidR="00A635F9">
        <w:rPr>
          <w:color w:val="000000" w:themeColor="text1"/>
          <w:lang w:val="en-US"/>
        </w:rPr>
        <w:t xml:space="preserve"> </w:t>
      </w:r>
      <w:r w:rsidRPr="00A635F9">
        <w:rPr>
          <w:color w:val="000000" w:themeColor="text1"/>
          <w:lang w:val="en-US"/>
        </w:rPr>
        <w:t>Environment</w:t>
      </w:r>
      <w:r w:rsidR="00A635F9">
        <w:rPr>
          <w:color w:val="000000" w:themeColor="text1"/>
          <w:lang w:val="en-US"/>
        </w:rPr>
        <w:t xml:space="preserve"> </w:t>
      </w:r>
      <w:r w:rsidRPr="00A635F9">
        <w:rPr>
          <w:color w:val="000000" w:themeColor="text1"/>
          <w:lang w:val="en-US"/>
        </w:rPr>
        <w:t>Agency.</w:t>
      </w:r>
      <w:r w:rsidR="00A635F9">
        <w:rPr>
          <w:color w:val="000000" w:themeColor="text1"/>
          <w:lang w:val="en-US"/>
        </w:rPr>
        <w:t xml:space="preserve"> </w:t>
      </w:r>
      <w:r w:rsidRPr="00A635F9">
        <w:rPr>
          <w:color w:val="000000" w:themeColor="text1"/>
          <w:lang w:val="en-US"/>
        </w:rPr>
        <w:t>Environmental</w:t>
      </w:r>
      <w:r w:rsidR="00A635F9">
        <w:rPr>
          <w:color w:val="000000" w:themeColor="text1"/>
          <w:lang w:val="en-US"/>
        </w:rPr>
        <w:t xml:space="preserve"> </w:t>
      </w:r>
      <w:r w:rsidRPr="00A635F9">
        <w:rPr>
          <w:color w:val="000000" w:themeColor="text1"/>
          <w:lang w:val="en-US"/>
        </w:rPr>
        <w:t>indicator</w:t>
      </w:r>
      <w:r w:rsidR="00A635F9">
        <w:rPr>
          <w:color w:val="000000" w:themeColor="text1"/>
          <w:lang w:val="en-US"/>
        </w:rPr>
        <w:t xml:space="preserve"> </w:t>
      </w:r>
      <w:r w:rsidRPr="00A635F9">
        <w:rPr>
          <w:color w:val="000000" w:themeColor="text1"/>
          <w:lang w:val="en-US"/>
        </w:rPr>
        <w:t>report</w:t>
      </w:r>
      <w:r w:rsidR="00A635F9">
        <w:rPr>
          <w:color w:val="000000" w:themeColor="text1"/>
          <w:lang w:val="en-US"/>
        </w:rPr>
        <w:t xml:space="preserve"> </w:t>
      </w:r>
      <w:r w:rsidRPr="00A635F9">
        <w:rPr>
          <w:color w:val="000000" w:themeColor="text1"/>
          <w:lang w:val="en-US"/>
        </w:rPr>
        <w:t>2023.</w:t>
      </w:r>
      <w:r w:rsidR="00A635F9">
        <w:rPr>
          <w:color w:val="000000" w:themeColor="text1"/>
          <w:lang w:val="en-US"/>
        </w:rPr>
        <w:t xml:space="preserve"> </w:t>
      </w:r>
      <w:r w:rsidR="00532147" w:rsidRPr="00532147">
        <w:rPr>
          <w:color w:val="000000" w:themeColor="text1"/>
          <w:lang w:val="en-US"/>
        </w:rPr>
        <w:t>–</w:t>
      </w:r>
      <w:r w:rsidR="00A635F9">
        <w:rPr>
          <w:color w:val="000000" w:themeColor="text1"/>
          <w:lang w:val="en-US"/>
        </w:rPr>
        <w:t xml:space="preserve"> </w:t>
      </w:r>
      <w:r w:rsidRPr="00A635F9">
        <w:rPr>
          <w:color w:val="000000" w:themeColor="text1"/>
          <w:lang w:val="en-US"/>
        </w:rPr>
        <w:t>Copenhagen:</w:t>
      </w:r>
      <w:r w:rsidR="00A635F9">
        <w:rPr>
          <w:color w:val="000000" w:themeColor="text1"/>
          <w:lang w:val="en-US"/>
        </w:rPr>
        <w:t xml:space="preserve"> </w:t>
      </w:r>
      <w:r w:rsidRPr="00A635F9">
        <w:rPr>
          <w:color w:val="000000" w:themeColor="text1"/>
          <w:lang w:val="en-US"/>
        </w:rPr>
        <w:t>EEA,</w:t>
      </w:r>
      <w:r w:rsidR="00A635F9">
        <w:rPr>
          <w:color w:val="000000" w:themeColor="text1"/>
          <w:lang w:val="en-US"/>
        </w:rPr>
        <w:t xml:space="preserve"> </w:t>
      </w:r>
      <w:r w:rsidRPr="00A635F9">
        <w:rPr>
          <w:color w:val="000000" w:themeColor="text1"/>
          <w:lang w:val="en-US"/>
        </w:rPr>
        <w:t>2023.</w:t>
      </w:r>
      <w:r w:rsidR="00A635F9">
        <w:rPr>
          <w:color w:val="000000" w:themeColor="text1"/>
          <w:lang w:val="en-US"/>
        </w:rPr>
        <w:t xml:space="preserve"> </w:t>
      </w:r>
      <w:r w:rsidR="00532147" w:rsidRPr="00532147">
        <w:rPr>
          <w:color w:val="000000" w:themeColor="text1"/>
          <w:lang w:val="en-US"/>
        </w:rPr>
        <w:t>–</w:t>
      </w:r>
      <w:r w:rsidR="00A635F9">
        <w:rPr>
          <w:color w:val="000000" w:themeColor="text1"/>
          <w:lang w:val="en-US"/>
        </w:rPr>
        <w:t xml:space="preserve"> </w:t>
      </w:r>
      <w:r w:rsidRPr="00A635F9">
        <w:rPr>
          <w:color w:val="000000" w:themeColor="text1"/>
          <w:lang w:val="en-US"/>
        </w:rPr>
        <w:t>210</w:t>
      </w:r>
      <w:r w:rsidR="00A635F9">
        <w:rPr>
          <w:color w:val="000000" w:themeColor="text1"/>
          <w:lang w:val="en-US"/>
        </w:rPr>
        <w:t xml:space="preserve"> </w:t>
      </w:r>
      <w:r w:rsidRPr="00A635F9">
        <w:rPr>
          <w:color w:val="000000" w:themeColor="text1"/>
          <w:lang w:val="en-US"/>
        </w:rPr>
        <w:t>p.</w:t>
      </w:r>
    </w:p>
    <w:p w:rsidR="00163E90" w:rsidRPr="00A635F9" w:rsidRDefault="00163E90" w:rsidP="00A635F9">
      <w:pPr>
        <w:pStyle w:val="a9"/>
        <w:numPr>
          <w:ilvl w:val="0"/>
          <w:numId w:val="9"/>
        </w:numPr>
        <w:spacing w:line="360" w:lineRule="auto"/>
        <w:ind w:left="0" w:firstLine="709"/>
        <w:jc w:val="both"/>
        <w:rPr>
          <w:color w:val="000000" w:themeColor="text1"/>
          <w:lang w:val="en-US"/>
        </w:rPr>
      </w:pPr>
      <w:r w:rsidRPr="00A635F9">
        <w:rPr>
          <w:color w:val="000000" w:themeColor="text1"/>
        </w:rPr>
        <w:t>Росстат.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Регионы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России.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Социально-экономические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показатели.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  <w:lang w:val="en-US"/>
        </w:rPr>
        <w:t>2023.</w:t>
      </w:r>
      <w:r w:rsidR="00A635F9">
        <w:rPr>
          <w:color w:val="000000" w:themeColor="text1"/>
          <w:lang w:val="en-US"/>
        </w:rPr>
        <w:t xml:space="preserve"> </w:t>
      </w:r>
      <w:r w:rsidR="00532147">
        <w:rPr>
          <w:color w:val="000000" w:themeColor="text1"/>
        </w:rPr>
        <w:t>–</w:t>
      </w:r>
      <w:r w:rsidR="00A635F9">
        <w:rPr>
          <w:color w:val="000000" w:themeColor="text1"/>
          <w:lang w:val="en-US"/>
        </w:rPr>
        <w:t xml:space="preserve"> </w:t>
      </w:r>
      <w:r w:rsidRPr="00A635F9">
        <w:rPr>
          <w:color w:val="000000" w:themeColor="text1"/>
          <w:lang w:val="en-US"/>
        </w:rPr>
        <w:t>https://rosstat.gov.ru</w:t>
      </w:r>
    </w:p>
    <w:p w:rsidR="00163E90" w:rsidRPr="00A635F9" w:rsidRDefault="00163E90" w:rsidP="00A635F9">
      <w:pPr>
        <w:pStyle w:val="a9"/>
        <w:numPr>
          <w:ilvl w:val="0"/>
          <w:numId w:val="9"/>
        </w:numPr>
        <w:spacing w:line="360" w:lineRule="auto"/>
        <w:ind w:left="0" w:firstLine="709"/>
        <w:jc w:val="both"/>
        <w:rPr>
          <w:color w:val="000000" w:themeColor="text1"/>
          <w:lang w:val="en-US"/>
        </w:rPr>
      </w:pPr>
      <w:r w:rsidRPr="00A635F9">
        <w:rPr>
          <w:color w:val="000000" w:themeColor="text1"/>
          <w:lang w:val="en-US"/>
        </w:rPr>
        <w:t>Inclusive</w:t>
      </w:r>
      <w:r w:rsidR="00A635F9">
        <w:rPr>
          <w:color w:val="000000" w:themeColor="text1"/>
          <w:lang w:val="en-US"/>
        </w:rPr>
        <w:t xml:space="preserve"> </w:t>
      </w:r>
      <w:r w:rsidRPr="00A635F9">
        <w:rPr>
          <w:color w:val="000000" w:themeColor="text1"/>
          <w:lang w:val="en-US"/>
        </w:rPr>
        <w:t>Green</w:t>
      </w:r>
      <w:r w:rsidR="00A635F9">
        <w:rPr>
          <w:color w:val="000000" w:themeColor="text1"/>
          <w:lang w:val="en-US"/>
        </w:rPr>
        <w:t xml:space="preserve"> </w:t>
      </w:r>
      <w:r w:rsidRPr="00A635F9">
        <w:rPr>
          <w:color w:val="000000" w:themeColor="text1"/>
          <w:lang w:val="en-US"/>
        </w:rPr>
        <w:t>Growth:</w:t>
      </w:r>
      <w:r w:rsidR="00A635F9">
        <w:rPr>
          <w:color w:val="000000" w:themeColor="text1"/>
          <w:lang w:val="en-US"/>
        </w:rPr>
        <w:t xml:space="preserve"> </w:t>
      </w:r>
      <w:r w:rsidRPr="00A635F9">
        <w:rPr>
          <w:color w:val="000000" w:themeColor="text1"/>
          <w:lang w:val="en-US"/>
        </w:rPr>
        <w:t>The</w:t>
      </w:r>
      <w:r w:rsidR="00A635F9">
        <w:rPr>
          <w:color w:val="000000" w:themeColor="text1"/>
          <w:lang w:val="en-US"/>
        </w:rPr>
        <w:t xml:space="preserve"> </w:t>
      </w:r>
      <w:r w:rsidRPr="00A635F9">
        <w:rPr>
          <w:color w:val="000000" w:themeColor="text1"/>
          <w:lang w:val="en-US"/>
        </w:rPr>
        <w:t>Pathway</w:t>
      </w:r>
      <w:r w:rsidR="00A635F9">
        <w:rPr>
          <w:color w:val="000000" w:themeColor="text1"/>
          <w:lang w:val="en-US"/>
        </w:rPr>
        <w:t xml:space="preserve"> </w:t>
      </w:r>
      <w:r w:rsidRPr="00A635F9">
        <w:rPr>
          <w:color w:val="000000" w:themeColor="text1"/>
          <w:lang w:val="en-US"/>
        </w:rPr>
        <w:t>to</w:t>
      </w:r>
      <w:r w:rsidR="00A635F9">
        <w:rPr>
          <w:color w:val="000000" w:themeColor="text1"/>
          <w:lang w:val="en-US"/>
        </w:rPr>
        <w:t xml:space="preserve"> </w:t>
      </w:r>
      <w:r w:rsidRPr="00A635F9">
        <w:rPr>
          <w:color w:val="000000" w:themeColor="text1"/>
          <w:lang w:val="en-US"/>
        </w:rPr>
        <w:t>Sustainable</w:t>
      </w:r>
      <w:r w:rsidR="00A635F9">
        <w:rPr>
          <w:color w:val="000000" w:themeColor="text1"/>
          <w:lang w:val="en-US"/>
        </w:rPr>
        <w:t xml:space="preserve"> </w:t>
      </w:r>
      <w:r w:rsidRPr="00A635F9">
        <w:rPr>
          <w:color w:val="000000" w:themeColor="text1"/>
          <w:lang w:val="en-US"/>
        </w:rPr>
        <w:t>Development</w:t>
      </w:r>
      <w:r w:rsidR="00532147" w:rsidRPr="00532147">
        <w:rPr>
          <w:color w:val="000000" w:themeColor="text1"/>
          <w:lang w:val="en-US"/>
        </w:rPr>
        <w:t xml:space="preserve"> / </w:t>
      </w:r>
      <w:r w:rsidR="00532147" w:rsidRPr="00A635F9">
        <w:rPr>
          <w:color w:val="000000" w:themeColor="text1"/>
          <w:lang w:val="en-US"/>
        </w:rPr>
        <w:t>World</w:t>
      </w:r>
      <w:r w:rsidR="00532147">
        <w:rPr>
          <w:color w:val="000000" w:themeColor="text1"/>
          <w:lang w:val="en-US"/>
        </w:rPr>
        <w:t xml:space="preserve"> </w:t>
      </w:r>
      <w:r w:rsidR="00532147" w:rsidRPr="00A635F9">
        <w:rPr>
          <w:color w:val="000000" w:themeColor="text1"/>
          <w:lang w:val="en-US"/>
        </w:rPr>
        <w:t>Bank.</w:t>
      </w:r>
      <w:r w:rsidR="00532147">
        <w:rPr>
          <w:color w:val="000000" w:themeColor="text1"/>
          <w:lang w:val="en-US"/>
        </w:rPr>
        <w:t xml:space="preserve"> </w:t>
      </w:r>
      <w:r w:rsidR="00532147" w:rsidRPr="00532147">
        <w:rPr>
          <w:color w:val="000000" w:themeColor="text1"/>
          <w:lang w:val="en-US"/>
        </w:rPr>
        <w:t>–</w:t>
      </w:r>
      <w:r w:rsidR="00A635F9">
        <w:rPr>
          <w:color w:val="000000" w:themeColor="text1"/>
          <w:lang w:val="en-US"/>
        </w:rPr>
        <w:t xml:space="preserve"> </w:t>
      </w:r>
      <w:r w:rsidRPr="00A635F9">
        <w:rPr>
          <w:color w:val="000000" w:themeColor="text1"/>
          <w:lang w:val="en-US"/>
        </w:rPr>
        <w:t>Washington</w:t>
      </w:r>
      <w:r w:rsidR="00532147">
        <w:rPr>
          <w:color w:val="000000" w:themeColor="text1"/>
          <w:lang w:val="en-US"/>
        </w:rPr>
        <w:t>,</w:t>
      </w:r>
      <w:r w:rsidR="00A635F9">
        <w:rPr>
          <w:color w:val="000000" w:themeColor="text1"/>
          <w:lang w:val="en-US"/>
        </w:rPr>
        <w:t xml:space="preserve"> </w:t>
      </w:r>
      <w:r w:rsidRPr="00A635F9">
        <w:rPr>
          <w:color w:val="000000" w:themeColor="text1"/>
          <w:lang w:val="en-US"/>
        </w:rPr>
        <w:t>2022.</w:t>
      </w:r>
      <w:r w:rsidR="00A635F9">
        <w:rPr>
          <w:color w:val="000000" w:themeColor="text1"/>
          <w:lang w:val="en-US"/>
        </w:rPr>
        <w:t xml:space="preserve"> </w:t>
      </w:r>
      <w:r w:rsidR="00532147" w:rsidRPr="00532147">
        <w:rPr>
          <w:color w:val="000000" w:themeColor="text1"/>
          <w:lang w:val="en-US"/>
        </w:rPr>
        <w:t xml:space="preserve">– </w:t>
      </w:r>
      <w:r w:rsidRPr="00A635F9">
        <w:rPr>
          <w:color w:val="000000" w:themeColor="text1"/>
          <w:lang w:val="en-US"/>
        </w:rPr>
        <w:t>320</w:t>
      </w:r>
      <w:r w:rsidR="00A635F9">
        <w:rPr>
          <w:color w:val="000000" w:themeColor="text1"/>
          <w:lang w:val="en-US"/>
        </w:rPr>
        <w:t xml:space="preserve"> </w:t>
      </w:r>
      <w:r w:rsidRPr="00A635F9">
        <w:rPr>
          <w:color w:val="000000" w:themeColor="text1"/>
          <w:lang w:val="en-US"/>
        </w:rPr>
        <w:t>p.</w:t>
      </w:r>
    </w:p>
    <w:p w:rsidR="00163E90" w:rsidRPr="00A635F9" w:rsidRDefault="00163E90" w:rsidP="00A635F9">
      <w:pPr>
        <w:pStyle w:val="a9"/>
        <w:numPr>
          <w:ilvl w:val="0"/>
          <w:numId w:val="9"/>
        </w:numPr>
        <w:spacing w:line="360" w:lineRule="auto"/>
        <w:ind w:left="0" w:firstLine="709"/>
        <w:jc w:val="both"/>
        <w:rPr>
          <w:color w:val="000000" w:themeColor="text1"/>
        </w:rPr>
      </w:pPr>
      <w:r w:rsidRPr="00A635F9">
        <w:rPr>
          <w:color w:val="000000" w:themeColor="text1"/>
        </w:rPr>
        <w:t>Официальные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материалы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программы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Interreg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Baltic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Sea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Region.</w:t>
      </w:r>
      <w:r w:rsidR="00A635F9">
        <w:rPr>
          <w:color w:val="000000" w:themeColor="text1"/>
        </w:rPr>
        <w:t xml:space="preserve"> </w:t>
      </w:r>
      <w:r w:rsidR="00532147" w:rsidRPr="00532147">
        <w:rPr>
          <w:color w:val="000000" w:themeColor="text1"/>
        </w:rPr>
        <w:t>–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https://interreg-baltic.eu</w:t>
      </w:r>
    </w:p>
    <w:p w:rsidR="00163E90" w:rsidRPr="00A635F9" w:rsidRDefault="00163E90" w:rsidP="00A635F9">
      <w:pPr>
        <w:pStyle w:val="a9"/>
        <w:numPr>
          <w:ilvl w:val="0"/>
          <w:numId w:val="9"/>
        </w:numPr>
        <w:spacing w:line="360" w:lineRule="auto"/>
        <w:ind w:left="0" w:firstLine="709"/>
        <w:jc w:val="both"/>
        <w:rPr>
          <w:color w:val="000000" w:themeColor="text1"/>
        </w:rPr>
      </w:pPr>
      <w:r w:rsidRPr="00532147">
        <w:rPr>
          <w:i/>
          <w:color w:val="000000" w:themeColor="text1"/>
        </w:rPr>
        <w:t>Балацкий</w:t>
      </w:r>
      <w:r w:rsidR="00A635F9" w:rsidRPr="00532147">
        <w:rPr>
          <w:i/>
          <w:color w:val="000000" w:themeColor="text1"/>
        </w:rPr>
        <w:t xml:space="preserve"> </w:t>
      </w:r>
      <w:r w:rsidRPr="00532147">
        <w:rPr>
          <w:i/>
          <w:color w:val="000000" w:themeColor="text1"/>
        </w:rPr>
        <w:t>О.Ф.,</w:t>
      </w:r>
      <w:r w:rsidR="00A635F9" w:rsidRPr="00532147">
        <w:rPr>
          <w:i/>
          <w:color w:val="000000" w:themeColor="text1"/>
        </w:rPr>
        <w:t xml:space="preserve"> </w:t>
      </w:r>
      <w:r w:rsidRPr="00532147">
        <w:rPr>
          <w:i/>
          <w:color w:val="000000" w:themeColor="text1"/>
        </w:rPr>
        <w:t>Саакянц</w:t>
      </w:r>
      <w:r w:rsidR="00A635F9" w:rsidRPr="00532147">
        <w:rPr>
          <w:i/>
          <w:color w:val="000000" w:themeColor="text1"/>
        </w:rPr>
        <w:t xml:space="preserve"> </w:t>
      </w:r>
      <w:r w:rsidRPr="00532147">
        <w:rPr>
          <w:i/>
          <w:color w:val="000000" w:themeColor="text1"/>
        </w:rPr>
        <w:t>Р.Г.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Экономика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природопользования.</w:t>
      </w:r>
      <w:r w:rsidR="00A635F9">
        <w:rPr>
          <w:color w:val="000000" w:themeColor="text1"/>
        </w:rPr>
        <w:t xml:space="preserve"> </w:t>
      </w:r>
      <w:r w:rsidR="00532147" w:rsidRPr="00532147">
        <w:rPr>
          <w:color w:val="000000" w:themeColor="text1"/>
        </w:rPr>
        <w:t>–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М.: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Инфра-М,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2023.</w:t>
      </w:r>
      <w:r w:rsidR="00A635F9">
        <w:rPr>
          <w:color w:val="000000" w:themeColor="text1"/>
        </w:rPr>
        <w:t xml:space="preserve"> </w:t>
      </w:r>
      <w:r w:rsidR="00532147" w:rsidRPr="00532147">
        <w:rPr>
          <w:color w:val="000000" w:themeColor="text1"/>
        </w:rPr>
        <w:t>–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412</w:t>
      </w:r>
      <w:r w:rsidR="00A635F9">
        <w:rPr>
          <w:color w:val="000000" w:themeColor="text1"/>
        </w:rPr>
        <w:t xml:space="preserve"> </w:t>
      </w:r>
      <w:r w:rsidRPr="00A635F9">
        <w:rPr>
          <w:color w:val="000000" w:themeColor="text1"/>
        </w:rPr>
        <w:t>с.</w:t>
      </w:r>
    </w:p>
    <w:p w:rsidR="0038406E" w:rsidRPr="00532147" w:rsidRDefault="00163E90" w:rsidP="00A635F9">
      <w:pPr>
        <w:pStyle w:val="a9"/>
        <w:numPr>
          <w:ilvl w:val="0"/>
          <w:numId w:val="9"/>
        </w:numPr>
        <w:spacing w:line="360" w:lineRule="auto"/>
        <w:ind w:left="0" w:firstLine="709"/>
        <w:jc w:val="both"/>
      </w:pPr>
      <w:r w:rsidRPr="00532147">
        <w:t>Отчет</w:t>
      </w:r>
      <w:r w:rsidR="00A635F9" w:rsidRPr="00532147">
        <w:t xml:space="preserve"> </w:t>
      </w:r>
      <w:r w:rsidRPr="00532147">
        <w:t>о</w:t>
      </w:r>
      <w:r w:rsidR="00A635F9" w:rsidRPr="00532147">
        <w:t xml:space="preserve"> </w:t>
      </w:r>
      <w:r w:rsidRPr="00532147">
        <w:t>деятельности</w:t>
      </w:r>
      <w:r w:rsidR="00A635F9" w:rsidRPr="00532147">
        <w:t xml:space="preserve"> </w:t>
      </w:r>
      <w:r w:rsidRPr="00532147">
        <w:t>Арктического</w:t>
      </w:r>
      <w:r w:rsidR="00A635F9" w:rsidRPr="00532147">
        <w:t xml:space="preserve"> </w:t>
      </w:r>
      <w:r w:rsidRPr="00532147">
        <w:t>экологического</w:t>
      </w:r>
      <w:r w:rsidR="00A635F9" w:rsidRPr="00532147">
        <w:t xml:space="preserve"> </w:t>
      </w:r>
      <w:r w:rsidRPr="00532147">
        <w:t>кластера</w:t>
      </w:r>
      <w:r w:rsidR="00A635F9" w:rsidRPr="00532147">
        <w:t xml:space="preserve"> </w:t>
      </w:r>
      <w:r w:rsidRPr="00532147">
        <w:t>за</w:t>
      </w:r>
      <w:r w:rsidR="00A635F9" w:rsidRPr="00532147">
        <w:t xml:space="preserve"> </w:t>
      </w:r>
      <w:r w:rsidRPr="00532147">
        <w:t>2021-2023</w:t>
      </w:r>
      <w:r w:rsidR="00A635F9" w:rsidRPr="00532147">
        <w:t xml:space="preserve"> </w:t>
      </w:r>
      <w:r w:rsidRPr="00532147">
        <w:t>гг.</w:t>
      </w:r>
      <w:r w:rsidR="00A635F9" w:rsidRPr="00532147">
        <w:t xml:space="preserve"> </w:t>
      </w:r>
      <w:r w:rsidR="00532147" w:rsidRPr="00532147">
        <w:t>–</w:t>
      </w:r>
      <w:r w:rsidR="00A635F9" w:rsidRPr="00532147">
        <w:t xml:space="preserve"> </w:t>
      </w:r>
      <w:r w:rsidRPr="00532147">
        <w:t>Мурманск,</w:t>
      </w:r>
      <w:r w:rsidR="00A635F9" w:rsidRPr="00532147">
        <w:t xml:space="preserve"> </w:t>
      </w:r>
      <w:r w:rsidRPr="00532147">
        <w:t>2024.</w:t>
      </w:r>
      <w:r w:rsidR="00A635F9" w:rsidRPr="00532147">
        <w:t xml:space="preserve"> </w:t>
      </w:r>
      <w:r w:rsidR="00532147" w:rsidRPr="00532147">
        <w:t>–</w:t>
      </w:r>
      <w:r w:rsidR="00A635F9" w:rsidRPr="00532147">
        <w:t xml:space="preserve"> </w:t>
      </w:r>
      <w:r w:rsidRPr="00532147">
        <w:t>96</w:t>
      </w:r>
      <w:r w:rsidR="00A635F9" w:rsidRPr="00532147">
        <w:t xml:space="preserve"> </w:t>
      </w:r>
      <w:r w:rsidRPr="00532147">
        <w:t>с.</w:t>
      </w:r>
    </w:p>
    <w:sectPr w:rsidR="0038406E" w:rsidRPr="00532147" w:rsidSect="00A635F9">
      <w:headerReference w:type="default" r:id="rId10"/>
      <w:footerReference w:type="default" r:id="rId11"/>
      <w:pgSz w:w="11900" w:h="16840" w:code="9"/>
      <w:pgMar w:top="1134" w:right="1418" w:bottom="1134" w:left="1418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5F9" w:rsidRDefault="00A635F9" w:rsidP="00C32735">
      <w:r>
        <w:separator/>
      </w:r>
    </w:p>
  </w:endnote>
  <w:endnote w:type="continuationSeparator" w:id="0">
    <w:p w:rsidR="00A635F9" w:rsidRDefault="00A635F9" w:rsidP="00C327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48075"/>
      <w:docPartObj>
        <w:docPartGallery w:val="Page Numbers (Bottom of Page)"/>
        <w:docPartUnique/>
      </w:docPartObj>
    </w:sdtPr>
    <w:sdtContent>
      <w:p w:rsidR="00A635F9" w:rsidRDefault="00A635F9" w:rsidP="00A635F9">
        <w:pPr>
          <w:pStyle w:val="ad"/>
          <w:jc w:val="center"/>
        </w:pPr>
        <w:fldSimple w:instr=" PAGE   \* MERGEFORMAT ">
          <w:r w:rsidR="00A02BB4">
            <w:rPr>
              <w:noProof/>
            </w:rPr>
            <w:t>5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5F9" w:rsidRDefault="00A635F9" w:rsidP="00C32735">
      <w:r>
        <w:separator/>
      </w:r>
    </w:p>
  </w:footnote>
  <w:footnote w:type="continuationSeparator" w:id="0">
    <w:p w:rsidR="00A635F9" w:rsidRDefault="00A635F9" w:rsidP="00C327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5F9" w:rsidRDefault="00A635F9" w:rsidP="00A635F9">
    <w:pPr>
      <w:pStyle w:val="ab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07776"/>
    <w:multiLevelType w:val="hybridMultilevel"/>
    <w:tmpl w:val="8A160E7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66D5286"/>
    <w:multiLevelType w:val="hybridMultilevel"/>
    <w:tmpl w:val="73E47D2C"/>
    <w:lvl w:ilvl="0" w:tplc="2AF664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CB6938"/>
    <w:multiLevelType w:val="hybridMultilevel"/>
    <w:tmpl w:val="A8042A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0382F47"/>
    <w:multiLevelType w:val="hybridMultilevel"/>
    <w:tmpl w:val="C49E54B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267117F"/>
    <w:multiLevelType w:val="hybridMultilevel"/>
    <w:tmpl w:val="BA0CD2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45B6146"/>
    <w:multiLevelType w:val="hybridMultilevel"/>
    <w:tmpl w:val="28B294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D9D0CE2"/>
    <w:multiLevelType w:val="hybridMultilevel"/>
    <w:tmpl w:val="C8761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E47113"/>
    <w:multiLevelType w:val="hybridMultilevel"/>
    <w:tmpl w:val="661A88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2982BB8"/>
    <w:multiLevelType w:val="hybridMultilevel"/>
    <w:tmpl w:val="24567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406E"/>
    <w:rsid w:val="000831BB"/>
    <w:rsid w:val="000833F7"/>
    <w:rsid w:val="00086DEB"/>
    <w:rsid w:val="00086EA1"/>
    <w:rsid w:val="000B4536"/>
    <w:rsid w:val="000C3F1E"/>
    <w:rsid w:val="000C7A04"/>
    <w:rsid w:val="000D70F0"/>
    <w:rsid w:val="000F6636"/>
    <w:rsid w:val="00116DB1"/>
    <w:rsid w:val="00130F60"/>
    <w:rsid w:val="001569BF"/>
    <w:rsid w:val="00163E90"/>
    <w:rsid w:val="00165191"/>
    <w:rsid w:val="001A3AF6"/>
    <w:rsid w:val="001A3F57"/>
    <w:rsid w:val="001A48F5"/>
    <w:rsid w:val="001B1E8D"/>
    <w:rsid w:val="001B2F1C"/>
    <w:rsid w:val="00200F2B"/>
    <w:rsid w:val="00250204"/>
    <w:rsid w:val="002704FF"/>
    <w:rsid w:val="002B4BCF"/>
    <w:rsid w:val="002B7AA4"/>
    <w:rsid w:val="002E07AD"/>
    <w:rsid w:val="00303C7D"/>
    <w:rsid w:val="00335A1D"/>
    <w:rsid w:val="0038406E"/>
    <w:rsid w:val="0039726D"/>
    <w:rsid w:val="003F3DFC"/>
    <w:rsid w:val="00407C8F"/>
    <w:rsid w:val="004A16A4"/>
    <w:rsid w:val="004A6EFF"/>
    <w:rsid w:val="004B6183"/>
    <w:rsid w:val="004C2BF8"/>
    <w:rsid w:val="004E3F2E"/>
    <w:rsid w:val="004F6C5F"/>
    <w:rsid w:val="0052379A"/>
    <w:rsid w:val="00532147"/>
    <w:rsid w:val="005370A1"/>
    <w:rsid w:val="0057554F"/>
    <w:rsid w:val="005D33C6"/>
    <w:rsid w:val="005E6454"/>
    <w:rsid w:val="006013A3"/>
    <w:rsid w:val="00601929"/>
    <w:rsid w:val="0065285D"/>
    <w:rsid w:val="006913DD"/>
    <w:rsid w:val="006A1DDA"/>
    <w:rsid w:val="00702BFF"/>
    <w:rsid w:val="00735D0E"/>
    <w:rsid w:val="007478C3"/>
    <w:rsid w:val="00747D71"/>
    <w:rsid w:val="007613C9"/>
    <w:rsid w:val="007835B0"/>
    <w:rsid w:val="007A46DE"/>
    <w:rsid w:val="007A5683"/>
    <w:rsid w:val="007C4362"/>
    <w:rsid w:val="007E238F"/>
    <w:rsid w:val="0082014A"/>
    <w:rsid w:val="00891C5F"/>
    <w:rsid w:val="008C36CD"/>
    <w:rsid w:val="008C7665"/>
    <w:rsid w:val="008D797B"/>
    <w:rsid w:val="009048A2"/>
    <w:rsid w:val="00924807"/>
    <w:rsid w:val="0093421A"/>
    <w:rsid w:val="009628D3"/>
    <w:rsid w:val="009903D5"/>
    <w:rsid w:val="009C458A"/>
    <w:rsid w:val="00A02BB4"/>
    <w:rsid w:val="00A07CB2"/>
    <w:rsid w:val="00A11B91"/>
    <w:rsid w:val="00A25C20"/>
    <w:rsid w:val="00A47A41"/>
    <w:rsid w:val="00A56401"/>
    <w:rsid w:val="00A635F9"/>
    <w:rsid w:val="00A7477E"/>
    <w:rsid w:val="00A7764F"/>
    <w:rsid w:val="00A93A1B"/>
    <w:rsid w:val="00A946C5"/>
    <w:rsid w:val="00AC5A1E"/>
    <w:rsid w:val="00AE024D"/>
    <w:rsid w:val="00AE1505"/>
    <w:rsid w:val="00AE49F5"/>
    <w:rsid w:val="00AF078F"/>
    <w:rsid w:val="00B05938"/>
    <w:rsid w:val="00B21838"/>
    <w:rsid w:val="00B547EE"/>
    <w:rsid w:val="00B72DAE"/>
    <w:rsid w:val="00BA4228"/>
    <w:rsid w:val="00BE315B"/>
    <w:rsid w:val="00C0219C"/>
    <w:rsid w:val="00C05935"/>
    <w:rsid w:val="00C23A9F"/>
    <w:rsid w:val="00C3150C"/>
    <w:rsid w:val="00C32735"/>
    <w:rsid w:val="00C5651D"/>
    <w:rsid w:val="00CE41C0"/>
    <w:rsid w:val="00CF52EA"/>
    <w:rsid w:val="00D11165"/>
    <w:rsid w:val="00D247AA"/>
    <w:rsid w:val="00D36847"/>
    <w:rsid w:val="00DC1232"/>
    <w:rsid w:val="00DF3CAD"/>
    <w:rsid w:val="00DF7B7B"/>
    <w:rsid w:val="00E06DD9"/>
    <w:rsid w:val="00E37C18"/>
    <w:rsid w:val="00E4077B"/>
    <w:rsid w:val="00E41898"/>
    <w:rsid w:val="00E60869"/>
    <w:rsid w:val="00E72527"/>
    <w:rsid w:val="00E82575"/>
    <w:rsid w:val="00E826DB"/>
    <w:rsid w:val="00EA19FD"/>
    <w:rsid w:val="00EA463D"/>
    <w:rsid w:val="00EA4E63"/>
    <w:rsid w:val="00EC48D2"/>
    <w:rsid w:val="00ED0584"/>
    <w:rsid w:val="00F13096"/>
    <w:rsid w:val="00F311FC"/>
    <w:rsid w:val="00F44E06"/>
    <w:rsid w:val="00F5500E"/>
    <w:rsid w:val="00FB4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6A4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6320,bqiaagaaeyqcaaagiaiaaam3zgaabuvmaaaaaaaaaaaaaaaaaaaaaaaaaaaaaaaaaaaaaaaaaaaaaaaaaaaaaaaaaaaaaaaaaaaaaaaaaaaaaaaaaaaaaaaaaaaaaaaaaaaaaaaaaaaaaaaaaaaaaaaaaaaaaaaaaaaaaaaaaaaaaaaaaaaaaaaaaaaaaaaaaaaaaaaaaaaaaaaaaaaaaaaaaaaaaaaaaaaaaaa"/>
    <w:basedOn w:val="a"/>
    <w:rsid w:val="0038406E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rsid w:val="0038406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8406E"/>
  </w:style>
  <w:style w:type="character" w:styleId="a4">
    <w:name w:val="Hyperlink"/>
    <w:basedOn w:val="a0"/>
    <w:uiPriority w:val="99"/>
    <w:unhideWhenUsed/>
    <w:rsid w:val="0038406E"/>
    <w:rPr>
      <w:color w:val="0000FF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C32735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C32735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32735"/>
    <w:rPr>
      <w:vertAlign w:val="superscript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32735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C327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E3F2E"/>
    <w:pPr>
      <w:ind w:left="720"/>
      <w:contextualSpacing/>
    </w:pPr>
  </w:style>
  <w:style w:type="character" w:customStyle="1" w:styleId="2">
    <w:name w:val="Неразрешенное упоминание2"/>
    <w:basedOn w:val="a0"/>
    <w:uiPriority w:val="99"/>
    <w:semiHidden/>
    <w:unhideWhenUsed/>
    <w:rsid w:val="0082014A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2E07AD"/>
    <w:rPr>
      <w:color w:val="605E5C"/>
      <w:shd w:val="clear" w:color="auto" w:fill="E1DFDD"/>
    </w:rPr>
  </w:style>
  <w:style w:type="character" w:styleId="aa">
    <w:name w:val="Strong"/>
    <w:basedOn w:val="a0"/>
    <w:uiPriority w:val="22"/>
    <w:qFormat/>
    <w:rsid w:val="00B05938"/>
    <w:rPr>
      <w:b/>
      <w:bCs/>
    </w:rPr>
  </w:style>
  <w:style w:type="paragraph" w:styleId="ab">
    <w:name w:val="header"/>
    <w:basedOn w:val="a"/>
    <w:link w:val="ac"/>
    <w:uiPriority w:val="99"/>
    <w:unhideWhenUsed/>
    <w:rsid w:val="004B618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B6183"/>
    <w:rPr>
      <w:rFonts w:ascii="Times New Roman" w:eastAsia="Times New Roman" w:hAnsi="Times New Roman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4B618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B6183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7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pasi\OneDrive\Desktop\&#1059;&#1085;&#1080;&#1074;&#1077;&#1088;\&#1057;&#1090;&#1072;&#1090;&#1100;&#1080;\&#1041;&#1088;&#1080;&#1082;&#1089;%202025\rusavskaya.alewtina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%20spasionovartemiy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DB185A02-A66C-480B-80B3-B3185E8BD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1442</Words>
  <Characters>8223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 Мусатов</dc:creator>
  <cp:lastModifiedBy>Владимир</cp:lastModifiedBy>
  <cp:revision>4</cp:revision>
  <cp:lastPrinted>2025-03-03T15:42:00Z</cp:lastPrinted>
  <dcterms:created xsi:type="dcterms:W3CDTF">2025-07-02T08:29:00Z</dcterms:created>
  <dcterms:modified xsi:type="dcterms:W3CDTF">2025-07-21T16:11:00Z</dcterms:modified>
</cp:coreProperties>
</file>