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85" w:rsidRPr="008A4C85" w:rsidRDefault="00AB78E1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C85">
        <w:rPr>
          <w:rFonts w:ascii="Times New Roman" w:hAnsi="Times New Roman" w:cs="Times New Roman"/>
          <w:b/>
          <w:bCs/>
          <w:i/>
          <w:sz w:val="24"/>
          <w:szCs w:val="24"/>
        </w:rPr>
        <w:t>Никоноров</w:t>
      </w:r>
      <w:r w:rsidR="008A4C85" w:rsidRPr="008A4C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="008A4C85" w:rsidRPr="008A4C85">
        <w:rPr>
          <w:rFonts w:ascii="Times New Roman" w:hAnsi="Times New Roman" w:cs="Times New Roman"/>
          <w:b/>
          <w:bCs/>
          <w:i/>
          <w:sz w:val="24"/>
          <w:szCs w:val="24"/>
        </w:rPr>
        <w:t>.М.</w:t>
      </w:r>
    </w:p>
    <w:p w:rsidR="00AB78E1" w:rsidRPr="008A4C85" w:rsidRDefault="008A4C85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д.э.н.,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профессор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афедры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экономики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природопользования,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директор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Центра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исследования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экономических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проблем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Арктики,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Экономический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факультет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МГУ</w:t>
      </w:r>
    </w:p>
    <w:p w:rsidR="00AB78E1" w:rsidRPr="008A4C85" w:rsidRDefault="001102AE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AB78E1" w:rsidRPr="008A4C85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Nico.73@mail.ru</w:t>
        </w:r>
      </w:hyperlink>
    </w:p>
    <w:p w:rsidR="008A4C85" w:rsidRPr="008A4C85" w:rsidRDefault="00AB78E1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C85">
        <w:rPr>
          <w:rFonts w:ascii="Times New Roman" w:hAnsi="Times New Roman" w:cs="Times New Roman"/>
          <w:b/>
          <w:bCs/>
          <w:i/>
          <w:sz w:val="24"/>
          <w:szCs w:val="24"/>
        </w:rPr>
        <w:t>Лисянский</w:t>
      </w:r>
      <w:r w:rsidR="008A4C85" w:rsidRPr="008A4C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8A4C85" w:rsidRPr="008A4C85">
        <w:rPr>
          <w:rFonts w:ascii="Times New Roman" w:hAnsi="Times New Roman" w:cs="Times New Roman"/>
          <w:b/>
          <w:bCs/>
          <w:i/>
          <w:sz w:val="24"/>
          <w:szCs w:val="24"/>
        </w:rPr>
        <w:t>.Б.</w:t>
      </w:r>
    </w:p>
    <w:p w:rsidR="00AB78E1" w:rsidRPr="008A4C85" w:rsidRDefault="008A4C85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C85">
        <w:rPr>
          <w:rFonts w:ascii="Times New Roman" w:hAnsi="Times New Roman" w:cs="Times New Roman"/>
          <w:bCs/>
          <w:sz w:val="24"/>
          <w:szCs w:val="24"/>
        </w:rPr>
        <w:t>к.э.н.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доцент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афедры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человеческими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ресурсами,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Самарский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национально-исследовательский</w:t>
      </w:r>
      <w:r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8E1" w:rsidRPr="008A4C85">
        <w:rPr>
          <w:rFonts w:ascii="Times New Roman" w:hAnsi="Times New Roman" w:cs="Times New Roman"/>
          <w:bCs/>
          <w:sz w:val="24"/>
          <w:szCs w:val="24"/>
        </w:rPr>
        <w:t>университет</w:t>
      </w:r>
    </w:p>
    <w:p w:rsidR="00AB78E1" w:rsidRPr="008A4C85" w:rsidRDefault="00AB78E1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C85">
        <w:rPr>
          <w:rFonts w:ascii="Times New Roman" w:hAnsi="Times New Roman" w:cs="Times New Roman"/>
          <w:bCs/>
          <w:sz w:val="24"/>
          <w:szCs w:val="24"/>
        </w:rPr>
        <w:t>Lisyanskiy.ab@ssau.ru</w:t>
      </w:r>
    </w:p>
    <w:p w:rsidR="008A4C85" w:rsidRPr="008A4C85" w:rsidRDefault="00AB78E1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C85">
        <w:rPr>
          <w:rFonts w:ascii="Times New Roman" w:hAnsi="Times New Roman" w:cs="Times New Roman"/>
          <w:b/>
          <w:bCs/>
          <w:i/>
          <w:sz w:val="24"/>
          <w:szCs w:val="24"/>
        </w:rPr>
        <w:t>Сарафанов</w:t>
      </w:r>
      <w:r w:rsidR="008A4C85" w:rsidRPr="008A4C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/>
          <w:bCs/>
          <w:i/>
          <w:sz w:val="24"/>
          <w:szCs w:val="24"/>
        </w:rPr>
        <w:t>М</w:t>
      </w:r>
      <w:r w:rsidR="008A4C85" w:rsidRPr="008A4C85">
        <w:rPr>
          <w:rFonts w:ascii="Times New Roman" w:hAnsi="Times New Roman" w:cs="Times New Roman"/>
          <w:b/>
          <w:bCs/>
          <w:i/>
          <w:sz w:val="24"/>
          <w:szCs w:val="24"/>
        </w:rPr>
        <w:t>.В.</w:t>
      </w:r>
    </w:p>
    <w:p w:rsidR="008A4C85" w:rsidRDefault="00AB78E1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C85">
        <w:rPr>
          <w:rFonts w:ascii="Times New Roman" w:hAnsi="Times New Roman" w:cs="Times New Roman"/>
          <w:bCs/>
          <w:sz w:val="24"/>
          <w:szCs w:val="24"/>
        </w:rPr>
        <w:t>магистр,</w:t>
      </w:r>
      <w:r w:rsidR="008A4C85"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Cs/>
          <w:sz w:val="24"/>
          <w:szCs w:val="24"/>
        </w:rPr>
        <w:t>Высш</w:t>
      </w:r>
      <w:r w:rsidR="008A4C85">
        <w:rPr>
          <w:rFonts w:ascii="Times New Roman" w:hAnsi="Times New Roman" w:cs="Times New Roman"/>
          <w:bCs/>
          <w:sz w:val="24"/>
          <w:szCs w:val="24"/>
        </w:rPr>
        <w:t>ая</w:t>
      </w:r>
      <w:r w:rsidR="008A4C85"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Cs/>
          <w:sz w:val="24"/>
          <w:szCs w:val="24"/>
        </w:rPr>
        <w:t>школ</w:t>
      </w:r>
      <w:r w:rsidR="008A4C85">
        <w:rPr>
          <w:rFonts w:ascii="Times New Roman" w:hAnsi="Times New Roman" w:cs="Times New Roman"/>
          <w:bCs/>
          <w:sz w:val="24"/>
          <w:szCs w:val="24"/>
        </w:rPr>
        <w:t>а</w:t>
      </w:r>
      <w:r w:rsidR="008A4C85"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Cs/>
          <w:sz w:val="24"/>
          <w:szCs w:val="24"/>
        </w:rPr>
        <w:t>государственного</w:t>
      </w:r>
      <w:r w:rsidR="008A4C85"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Cs/>
          <w:sz w:val="24"/>
          <w:szCs w:val="24"/>
        </w:rPr>
        <w:t>администрирования</w:t>
      </w:r>
      <w:r w:rsidR="008A4C85" w:rsidRPr="008A4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Cs/>
          <w:sz w:val="24"/>
          <w:szCs w:val="24"/>
        </w:rPr>
        <w:t>МГУ</w:t>
      </w:r>
    </w:p>
    <w:p w:rsidR="00D41E58" w:rsidRPr="008A4C85" w:rsidRDefault="00AB78E1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C85">
        <w:rPr>
          <w:rFonts w:ascii="Times New Roman" w:hAnsi="Times New Roman" w:cs="Times New Roman"/>
          <w:bCs/>
          <w:sz w:val="24"/>
          <w:szCs w:val="24"/>
        </w:rPr>
        <w:t>mishasar@inbox.</w:t>
      </w:r>
      <w:r w:rsidRPr="008A4C8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D41E58" w:rsidRPr="008A4C85" w:rsidRDefault="00D41E58" w:rsidP="008A4C85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1E58" w:rsidRPr="008A4C85" w:rsidRDefault="008A4C85" w:rsidP="008A4C85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C85">
        <w:rPr>
          <w:rFonts w:ascii="Times New Roman" w:hAnsi="Times New Roman" w:cs="Times New Roman"/>
          <w:b/>
          <w:bCs/>
          <w:sz w:val="24"/>
          <w:szCs w:val="24"/>
        </w:rPr>
        <w:t>УСТОЙЧИВОЕ РАЗВИТИЕ ЭНЕРГЕТИЧЕСКОЙ ОТРАСЛИ В СТРАНАХ БРИКС</w:t>
      </w:r>
    </w:p>
    <w:p w:rsidR="00D41E58" w:rsidRPr="008A4C85" w:rsidRDefault="00D41E58" w:rsidP="008A4C85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A44" w:rsidRPr="008A4C85" w:rsidRDefault="00E90A44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C85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8A4C85" w:rsidRPr="008A4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устойчивое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развитие,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энергетический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сектор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экономики,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экономический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рост,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энергетическая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безопасность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экологическая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устойчивость,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развитие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энергетики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странах</w:t>
      </w:r>
      <w:r w:rsidR="008A4C85" w:rsidRPr="008A4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</w:rPr>
        <w:t>БРИКС.</w:t>
      </w:r>
    </w:p>
    <w:p w:rsidR="00E90A44" w:rsidRPr="008A4C85" w:rsidRDefault="00E90A44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4C8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sustainable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energy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sector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economy,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growth,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energy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security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environmental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sustainability,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energy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development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BRICS</w:t>
      </w:r>
      <w:r w:rsidR="008A4C85" w:rsidRPr="008A4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4C85">
        <w:rPr>
          <w:rFonts w:ascii="Times New Roman" w:hAnsi="Times New Roman" w:cs="Times New Roman"/>
          <w:i/>
          <w:sz w:val="24"/>
          <w:szCs w:val="24"/>
          <w:lang w:val="en-US"/>
        </w:rPr>
        <w:t>countries.</w:t>
      </w:r>
    </w:p>
    <w:p w:rsidR="008A4C85" w:rsidRDefault="008A4C85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jp9wruypyex2"/>
      <w:bookmarkStart w:id="1" w:name="_Toc1"/>
      <w:bookmarkEnd w:id="0"/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A4C85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8A4C85" w:rsidRPr="008A4C8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End w:id="1"/>
    </w:p>
    <w:p w:rsidR="00DE2980" w:rsidRDefault="004D2BEE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C85">
        <w:rPr>
          <w:rFonts w:ascii="Times New Roman" w:hAnsi="Times New Roman" w:cs="Times New Roman"/>
          <w:sz w:val="24"/>
          <w:szCs w:val="24"/>
        </w:rPr>
        <w:t>Устойчивое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8A4C85">
        <w:rPr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термин,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который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первоначально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связывался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сферой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экологии.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Впоследствии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его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8A4C85">
        <w:rPr>
          <w:rFonts w:ascii="Times New Roman" w:hAnsi="Times New Roman" w:cs="Times New Roman"/>
          <w:sz w:val="24"/>
          <w:szCs w:val="24"/>
        </w:rPr>
        <w:t>содержание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расширил</w:t>
      </w:r>
      <w:r w:rsidR="008A4C85">
        <w:rPr>
          <w:rFonts w:ascii="Times New Roman" w:hAnsi="Times New Roman" w:cs="Times New Roman"/>
          <w:sz w:val="24"/>
          <w:szCs w:val="24"/>
        </w:rPr>
        <w:t>о</w:t>
      </w:r>
      <w:r w:rsidRPr="008A4C85">
        <w:rPr>
          <w:rFonts w:ascii="Times New Roman" w:hAnsi="Times New Roman" w:cs="Times New Roman"/>
          <w:sz w:val="24"/>
          <w:szCs w:val="24"/>
        </w:rPr>
        <w:t>сь: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8A4C85">
        <w:rPr>
          <w:rFonts w:ascii="Times New Roman" w:hAnsi="Times New Roman" w:cs="Times New Roman"/>
          <w:sz w:val="24"/>
          <w:szCs w:val="24"/>
        </w:rPr>
        <w:t xml:space="preserve">в нем </w:t>
      </w:r>
      <w:r w:rsidRPr="008A4C85">
        <w:rPr>
          <w:rFonts w:ascii="Times New Roman" w:hAnsi="Times New Roman" w:cs="Times New Roman"/>
          <w:sz w:val="24"/>
          <w:szCs w:val="24"/>
        </w:rPr>
        <w:t>появились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значения,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которые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так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или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иначе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коррелируют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понятиями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экономической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эффективности,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особенно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если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речь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идет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об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энергетике.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Н.Г.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Михайлов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отмечает,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нерешенные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экологические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вопросы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стали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ключом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пониманию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дальнейшей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стратегии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развития.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Оказалось,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«исчерпаемость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природных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ресурсов,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ухудшение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состояния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окружающей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природной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среды,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усиление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взаимозависимости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экологических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экономических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процессов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явились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причиной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поиска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новой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парадигмы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Fonts w:ascii="Times New Roman" w:hAnsi="Times New Roman" w:cs="Times New Roman"/>
          <w:sz w:val="24"/>
          <w:szCs w:val="24"/>
        </w:rPr>
        <w:t>развития»</w:t>
      </w:r>
      <w:r w:rsidRPr="008A4C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8A4C85">
        <w:rPr>
          <w:rFonts w:ascii="Times New Roman" w:hAnsi="Times New Roman" w:cs="Times New Roman"/>
          <w:sz w:val="24"/>
          <w:szCs w:val="24"/>
        </w:rPr>
        <w:t>.</w:t>
      </w:r>
    </w:p>
    <w:p w:rsidR="00D41E58" w:rsidRPr="008A4C85" w:rsidRDefault="00DE2980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D2BEE" w:rsidRPr="008A4C85">
        <w:rPr>
          <w:rFonts w:ascii="Times New Roman" w:hAnsi="Times New Roman" w:cs="Times New Roman"/>
          <w:sz w:val="24"/>
          <w:szCs w:val="24"/>
        </w:rPr>
        <w:t>тремление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устойчивому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миру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концепции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развития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может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мыслиться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без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разработки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программ,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решающих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только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государственные,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но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международные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проблемы.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D2BEE" w:rsidRPr="008A4C85">
        <w:rPr>
          <w:rFonts w:ascii="Times New Roman" w:hAnsi="Times New Roman" w:cs="Times New Roman"/>
          <w:sz w:val="24"/>
          <w:szCs w:val="24"/>
        </w:rPr>
        <w:t>стойчивое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энергетического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сектора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экономики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стало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центральным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вопросом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глобальной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повестки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дня.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БРИКСкак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крупнейшие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развивающиеся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экономики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играют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все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важную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роль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мировом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энергетическом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ландшафте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достижении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целей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развития.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совокупности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они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обладают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огромными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энергетическими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ресурсами.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Приведем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статистику,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представленную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Global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Energy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Monitor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2024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году: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«Мощность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всем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технологиям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странах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группы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составляет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4.2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тераватт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(ТВт),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или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чуть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меньше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половины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общемирового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показателя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(9.0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ТВт).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Структура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мощности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блоке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разнообразна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охватывает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все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восемь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секторов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энергетики,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охваченных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трекерами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  <w:lang w:val="de-DE"/>
        </w:rPr>
        <w:t>GEM,</w:t>
      </w:r>
      <w:r w:rsidR="008A4C85" w:rsidRPr="008A4C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включая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два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ископаемых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источника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угле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нефти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газе,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шесть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неископаемых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источников,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включая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солнечную,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ветровую,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гидроэнергетику,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ядерную,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биоэнергетику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геотермальную</w:t>
      </w:r>
      <w:r w:rsidR="008A4C85" w:rsidRPr="008A4C85">
        <w:rPr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Fonts w:ascii="Times New Roman" w:hAnsi="Times New Roman" w:cs="Times New Roman"/>
          <w:sz w:val="24"/>
          <w:szCs w:val="24"/>
        </w:rPr>
        <w:t>энергию»</w:t>
      </w:r>
      <w:r w:rsidR="004D2BEE" w:rsidRPr="008A4C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стремятся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экономический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рост,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безопасность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экологическую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устойчивость.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Государства,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входящие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объединения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активно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расширяли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сотрудничество,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реализовывали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совместные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реформировали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национальные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стратегии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соответствии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целями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каждая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сталкивается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проблемами,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включающими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необходимость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диверсификации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финансированию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сопряжен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значительными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трудностями.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Несмотря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достигнутый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прогресс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снижении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бедности,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миллионы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людей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живут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надежного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электроснабжения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приготовления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пищи.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сохраняются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серьезные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диспропорции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странами-членами.</w:t>
      </w:r>
    </w:p>
    <w:p w:rsidR="00D41E58" w:rsidRPr="00DE2980" w:rsidRDefault="004D2BEE" w:rsidP="00DE298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2"/>
      <w:r w:rsidRPr="00DE2980">
        <w:rPr>
          <w:rStyle w:val="a7"/>
          <w:rFonts w:ascii="Times New Roman" w:hAnsi="Times New Roman" w:cs="Times New Roman"/>
          <w:b/>
          <w:sz w:val="24"/>
          <w:szCs w:val="24"/>
        </w:rPr>
        <w:t>Реализация</w:t>
      </w:r>
      <w:r w:rsidR="008A4C85"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>проектов</w:t>
      </w:r>
      <w:r w:rsidR="008A4C85"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>энергетического</w:t>
      </w:r>
      <w:r w:rsidR="008A4C85"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>сотрудничества</w:t>
      </w:r>
      <w:r w:rsidR="008A4C85"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>в</w:t>
      </w:r>
      <w:r w:rsidR="008A4C85"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>странах</w:t>
      </w:r>
      <w:r w:rsidR="008A4C85"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980">
        <w:rPr>
          <w:rStyle w:val="a7"/>
          <w:rFonts w:ascii="Times New Roman" w:hAnsi="Times New Roman" w:cs="Times New Roman"/>
          <w:b/>
          <w:bCs/>
          <w:sz w:val="24"/>
          <w:szCs w:val="24"/>
        </w:rPr>
        <w:t>БРИКС</w:t>
      </w:r>
      <w:bookmarkEnd w:id="2"/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начала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2010-х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постепенно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создавали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институциональные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механизмы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координации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политики.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Важной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вехой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седьмой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саммит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Уфе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2015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DE2980">
        <w:rPr>
          <w:rStyle w:val="a7"/>
          <w:rFonts w:ascii="Times New Roman" w:hAnsi="Times New Roman" w:cs="Times New Roman"/>
          <w:sz w:val="24"/>
          <w:szCs w:val="24"/>
        </w:rPr>
        <w:t>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DE2980">
        <w:rPr>
          <w:rStyle w:val="a7"/>
          <w:rFonts w:ascii="Times New Roman" w:hAnsi="Times New Roman" w:cs="Times New Roman"/>
          <w:sz w:val="24"/>
          <w:szCs w:val="24"/>
        </w:rPr>
        <w:t>состоялась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встреча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министров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стран-членов.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завершилась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подписанием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важного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документа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DE2980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Меморандума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о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взаимопонимании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энергосбережения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повышения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энергоэффективности…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Рассмотрим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одну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задач: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«Сотрудничество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энергоэффективности,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энергосбережения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может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осуществляться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следующих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формах: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совместные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научно-технические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исследования;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проведение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конференций,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лекций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семинаров;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обучение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трансфер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технологий;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обмен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опытом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передовыми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практиками…»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Особое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внимание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заслуживает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Рабочей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группы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энергосбережению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i/>
          <w:iCs/>
          <w:sz w:val="24"/>
          <w:szCs w:val="24"/>
        </w:rPr>
        <w:t>энергоэффективности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после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встречи.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2017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саммите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Сямыне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предложила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—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инициативу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анализу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обмену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данными,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официально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запущена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2018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встрече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министров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Йоханнесбурге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(ЮАР).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Задачи,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обозначенные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участниками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могут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сформулированы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следующим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образом: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«обеспечение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путем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сотрудничества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политики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инноваций;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установление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диалога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вопросам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целях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всеобщего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доступным,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надежным,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современным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источникам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всех;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укрепление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безопасности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БРИКС;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весомого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голоса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глобальной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повестке».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Встречи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экспертов,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входящих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объединение,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проходят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практически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каждый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существования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проведено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10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связанных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сектора.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специалисты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только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обозревают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делятся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актуальной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статистикой,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исследуют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кадровый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потенциал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процессе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энергоперехода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(2023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г.),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вопросы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безопасности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(2023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г.)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решают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справедливого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перехода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(2024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г.).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образом,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концу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2010-х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гг.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сформировалась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структура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сотрудничества,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включающая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регулярные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встречи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уровне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министров,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взаимодействие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рабочих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групп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экспертов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совместной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обмена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знаниями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проведения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важных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индустриальных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характеризует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деятельность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первой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половине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2020-х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гг.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Наряду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институциональным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сотрудничеством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реализованы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значительные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инвестиционные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финансируемые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двусторонней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через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банк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(НБР),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2015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момента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своего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НБР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уделял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особое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внимание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поддержке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зеленой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инфраструктуры.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одобренные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кредиты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2016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800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миллионов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долларов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Южной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Они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себя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кредит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размере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300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миллионов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долларов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бразильской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>BNDES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строительство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ветряных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электростанций.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Помимо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многосторонних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инициатив,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набирали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обороты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двусторонние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особенно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участием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Наиболее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заметным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партнерство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Китаем.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Например,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увеличила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экспорт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газопроводу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«Сила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Сибири»,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запущен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2019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«Несмотря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недостатки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реализации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газопроводов,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стабильные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трубопроводные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поставки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менее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нервируют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закупки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рынках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СПГ,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где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существует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риск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геополитических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“черных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лебедей”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(блокады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проливов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торговые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войны)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стихийных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бедствий,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штормы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ураганы.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“Стабильность”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C36858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любимых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слов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председателя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Цзиньпина,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программа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правительства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«шесть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стабильностей»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снижению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воздействия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пандемии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коронавируса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конкретно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относится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безопасности»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После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геополитических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изменений,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произошедших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2022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настоящее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приходится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около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90%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экспорта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атомной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C36858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«Росатом»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помог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построить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китайскую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атомную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электростанцию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Тяньвань: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строительстве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данной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АЭС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принимало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участие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около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160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организаций: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“Атомстройэкспорт”,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институт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“Атомэнергопроект”,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ОКБ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“Гидропр</w:t>
      </w:r>
      <w:r w:rsidR="00C36858">
        <w:rPr>
          <w:rStyle w:val="a7"/>
          <w:rFonts w:ascii="Times New Roman" w:hAnsi="Times New Roman" w:cs="Times New Roman"/>
          <w:sz w:val="24"/>
          <w:szCs w:val="24"/>
        </w:rPr>
        <w:t>е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сс”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РНЦ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“Курчатовский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институт”»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связывает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давнее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ядерное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партнерство.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содействии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индийской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атомной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электростанции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«Куданкулам»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завершено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строительство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двух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реакторов,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планируется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строительство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еще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четырех.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Кроме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того,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приобретение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«Роснефтью»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индийской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>Essar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>Oil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pt-PT"/>
        </w:rPr>
        <w:t>(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ныне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Nayara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Energy)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2017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расширило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присутствие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индийском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рынке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нефтепереработки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розничной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торговли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топливом.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Индийские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компании,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очередь,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инвестируют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добыче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арктическую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инициативу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Vostok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Oil.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усилия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свидетельствуют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глубокой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интеграции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секторов: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«Государственный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Министр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природного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Республики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Прадхан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январе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подтвердил,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вложит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средства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«Восток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Ойл»,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рассматривает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возможность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участия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строительстве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Арктике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производству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СПГ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компании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“Новатэк”»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Двусторонние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отношения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другими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менее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динамичны.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инвестировал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значительные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средства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инфраструктуру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Бразилии: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компании,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State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Grid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China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Three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Gorges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приобрели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передающих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активах.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Южная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ветроэнергетики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C36858" w:rsidRPr="00C36858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China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Longyuan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Power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разработала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ветроэлектростанцию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>De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>Aar,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300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тыс.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граждан: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«Согласно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заявлению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оператора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China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Longyuan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Power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Group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Corp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en-US"/>
        </w:rPr>
        <w:t>Ltd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дочерней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компании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CEIC,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>De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>Aar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первым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ветроэнергетическим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проектом,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финансируемым,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построенным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управляемым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компанией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момента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запуска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ежегодно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выработку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760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млн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кВт-ч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эквивалентно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количеству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получаемой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сжигания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215,8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тыс.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Южная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рамках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Международного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альянса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de-DE"/>
        </w:rPr>
        <w:t>(International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de-DE"/>
        </w:rPr>
        <w:t>Solar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  <w:lang w:val="de-DE"/>
        </w:rPr>
        <w:t>Alliance):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рамках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продвижения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повестки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внедрения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африканских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Международный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альянс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такими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международными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структурами,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Европейский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инвестиционный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банк,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Африканский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банк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Африканский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союз»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Бразилия,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лидер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производстве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биотоплива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этанола,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делится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опытом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Индией,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чтобы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помочь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снизить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зависимость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импорта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инициативы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иллюстрируют,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сотрудничество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внутри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объединения,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полагаясь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западных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посредников.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Заглядывая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будущее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2025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далее,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можно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сказать,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перспективы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сотрудничества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заключается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углублении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стратегий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«зеленой»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подтвердили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приверженность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Парижскому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соглашению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ООН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частности,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пункту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7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мае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2023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8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встрече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министров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окружающей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среды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обязались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ускорить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переход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низкоуглеродной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экономике.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Партнерство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способствует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обмену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знаниями,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совместным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проектам.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примеру,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НБР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планирует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выделить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30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миллиардов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долларов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период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2022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2026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40%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будут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направлены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связанные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изменением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климата.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ветровую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энергетику,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модернизацию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энергосистем,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гидро-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геотермальную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энергетику.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повестке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дня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стоит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разработка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водородной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Южная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располагают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мощными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ресурсами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водорода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(природный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электролиза).</w:t>
      </w:r>
    </w:p>
    <w:p w:rsidR="00E90A44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еще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больше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содействует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эти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возможност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ям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2023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объявлено,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группе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присоединяются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гиганты,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Саудовская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Аравия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ОАЭ,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Индонезия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Египет.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предполагаем,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приведет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ближневосточные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производители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будут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финансировать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экологически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Азии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рамках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БРИКС.</w:t>
      </w:r>
      <w:bookmarkStart w:id="3" w:name="_n7jnr0uk2vsp"/>
      <w:bookmarkStart w:id="4" w:name="_Toc3"/>
      <w:bookmarkEnd w:id="3"/>
    </w:p>
    <w:p w:rsidR="00D41E58" w:rsidRPr="006B78C2" w:rsidRDefault="004D2BEE" w:rsidP="008A4C8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Проблемы</w:t>
      </w:r>
      <w:r w:rsidR="008A4C85"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устойчивого</w:t>
      </w:r>
      <w:r w:rsidR="008A4C85"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развития</w:t>
      </w:r>
      <w:r w:rsidR="008A4C85"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энергетики</w:t>
      </w:r>
      <w:r w:rsidR="008A4C85"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в</w:t>
      </w:r>
      <w:r w:rsidR="008A4C85"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странах</w:t>
      </w:r>
      <w:r w:rsidR="008A4C85"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8C2">
        <w:rPr>
          <w:rStyle w:val="a7"/>
          <w:rFonts w:ascii="Times New Roman" w:hAnsi="Times New Roman" w:cs="Times New Roman"/>
          <w:b/>
          <w:bCs/>
          <w:sz w:val="24"/>
          <w:szCs w:val="24"/>
        </w:rPr>
        <w:t>БРИКС</w:t>
      </w:r>
      <w:bookmarkEnd w:id="4"/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Несмотря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имеющиеся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достижения,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сталкиваются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значительными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трудностями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достижении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И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системы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существенно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различаются.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Бразилия,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например,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обладает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самых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экологичных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систем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мире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отдельные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 xml:space="preserve">в этой стране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достигает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практически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90%.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Однако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делает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систему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уязвимой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 xml:space="preserve">по отношению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засухе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ограничивает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дальнейшее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гидроузла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из-за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экологических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удаленности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оставшихся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участков.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крупным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производителем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нефти.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напротив,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значительной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степени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зависит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ископаемого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топлива.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состоянию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г.,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около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60%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вырабатывалось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ископаемом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топливе,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основном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природного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Гидроэнергетика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16-17%,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ядерная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около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20%.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Хотя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электроэнергетический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сектор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характеризуется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относительно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низкой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углеродоемкостью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благодаря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гидроэнергетике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ядерной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оставались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недостаточно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последних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лет.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Только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благодаря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программам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государственной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поддержки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ветряные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появились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юге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Поволжье.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сдерживающим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фактором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низкая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стоимость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субсидируемого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снижает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экономические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стимулы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использования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Хотя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озвучила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углеродной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нейтральности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2060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(«Вследствие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осознания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того,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началу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следующего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десятилетия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спрос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наши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экспортные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товары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нефть,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природный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заметно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упадёт,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поскольку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ключевые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торговые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партнёры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Евросоюз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объявили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планах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достичь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углеродной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нейтральности,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отношение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руководства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климата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радикально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изменилось»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),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стратегия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основывается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постепенном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сокращении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потребления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экспорта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газа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6B78C2">
        <w:rPr>
          <w:rStyle w:val="a7"/>
          <w:rFonts w:ascii="Times New Roman" w:hAnsi="Times New Roman" w:cs="Times New Roman"/>
          <w:sz w:val="24"/>
          <w:szCs w:val="24"/>
        </w:rPr>
        <w:t xml:space="preserve"> 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будущих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технологиях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улавливания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углерода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использования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водорода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—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основном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после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2030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того,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международные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санкции,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введенные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2022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ограничили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передовым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использования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внешнему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финансированию,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препятствуя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переходу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энергетике.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сталкивается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другими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проблемами.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Являясь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второй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численности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населения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мире,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испытывает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быстрый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спроса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энергоносители.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Более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70%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вырабатывается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Несмотря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играет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важную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обеспечении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базовой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мощности.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третьим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величине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производителем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>
        <w:rPr>
          <w:rStyle w:val="a7"/>
          <w:rFonts w:ascii="Times New Roman" w:hAnsi="Times New Roman" w:cs="Times New Roman"/>
          <w:sz w:val="24"/>
          <w:szCs w:val="24"/>
          <w:lang w:val="en-US"/>
        </w:rPr>
        <w:t>CO</w:t>
      </w:r>
      <w:r w:rsidR="00342771" w:rsidRPr="00342771">
        <w:rPr>
          <w:rStyle w:val="a7"/>
          <w:rFonts w:ascii="Times New Roman" w:hAnsi="Times New Roman" w:cs="Times New Roman"/>
          <w:sz w:val="24"/>
          <w:szCs w:val="24"/>
          <w:vertAlign w:val="subscript"/>
        </w:rPr>
        <w:t>2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мире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должна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кардинально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преобразовать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сектор,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ставя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угрозу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борьбу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бедностью.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Правительство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намерено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2030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500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ГВт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мощностей,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использующих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ископаемое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топливо.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Однако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инфраструктура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отстает</w:t>
      </w:r>
      <w:r w:rsidR="00342771" w:rsidRPr="00342771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сетям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системы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хранения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остаются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недостаточно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развитыми,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приводит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сокращению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использования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Финансирование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серьезным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препятствием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 w:rsidRPr="0034277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необходимы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сотни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миллиардов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целей.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Кроме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того,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сохраняется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бедность</w:t>
      </w:r>
      <w:r w:rsidR="00342771" w:rsidRPr="00342771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несмотря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 xml:space="preserve">осуществляемую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электрификацию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деревень,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многие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сельские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районы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страдают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ненадежного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электроснабжения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неподъемных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тарифов.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Кроме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того,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сфере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можно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решить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только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помощью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технологий: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«Дефицит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площадей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затрудняет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Размещение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СЭС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чаще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вызывает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конфликты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местным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населением.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Решение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сложной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облегчается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«перемещением»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СЭС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суши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воду»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лидирует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мире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производству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продолжает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полагаться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началу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2025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общая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мощность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ветряной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солнечной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превысила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1,48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ТВт,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означает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преждевременное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достижение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цели.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скорое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наращивание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мощностей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опережает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электросетей: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хотя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приходится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половины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мощности,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они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вырабатывают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только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четверть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поскольку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сетевых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системах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приоритет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отдается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углю.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Несмотря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обязательства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декарбонизации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максимальные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выбросы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2030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нейтралитет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2060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одобрил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строительств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электростанций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2024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Южная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переживает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глубокий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кризис.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Около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70%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вырабатывается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устаревших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угольных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электростанциях.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Недостаточные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сбои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техническом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обслуживании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приводят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хроническим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отключениям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2015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-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2023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гг.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снижение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нагрузки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резко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усилилось,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поэтому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приоритетом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правительства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восстановление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базовой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надежности,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затрудняет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определение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приоритетов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менее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Комплексный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использованию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ресурсов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2019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предусматривал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снижение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59%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2030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ГВт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возникают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социальные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тысячи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рабочих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мест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зависят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добычи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требует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переподготовки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кадров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разработки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планов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энергоперехода.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мнению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экспертов,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«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с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тране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требуется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комплексная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модернизация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всей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экономики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(создание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рабочих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мест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других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отраслях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промышленности)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восстановлением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инфраструктуры»</w:t>
      </w:r>
      <w:r w:rsidRPr="008A4C85">
        <w:rPr>
          <w:rStyle w:val="a7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D41E58" w:rsidRPr="008A4C85" w:rsidRDefault="00342771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отрудничество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сталкивается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 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структурными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препятствиями.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Роль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экспортеров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импортеров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энергоносителей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указывает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разные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интересы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членов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БРИКС: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Россия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Бразилия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стремятся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экспортировать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углеводороды,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Китай,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Южная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Африка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обеспечить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доступный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импорт.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Это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затрудняет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выработку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единой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политики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области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ценообразования.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Кроме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того,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между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странами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существует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конкуренция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рынки: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доминирует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импорте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ресурсов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Центральной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Азии,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Ближнего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Востока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Латинской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Америки,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Индия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стремится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диверсифицировать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свои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источники.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Внешние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связи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часто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перевешивают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торговлю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энергоносителями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внутри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стран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D2BEE" w:rsidRPr="008A4C85">
        <w:rPr>
          <w:rStyle w:val="a7"/>
          <w:rFonts w:ascii="Times New Roman" w:hAnsi="Times New Roman" w:cs="Times New Roman"/>
          <w:sz w:val="24"/>
          <w:szCs w:val="24"/>
        </w:rPr>
        <w:t>БРИКС.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Наконец,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важнейшими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остаются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финансирование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технологиям.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Хотя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доступ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улучшился,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бедность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снизилась,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миллионы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людей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по-прежнему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имеют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надежного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электроснабжения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экологически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топлива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приготовления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пищи.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Технологическое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неравенство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сохраняется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доминирует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мировом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производстве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время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другие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полагаются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импорт.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Решение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этой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требует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локализации,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совместных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предприятий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эффективной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передачи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знаний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через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потенциал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которой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остается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недоиспользованным.</w:t>
      </w:r>
    </w:p>
    <w:p w:rsidR="00D41E58" w:rsidRPr="00342771" w:rsidRDefault="004D2BEE" w:rsidP="00342771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lul7i8p3dp9w"/>
      <w:bookmarkStart w:id="6" w:name="_Toc4"/>
      <w:bookmarkEnd w:id="5"/>
      <w:r w:rsidRPr="00342771">
        <w:rPr>
          <w:rStyle w:val="a7"/>
          <w:rFonts w:ascii="Times New Roman" w:hAnsi="Times New Roman" w:cs="Times New Roman"/>
          <w:b/>
          <w:sz w:val="24"/>
          <w:szCs w:val="24"/>
        </w:rPr>
        <w:t>Заключение</w:t>
      </w:r>
      <w:bookmarkEnd w:id="6"/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2009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2025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добились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существенного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прогресса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создании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энергетики.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Появились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организации,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НБР,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Рабочая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группа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энергосбережению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энергоэффективности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исследований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Ключевые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инициативы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включают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себя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российско</w:t>
      </w:r>
      <w:r w:rsidR="00342771">
        <w:rPr>
          <w:rStyle w:val="a7"/>
          <w:rFonts w:ascii="Times New Roman" w:hAnsi="Times New Roman" w:cs="Times New Roman"/>
          <w:sz w:val="24"/>
          <w:szCs w:val="24"/>
        </w:rPr>
        <w:t>-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китайские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нефтегазовые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российско–индийские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ядерные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проекты,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результате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возобновляемых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источников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производстве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электроэнергии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странах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выросла,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использование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начало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снижаться.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Показатели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энергоэффективности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также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улучшились.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D41E58" w:rsidRPr="008A4C85" w:rsidRDefault="004D2BEE" w:rsidP="008A4C85">
      <w:pPr>
        <w:pStyle w:val="a5"/>
        <w:spacing w:line="360" w:lineRule="auto"/>
        <w:ind w:firstLine="709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8A4C85">
        <w:rPr>
          <w:rStyle w:val="a7"/>
          <w:rFonts w:ascii="Times New Roman" w:hAnsi="Times New Roman" w:cs="Times New Roman"/>
          <w:sz w:val="24"/>
          <w:szCs w:val="24"/>
        </w:rPr>
        <w:t>Однако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многие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остаются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нерешенными.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каждого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члена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недостатки,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связанные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финансовыми,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социальными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географическими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особенностями: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кризис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Южной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Африке,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зависимость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Индии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Китая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угля,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проблемы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Бразилии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гидроэнергетикой,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ограниченность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России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из-за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санкций.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Координация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между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столь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разными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экономиками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E356E3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сложная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задача.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Перспективы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период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после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2025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года,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нам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кажется,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выглядят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оптимистичными.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Благодаря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устойчивому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развитию,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инвестициям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экологически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чистые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разработке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планов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энергопереходу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страны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могут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только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E90A44" w:rsidRPr="008A4C85">
        <w:rPr>
          <w:rStyle w:val="a7"/>
          <w:rFonts w:ascii="Times New Roman" w:hAnsi="Times New Roman" w:cs="Times New Roman"/>
          <w:sz w:val="24"/>
          <w:szCs w:val="24"/>
        </w:rPr>
        <w:t>обезуглеродить</w:t>
      </w:r>
      <w:bookmarkStart w:id="7" w:name="_GoBack"/>
      <w:bookmarkEnd w:id="7"/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свои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собственные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системы,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сформировать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глобальный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энергетический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переход.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Расширение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группы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открывает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новые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возможности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интеграции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цепочек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поставок,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объединения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финансовых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технологических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возможностей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улучшения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доступа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энергоресурсам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для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миллиардов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людей.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Если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БРИКС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удастся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согласовать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интересы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ускорить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реализацию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совместных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инициатив,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объединение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станет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важной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платформой,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двигающей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концепций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устойчивого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развития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вперед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в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течение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нескольких</w:t>
      </w:r>
      <w:r w:rsidR="008A4C85" w:rsidRPr="008A4C8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A4C85">
        <w:rPr>
          <w:rStyle w:val="a7"/>
          <w:rFonts w:ascii="Times New Roman" w:hAnsi="Times New Roman" w:cs="Times New Roman"/>
          <w:sz w:val="24"/>
          <w:szCs w:val="24"/>
        </w:rPr>
        <w:t>десятилетий.</w:t>
      </w:r>
    </w:p>
    <w:sectPr w:rsidR="00D41E58" w:rsidRPr="008A4C85" w:rsidSect="008A4C85">
      <w:footerReference w:type="default" r:id="rId9"/>
      <w:pgSz w:w="11900" w:h="16840" w:code="9"/>
      <w:pgMar w:top="1134" w:right="1418" w:bottom="1134" w:left="1418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C85" w:rsidRDefault="008A4C85">
      <w:r>
        <w:separator/>
      </w:r>
    </w:p>
  </w:endnote>
  <w:endnote w:type="continuationSeparator" w:id="0">
    <w:p w:rsidR="008A4C85" w:rsidRDefault="008A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190"/>
      <w:docPartObj>
        <w:docPartGallery w:val="Page Numbers (Bottom of Page)"/>
        <w:docPartUnique/>
      </w:docPartObj>
    </w:sdtPr>
    <w:sdtContent>
      <w:p w:rsidR="008A4C85" w:rsidRDefault="008A4C85" w:rsidP="008A4C85">
        <w:pPr>
          <w:pStyle w:val="aa"/>
          <w:jc w:val="center"/>
        </w:pPr>
        <w:fldSimple w:instr=" PAGE   \* MERGEFORMAT ">
          <w:r w:rsidR="00CA3ADB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C85" w:rsidRDefault="008A4C85">
      <w:r>
        <w:separator/>
      </w:r>
    </w:p>
  </w:footnote>
  <w:footnote w:type="continuationSeparator" w:id="0">
    <w:p w:rsidR="008A4C85" w:rsidRDefault="008A4C85">
      <w:r>
        <w:continuationSeparator/>
      </w:r>
    </w:p>
  </w:footnote>
  <w:footnote w:type="continuationNotice" w:id="1">
    <w:p w:rsidR="008A4C85" w:rsidRDefault="008A4C85"/>
  </w:footnote>
  <w:footnote w:id="2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E2980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i/>
          <w:sz w:val="20"/>
          <w:szCs w:val="20"/>
        </w:rPr>
        <w:t>Михайлов</w:t>
      </w:r>
      <w:r w:rsidR="00DE2980" w:rsidRPr="00DE29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i/>
          <w:sz w:val="20"/>
          <w:szCs w:val="20"/>
        </w:rPr>
        <w:t>Н.Г.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Возможности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и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устойчивое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развитие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энергетики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//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Культура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и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экология</w:t>
      </w:r>
      <w:r w:rsidR="00DE2980">
        <w:rPr>
          <w:rFonts w:ascii="Times New Roman" w:hAnsi="Times New Roman" w:cs="Times New Roman"/>
          <w:sz w:val="20"/>
          <w:szCs w:val="20"/>
        </w:rPr>
        <w:t xml:space="preserve"> – о</w:t>
      </w:r>
      <w:r w:rsidRPr="00DE2980">
        <w:rPr>
          <w:rFonts w:ascii="Times New Roman" w:hAnsi="Times New Roman" w:cs="Times New Roman"/>
          <w:sz w:val="20"/>
          <w:szCs w:val="20"/>
        </w:rPr>
        <w:t>сновы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устойчивого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развития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России.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Культурные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и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экологические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императивы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современной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экономики.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Ч</w:t>
      </w:r>
      <w:r w:rsidR="00DE2980">
        <w:rPr>
          <w:rFonts w:ascii="Times New Roman" w:hAnsi="Times New Roman" w:cs="Times New Roman"/>
          <w:sz w:val="20"/>
          <w:szCs w:val="20"/>
        </w:rPr>
        <w:t xml:space="preserve">. </w:t>
      </w:r>
      <w:r w:rsidRPr="00DE2980">
        <w:rPr>
          <w:rFonts w:ascii="Times New Roman" w:hAnsi="Times New Roman" w:cs="Times New Roman"/>
          <w:sz w:val="20"/>
          <w:szCs w:val="20"/>
        </w:rPr>
        <w:t>1.</w:t>
      </w:r>
      <w:r w:rsidR="00DE2980">
        <w:rPr>
          <w:rFonts w:ascii="Times New Roman" w:hAnsi="Times New Roman" w:cs="Times New Roman"/>
          <w:sz w:val="20"/>
          <w:szCs w:val="20"/>
        </w:rPr>
        <w:t xml:space="preserve"> – </w:t>
      </w:r>
      <w:r w:rsidRPr="00DE2980">
        <w:rPr>
          <w:rFonts w:ascii="Times New Roman" w:hAnsi="Times New Roman" w:cs="Times New Roman"/>
          <w:sz w:val="20"/>
          <w:szCs w:val="20"/>
        </w:rPr>
        <w:t>Екатеринбург,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2020.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–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С.</w:t>
      </w:r>
      <w:r w:rsidR="00DE2980">
        <w:rPr>
          <w:rFonts w:ascii="Times New Roman" w:hAnsi="Times New Roman" w:cs="Times New Roman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sz w:val="20"/>
          <w:szCs w:val="20"/>
        </w:rPr>
        <w:t>59.</w:t>
      </w:r>
    </w:p>
  </w:footnote>
  <w:footnote w:id="3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Pr="00DE2980">
        <w:rPr>
          <w:rFonts w:ascii="Times New Roman" w:hAnsi="Times New Roman" w:cs="Times New Roman"/>
          <w:color w:val="auto"/>
          <w:sz w:val="20"/>
          <w:szCs w:val="20"/>
          <w:lang w:val="en-US"/>
        </w:rPr>
        <w:t>Energy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  <w:lang w:val="en-US"/>
        </w:rPr>
        <w:t>in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  <w:lang w:val="en-US"/>
        </w:rPr>
        <w:t>the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  <w:lang w:val="en-US"/>
        </w:rPr>
        <w:t>BRICS</w:t>
      </w:r>
      <w:r w:rsidRPr="00DE2980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</w:rPr>
        <w:t>2024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</w:rPr>
        <w:t>//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  <w:lang w:val="en-US"/>
        </w:rPr>
        <w:t>GME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Fonts w:ascii="Times New Roman" w:hAnsi="Times New Roman" w:cs="Times New Roman"/>
          <w:color w:val="auto"/>
          <w:sz w:val="20"/>
          <w:szCs w:val="20"/>
          <w:lang w:val="en-US"/>
        </w:rPr>
        <w:t>URL</w:t>
      </w:r>
      <w:r w:rsidRPr="00DE2980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DE2980" w:rsidRPr="00DE29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1" w:history="1"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https</w:t>
        </w:r>
        <w:r w:rsidRPr="00DE2980">
          <w:rPr>
            <w:rStyle w:val="Hyperlink0"/>
            <w:rFonts w:eastAsia="Arial Unicode MS"/>
            <w:color w:val="auto"/>
            <w:u w:val="none"/>
          </w:rPr>
          <w:t>://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globalenergymonitor</w:t>
        </w:r>
        <w:r w:rsidRPr="00DE2980">
          <w:rPr>
            <w:rStyle w:val="Hyperlink0"/>
            <w:rFonts w:eastAsia="Arial Unicode MS"/>
            <w:color w:val="auto"/>
            <w:u w:val="none"/>
          </w:rPr>
          <w:t>.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org</w:t>
        </w:r>
        <w:r w:rsidRPr="00DE2980">
          <w:rPr>
            <w:rStyle w:val="Hyperlink0"/>
            <w:rFonts w:eastAsia="Arial Unicode MS"/>
            <w:color w:val="auto"/>
            <w:u w:val="none"/>
          </w:rPr>
          <w:t>/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wp</w:t>
        </w:r>
        <w:r w:rsidRPr="00DE2980">
          <w:rPr>
            <w:rStyle w:val="Hyperlink0"/>
            <w:rFonts w:eastAsia="Arial Unicode MS"/>
            <w:color w:val="auto"/>
            <w:u w:val="none"/>
          </w:rPr>
          <w:t>-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content</w:t>
        </w:r>
        <w:r w:rsidRPr="00DE2980">
          <w:rPr>
            <w:rStyle w:val="Hyperlink0"/>
            <w:rFonts w:eastAsia="Arial Unicode MS"/>
            <w:color w:val="auto"/>
            <w:u w:val="none"/>
          </w:rPr>
          <w:t>/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uploads</w:t>
        </w:r>
        <w:r w:rsidRPr="00DE2980">
          <w:rPr>
            <w:rStyle w:val="Hyperlink0"/>
            <w:rFonts w:eastAsia="Arial Unicode MS"/>
            <w:color w:val="auto"/>
            <w:u w:val="none"/>
          </w:rPr>
          <w:t>/2024/10/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GEM</w:t>
        </w:r>
        <w:r w:rsidRPr="00DE2980">
          <w:rPr>
            <w:rStyle w:val="Hyperlink0"/>
            <w:rFonts w:eastAsia="Arial Unicode MS"/>
            <w:color w:val="auto"/>
            <w:u w:val="none"/>
          </w:rPr>
          <w:t>-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BRICS</w:t>
        </w:r>
        <w:r w:rsidRPr="00DE2980">
          <w:rPr>
            <w:rStyle w:val="Hyperlink0"/>
            <w:rFonts w:eastAsia="Arial Unicode MS"/>
            <w:color w:val="auto"/>
            <w:u w:val="none"/>
          </w:rPr>
          <w:t>-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Oct</w:t>
        </w:r>
        <w:r w:rsidRPr="00DE2980">
          <w:rPr>
            <w:rStyle w:val="Hyperlink0"/>
            <w:rFonts w:eastAsia="Arial Unicode MS"/>
            <w:color w:val="auto"/>
            <w:u w:val="none"/>
          </w:rPr>
          <w:t>2024.</w:t>
        </w:r>
        <w:r w:rsidRPr="00DE2980">
          <w:rPr>
            <w:rStyle w:val="Hyperlink0"/>
            <w:rFonts w:eastAsia="Arial Unicode MS"/>
            <w:color w:val="auto"/>
            <w:u w:val="none"/>
            <w:lang w:val="en-US"/>
          </w:rPr>
          <w:t>pdf</w:t>
        </w:r>
      </w:hyperlink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(дата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обращения: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06.05.2025).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</w:footnote>
  <w:footnote w:id="4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Меморандум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взаимопонимании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области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энергосбережения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повышения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энергоэффективности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между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министерствами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ведомствами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БРИКС,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отвечающими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за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энергетику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энергоэффективность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Национальный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комитет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исследованию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БРИКС</w:t>
      </w:r>
      <w:r w:rsid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. 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2" w:history="1">
        <w:r w:rsidRPr="00DE2980">
          <w:rPr>
            <w:rStyle w:val="Hyperlink0"/>
            <w:rFonts w:eastAsia="Arial Unicode MS"/>
            <w:color w:val="auto"/>
            <w:u w:val="none"/>
          </w:rPr>
          <w:t>https://www.nkibrics.ru/posts/show/569f96c46272693cc5160000</w:t>
        </w:r>
      </w:hyperlink>
    </w:p>
  </w:footnote>
  <w:footnote w:id="5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Публикации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Платформы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энергетических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исследований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БРИКС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РЭА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Минэнерго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России</w:t>
      </w:r>
      <w:r w:rsid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. 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3" w:history="1">
        <w:r w:rsidRPr="00DE2980">
          <w:rPr>
            <w:rStyle w:val="Hyperlink0"/>
            <w:rFonts w:eastAsia="Arial Unicode MS"/>
            <w:color w:val="auto"/>
            <w:u w:val="none"/>
          </w:rPr>
          <w:t>https://www.rosenergo.gov.ru/press-center/news/obzor-energetiki-stran-briks/</w:t>
        </w:r>
      </w:hyperlink>
    </w:p>
  </w:footnote>
  <w:footnote w:id="6">
    <w:p w:rsidR="008A4C85" w:rsidRPr="00C36858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BRICS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Bank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Approves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First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Loans,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$811mn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Investment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in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Renewable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Energy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>Projects</w:t>
      </w:r>
      <w:r w:rsidR="00C36858">
        <w:rPr>
          <w:rStyle w:val="a7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. – </w:t>
      </w:r>
      <w:hyperlink r:id="rId4" w:history="1">
        <w:r w:rsidRPr="00C36858">
          <w:rPr>
            <w:rStyle w:val="Hyperlink0"/>
            <w:rFonts w:eastAsia="Arial Unicode MS"/>
            <w:color w:val="auto"/>
            <w:u w:val="none"/>
            <w:lang w:val="en-US"/>
          </w:rPr>
          <w:t>https://ndbwebhkwin.azurewebsites.net/media/brics-bank-approves-first-loans-811mn-investment-renewable-energy-projects/?utm_source=chatgpt.com</w:t>
        </w:r>
      </w:hyperlink>
    </w:p>
  </w:footnote>
  <w:footnote w:id="7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Куань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В.,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Бияк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Л.Л.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Предпосылки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развития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проекта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«Сила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Сибири»: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6858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Взгляд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китайской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стороны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C36858" w:rsidRP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Инновации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инвестиции.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2021.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№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3.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60.</w:t>
      </w:r>
    </w:p>
  </w:footnote>
  <w:footnote w:id="8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Жучкова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Т.А.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Перспективы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сотрудничества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России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Китая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сфере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атомной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энергетики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C36858" w:rsidRP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Инновации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инвестиции.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2020.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№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1.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67.</w:t>
      </w:r>
    </w:p>
  </w:footnote>
  <w:footnote w:id="9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Харитонова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Д.В.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Энергетика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Индии: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состояние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перспективы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развития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C36858" w:rsidRP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Геоэкономика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энергетики.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2020.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Т.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11</w:t>
      </w:r>
      <w:r w:rsid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>,</w:t>
      </w:r>
      <w:r w:rsidR="00C36858" w:rsidRP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№.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3.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49.</w:t>
      </w:r>
    </w:p>
  </w:footnote>
  <w:footnote w:id="10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Сазонов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С.Л.,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Фэн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Л.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Китайско-африканское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сотрудничество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области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развития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энергетики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рамках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реализации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инициативы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«Пояс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путь»</w:t>
      </w:r>
      <w:r w:rsid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// Китай: общество и культура.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2023.</w:t>
      </w:r>
      <w:r w:rsidR="00C36858">
        <w:rPr>
          <w:rStyle w:val="a7"/>
          <w:rFonts w:ascii="Times New Roman" w:hAnsi="Times New Roman" w:cs="Times New Roman"/>
          <w:color w:val="auto"/>
          <w:sz w:val="20"/>
          <w:szCs w:val="20"/>
        </w:rPr>
        <w:t>– № 1.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C.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37.</w:t>
      </w:r>
    </w:p>
  </w:footnote>
  <w:footnote w:id="11">
    <w:p w:rsidR="008A4C85" w:rsidRPr="006B78C2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Столетов</w:t>
      </w:r>
      <w:r w:rsidR="00DE2980"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36858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О.В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Особенности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международного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взаимодействия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энергетической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сфере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Африке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южнее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Сахары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условиях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глобальной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турбулентности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C36858"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5" w:tooltip="Перейти на страницу сборника" w:history="1">
        <w:r w:rsidR="006B78C2" w:rsidRPr="006B78C2">
          <w:rPr>
            <w:rStyle w:val="a3"/>
            <w:rFonts w:ascii="Times New Roman" w:hAnsi="Times New Roman" w:cs="Times New Roman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Перестройка мировой энергетики в условиях экономического и политического кризиса / Под ред. С.В. Жукова. – М</w:t>
        </w:r>
        <w:r w:rsidR="006B78C2">
          <w:rPr>
            <w:rStyle w:val="a3"/>
            <w:rFonts w:ascii="Times New Roman" w:hAnsi="Times New Roman" w:cs="Times New Roman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.</w:t>
        </w:r>
        <w:r w:rsidR="006B78C2" w:rsidRPr="006B78C2">
          <w:rPr>
            <w:rStyle w:val="a3"/>
            <w:rFonts w:ascii="Times New Roman" w:hAnsi="Times New Roman" w:cs="Times New Roman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: ИМЭМО РАН, 2023.</w:t>
        </w:r>
      </w:hyperlink>
      <w:r w:rsidR="006B78C2"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B78C2">
        <w:rPr>
          <w:rStyle w:val="a7"/>
          <w:rFonts w:ascii="Times New Roman" w:hAnsi="Times New Roman" w:cs="Times New Roman"/>
          <w:color w:val="auto"/>
          <w:sz w:val="20"/>
          <w:szCs w:val="20"/>
        </w:rPr>
        <w:t>76.</w:t>
      </w:r>
    </w:p>
  </w:footnote>
  <w:footnote w:id="12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Мастепанов</w:t>
      </w:r>
      <w:r w:rsidR="00DE2980"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А.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Россия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на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пути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к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углеродной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нейтральности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342771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Энергетическая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политика.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2022.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№.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1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(167).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98.</w:t>
      </w:r>
    </w:p>
  </w:footnote>
  <w:footnote w:id="13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Сдасюк</w:t>
      </w:r>
      <w:r w:rsidR="00DE2980"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Г.В.,</w:t>
      </w:r>
      <w:r w:rsidR="00DE2980"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Алексеева</w:t>
      </w:r>
      <w:r w:rsidR="00DE2980"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Н.Н.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Развитие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переходной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энергетики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Индии: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достижения,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проблемы,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перспективы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342771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Вестник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Московского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университета.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Серия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5.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География.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2022.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№.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5.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95.</w:t>
      </w:r>
    </w:p>
  </w:footnote>
  <w:footnote w:id="14">
    <w:p w:rsidR="008A4C85" w:rsidRPr="00DE2980" w:rsidRDefault="008A4C85" w:rsidP="00DE2980">
      <w:pPr>
        <w:pStyle w:val="a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E2980"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Раков</w:t>
      </w:r>
      <w:r w:rsidR="00DE2980"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342771">
        <w:rPr>
          <w:rStyle w:val="a7"/>
          <w:rFonts w:ascii="Times New Roman" w:hAnsi="Times New Roman" w:cs="Times New Roman"/>
          <w:i/>
          <w:color w:val="auto"/>
          <w:sz w:val="20"/>
          <w:szCs w:val="20"/>
        </w:rPr>
        <w:t>И.Д.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Энергетический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переход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его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особенности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в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Южно-Африканской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Республике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//</w:t>
      </w:r>
      <w:r w:rsidR="00342771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Экономические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отношения.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2022.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Т.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12</w:t>
      </w:r>
      <w:r w:rsidR="00342771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№.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4.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–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С.</w:t>
      </w:r>
      <w:r w:rsidR="00DE2980"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E2980">
        <w:rPr>
          <w:rStyle w:val="a7"/>
          <w:rFonts w:ascii="Times New Roman" w:hAnsi="Times New Roman" w:cs="Times New Roman"/>
          <w:color w:val="auto"/>
          <w:sz w:val="20"/>
          <w:szCs w:val="20"/>
        </w:rPr>
        <w:t>831.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5F05"/>
    <w:multiLevelType w:val="hybridMultilevel"/>
    <w:tmpl w:val="F8C66504"/>
    <w:styleLink w:val="1"/>
    <w:lvl w:ilvl="0" w:tplc="A746B1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6AEC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03F40">
      <w:start w:val="1"/>
      <w:numFmt w:val="lowerRoman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5847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3214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FCD45C">
      <w:start w:val="1"/>
      <w:numFmt w:val="lowerRoman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C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0B2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ABC60">
      <w:start w:val="1"/>
      <w:numFmt w:val="lowerRoman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F755F51"/>
    <w:multiLevelType w:val="hybridMultilevel"/>
    <w:tmpl w:val="F8C6650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D41E58"/>
    <w:rsid w:val="001102AE"/>
    <w:rsid w:val="002D3C6F"/>
    <w:rsid w:val="00307CF7"/>
    <w:rsid w:val="00342771"/>
    <w:rsid w:val="00425BEA"/>
    <w:rsid w:val="004D2BEE"/>
    <w:rsid w:val="005318EC"/>
    <w:rsid w:val="006B78C2"/>
    <w:rsid w:val="008A4C85"/>
    <w:rsid w:val="00AB78E1"/>
    <w:rsid w:val="00C36858"/>
    <w:rsid w:val="00CA3ADB"/>
    <w:rsid w:val="00D41E58"/>
    <w:rsid w:val="00DE2980"/>
    <w:rsid w:val="00E356E3"/>
    <w:rsid w:val="00E9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18E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18EC"/>
    <w:rPr>
      <w:u w:val="single"/>
    </w:rPr>
  </w:style>
  <w:style w:type="table" w:customStyle="1" w:styleId="TableNormal">
    <w:name w:val="Table Normal"/>
    <w:rsid w:val="00531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318E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5318EC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a6">
    <w:name w:val="Рубрика"/>
    <w:next w:val="a5"/>
    <w:rsid w:val="005318E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u w:color="000000"/>
    </w:rPr>
  </w:style>
  <w:style w:type="paragraph" w:styleId="10">
    <w:name w:val="toc 1"/>
    <w:rsid w:val="005318EC"/>
    <w:pPr>
      <w:tabs>
        <w:tab w:val="right" w:pos="9000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</w:rPr>
  </w:style>
  <w:style w:type="character" w:customStyle="1" w:styleId="a7">
    <w:name w:val="Нет"/>
    <w:rsid w:val="005318EC"/>
  </w:style>
  <w:style w:type="character" w:customStyle="1" w:styleId="Hyperlink0">
    <w:name w:val="Hyperlink.0"/>
    <w:basedOn w:val="a7"/>
    <w:rsid w:val="005318EC"/>
    <w:rPr>
      <w:rFonts w:ascii="Times New Roman" w:eastAsia="Times New Roman" w:hAnsi="Times New Roman" w:cs="Times New Roman"/>
      <w:outline w:val="0"/>
      <w:color w:val="1155CC"/>
      <w:sz w:val="20"/>
      <w:szCs w:val="20"/>
      <w:u w:val="single" w:color="1155CC"/>
    </w:rPr>
  </w:style>
  <w:style w:type="numbering" w:customStyle="1" w:styleId="1">
    <w:name w:val="Импортированный стиль 1"/>
    <w:rsid w:val="005318EC"/>
    <w:pPr>
      <w:numPr>
        <w:numId w:val="1"/>
      </w:numPr>
    </w:pPr>
  </w:style>
  <w:style w:type="paragraph" w:styleId="a8">
    <w:name w:val="header"/>
    <w:basedOn w:val="a"/>
    <w:link w:val="a9"/>
    <w:uiPriority w:val="99"/>
    <w:semiHidden/>
    <w:unhideWhenUsed/>
    <w:rsid w:val="008A4C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4C85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8A4C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C8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.7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osenergo.gov.ru/press-center/news/obzor-energetiki-stran-briks/" TargetMode="External"/><Relationship Id="rId2" Type="http://schemas.openxmlformats.org/officeDocument/2006/relationships/hyperlink" Target="https://www.nkibrics.ru/posts/show/569f96c46272693cc5160000" TargetMode="External"/><Relationship Id="rId1" Type="http://schemas.openxmlformats.org/officeDocument/2006/relationships/hyperlink" Target="https://globalenergymonitor.org/wp-content/uploads/2024/10/GEM-BRICS-Oct2024.pdf" TargetMode="External"/><Relationship Id="rId5" Type="http://schemas.openxmlformats.org/officeDocument/2006/relationships/hyperlink" Target="https://istina.ipmnet.ru/collections/590687112/" TargetMode="External"/><Relationship Id="rId4" Type="http://schemas.openxmlformats.org/officeDocument/2006/relationships/hyperlink" Target="https://ndbwebhkwin.azurewebsites.net/media/brics-bank-approves-first-loans-811mn-investment-renewable-energy-project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3290C-E54F-4C52-9F22-D1C1A6DA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2025-05-27T17:24:00Z</dcterms:created>
  <dcterms:modified xsi:type="dcterms:W3CDTF">2025-05-31T13:35:00Z</dcterms:modified>
</cp:coreProperties>
</file>