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C3" w:rsidRPr="00D32CC3" w:rsidRDefault="00445BCF" w:rsidP="00D32CC3">
      <w:pPr>
        <w:spacing w:after="0"/>
        <w:ind w:firstLine="709"/>
        <w:jc w:val="both"/>
        <w:rPr>
          <w:rFonts w:cs="Times New Roman"/>
          <w:b/>
          <w:i/>
          <w:szCs w:val="24"/>
          <w:lang w:val="ru-RU"/>
        </w:rPr>
      </w:pPr>
      <w:r w:rsidRPr="00D32CC3">
        <w:rPr>
          <w:rFonts w:cs="Times New Roman"/>
          <w:b/>
          <w:i/>
          <w:szCs w:val="24"/>
          <w:lang w:val="ru-RU"/>
        </w:rPr>
        <w:t>Голубев</w:t>
      </w:r>
      <w:r w:rsidR="00D32CC3" w:rsidRPr="00D32CC3">
        <w:rPr>
          <w:rFonts w:cs="Times New Roman"/>
          <w:b/>
          <w:i/>
          <w:szCs w:val="24"/>
          <w:lang w:val="ru-RU"/>
        </w:rPr>
        <w:t xml:space="preserve"> </w:t>
      </w:r>
      <w:r w:rsidRPr="00D32CC3">
        <w:rPr>
          <w:rFonts w:cs="Times New Roman"/>
          <w:b/>
          <w:i/>
          <w:szCs w:val="24"/>
          <w:lang w:val="ru-RU"/>
        </w:rPr>
        <w:t>С</w:t>
      </w:r>
      <w:r w:rsidR="00D32CC3" w:rsidRPr="00D32CC3">
        <w:rPr>
          <w:rFonts w:cs="Times New Roman"/>
          <w:b/>
          <w:i/>
          <w:szCs w:val="24"/>
          <w:lang w:val="ru-RU"/>
        </w:rPr>
        <w:t>.С.</w:t>
      </w:r>
    </w:p>
    <w:p w:rsidR="00D32CC3" w:rsidRDefault="00D32CC3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д.э.н., </w:t>
      </w:r>
      <w:r w:rsidR="00445BCF" w:rsidRPr="00D32CC3">
        <w:rPr>
          <w:rFonts w:cs="Times New Roman"/>
          <w:szCs w:val="24"/>
          <w:lang w:val="ru-RU"/>
        </w:rPr>
        <w:t>профессор,</w:t>
      </w:r>
      <w:r w:rsidRPr="00D32CC3">
        <w:rPr>
          <w:rFonts w:cs="Times New Roman"/>
          <w:szCs w:val="24"/>
          <w:lang w:val="ru-RU"/>
        </w:rPr>
        <w:t xml:space="preserve"> </w:t>
      </w:r>
      <w:r w:rsidR="00445BCF" w:rsidRPr="00D32CC3">
        <w:rPr>
          <w:rFonts w:cs="Times New Roman"/>
          <w:szCs w:val="24"/>
          <w:lang w:val="ru-RU"/>
        </w:rPr>
        <w:t>профессор</w:t>
      </w:r>
      <w:r w:rsidRPr="00D32CC3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К</w:t>
      </w:r>
      <w:r w:rsidR="00445BCF" w:rsidRPr="00D32CC3">
        <w:rPr>
          <w:rFonts w:cs="Times New Roman"/>
          <w:szCs w:val="24"/>
          <w:lang w:val="ru-RU"/>
        </w:rPr>
        <w:t>афедры</w:t>
      </w:r>
      <w:r w:rsidRPr="00D32CC3">
        <w:rPr>
          <w:rFonts w:cs="Times New Roman"/>
          <w:szCs w:val="24"/>
          <w:lang w:val="ru-RU"/>
        </w:rPr>
        <w:t xml:space="preserve"> </w:t>
      </w:r>
      <w:r w:rsidR="00445BCF" w:rsidRPr="00D32CC3">
        <w:rPr>
          <w:rFonts w:cs="Times New Roman"/>
          <w:szCs w:val="24"/>
          <w:lang w:val="ru-RU"/>
        </w:rPr>
        <w:t>управления</w:t>
      </w:r>
      <w:r w:rsidRPr="00D32CC3">
        <w:rPr>
          <w:rFonts w:cs="Times New Roman"/>
          <w:szCs w:val="24"/>
          <w:lang w:val="ru-RU"/>
        </w:rPr>
        <w:t xml:space="preserve"> </w:t>
      </w:r>
      <w:r w:rsidR="00445BCF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445BCF" w:rsidRPr="00D32CC3">
        <w:rPr>
          <w:rFonts w:cs="Times New Roman"/>
          <w:szCs w:val="24"/>
          <w:lang w:val="ru-RU"/>
        </w:rPr>
        <w:t>экономики</w:t>
      </w:r>
      <w:r>
        <w:rPr>
          <w:rFonts w:cs="Times New Roman"/>
          <w:szCs w:val="24"/>
          <w:lang w:val="ru-RU"/>
        </w:rPr>
        <w:t xml:space="preserve"> </w:t>
      </w:r>
      <w:r w:rsidR="00445BCF" w:rsidRPr="00D32CC3">
        <w:rPr>
          <w:rFonts w:cs="Times New Roman"/>
          <w:szCs w:val="24"/>
          <w:lang w:val="ru-RU"/>
        </w:rPr>
        <w:t>МГЮА</w:t>
      </w:r>
    </w:p>
    <w:p w:rsidR="00445BCF" w:rsidRPr="00D32CC3" w:rsidRDefault="00445BCF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</w:rPr>
        <w:t>Sergei</w:t>
      </w:r>
      <w:r w:rsidRPr="00D32CC3">
        <w:rPr>
          <w:rFonts w:cs="Times New Roman"/>
          <w:szCs w:val="24"/>
          <w:lang w:val="ru-RU"/>
        </w:rPr>
        <w:t>.</w:t>
      </w:r>
      <w:r w:rsidRPr="00D32CC3">
        <w:rPr>
          <w:rFonts w:cs="Times New Roman"/>
          <w:szCs w:val="24"/>
        </w:rPr>
        <w:t>golubev</w:t>
      </w:r>
      <w:r w:rsidRPr="00D32CC3">
        <w:rPr>
          <w:rFonts w:cs="Times New Roman"/>
          <w:szCs w:val="24"/>
          <w:lang w:val="ru-RU"/>
        </w:rPr>
        <w:t>56@</w:t>
      </w:r>
      <w:r w:rsidRPr="00D32CC3">
        <w:rPr>
          <w:rFonts w:cs="Times New Roman"/>
          <w:szCs w:val="24"/>
        </w:rPr>
        <w:t>mail</w:t>
      </w:r>
      <w:r w:rsidRPr="00D32CC3">
        <w:rPr>
          <w:rFonts w:cs="Times New Roman"/>
          <w:szCs w:val="24"/>
          <w:lang w:val="ru-RU"/>
        </w:rPr>
        <w:t>.</w:t>
      </w:r>
      <w:r w:rsidRPr="00D32CC3">
        <w:rPr>
          <w:rFonts w:cs="Times New Roman"/>
          <w:szCs w:val="24"/>
        </w:rPr>
        <w:t>ru</w:t>
      </w:r>
    </w:p>
    <w:p w:rsidR="00445BCF" w:rsidRPr="00D32CC3" w:rsidRDefault="00445BCF" w:rsidP="00D32CC3">
      <w:pPr>
        <w:spacing w:after="0"/>
        <w:ind w:firstLine="709"/>
        <w:jc w:val="both"/>
        <w:rPr>
          <w:rFonts w:cs="Times New Roman"/>
          <w:b/>
          <w:bCs/>
          <w:szCs w:val="24"/>
          <w:lang w:val="ru-RU" w:eastAsia="ru-RU"/>
        </w:rPr>
      </w:pPr>
    </w:p>
    <w:p w:rsidR="007C43D8" w:rsidRPr="00D32CC3" w:rsidRDefault="00D32CC3" w:rsidP="00D32CC3">
      <w:pPr>
        <w:spacing w:after="0"/>
        <w:ind w:firstLine="709"/>
        <w:jc w:val="center"/>
        <w:rPr>
          <w:rFonts w:cs="Times New Roman"/>
          <w:b/>
          <w:szCs w:val="24"/>
          <w:lang w:val="ru-RU"/>
        </w:rPr>
      </w:pPr>
      <w:r w:rsidRPr="00D32CC3">
        <w:rPr>
          <w:rFonts w:cs="Times New Roman"/>
          <w:b/>
          <w:bCs/>
          <w:szCs w:val="24"/>
          <w:lang w:val="ru-RU" w:eastAsia="ru-RU"/>
        </w:rPr>
        <w:t>ОБЕСПЕЧЕНИЕ</w:t>
      </w:r>
      <w:r w:rsidRPr="00D32CC3">
        <w:rPr>
          <w:rFonts w:cs="Times New Roman"/>
          <w:b/>
          <w:szCs w:val="24"/>
          <w:lang w:val="ru-RU"/>
        </w:rPr>
        <w:t xml:space="preserve"> ТЕХНОЛОГИЧЕСКОГО СУВЕРЕНИТЕТА И ТЕХНОЛОГИЧЕСКОГО ЛИДЕРСТВА РОССИИ В РАМКАХ БОЛЬШОЙ ЕВРАЗИИ</w:t>
      </w:r>
    </w:p>
    <w:p w:rsidR="00D32CC3" w:rsidRDefault="00D32CC3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</w:p>
    <w:p w:rsidR="007C43D8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b/>
          <w:i/>
          <w:szCs w:val="24"/>
          <w:lang w:val="ru-RU"/>
        </w:rPr>
        <w:t>Ключевые</w:t>
      </w:r>
      <w:r w:rsidR="00D32CC3" w:rsidRPr="00D32CC3">
        <w:rPr>
          <w:rFonts w:cs="Times New Roman"/>
          <w:b/>
          <w:i/>
          <w:szCs w:val="24"/>
          <w:lang w:val="ru-RU"/>
        </w:rPr>
        <w:t xml:space="preserve"> </w:t>
      </w:r>
      <w:r w:rsidRPr="00D32CC3">
        <w:rPr>
          <w:rFonts w:cs="Times New Roman"/>
          <w:b/>
          <w:i/>
          <w:szCs w:val="24"/>
          <w:lang w:val="ru-RU"/>
        </w:rPr>
        <w:t>слова</w:t>
      </w:r>
      <w:r w:rsidRPr="00D32CC3">
        <w:rPr>
          <w:rFonts w:cs="Times New Roman"/>
          <w:i/>
          <w:szCs w:val="24"/>
          <w:lang w:val="ru-RU"/>
        </w:rPr>
        <w:t>: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технологический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суверенитет,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технологическое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лидерство,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инновации,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НИОКР,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научно-технологическое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развитие,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Большая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Евразия,</w:t>
      </w:r>
      <w:r w:rsidR="00D32CC3" w:rsidRPr="00D32CC3">
        <w:rPr>
          <w:rFonts w:cs="Times New Roman"/>
          <w:i/>
          <w:szCs w:val="24"/>
          <w:lang w:val="ru-RU"/>
        </w:rPr>
        <w:t xml:space="preserve"> </w:t>
      </w:r>
      <w:r w:rsidRPr="00D32CC3">
        <w:rPr>
          <w:rFonts w:cs="Times New Roman"/>
          <w:i/>
          <w:szCs w:val="24"/>
          <w:lang w:val="ru-RU"/>
        </w:rPr>
        <w:t>Россия</w:t>
      </w:r>
      <w:r w:rsidR="00D32CC3">
        <w:rPr>
          <w:rFonts w:cs="Times New Roman"/>
          <w:szCs w:val="24"/>
          <w:lang w:val="ru-RU"/>
        </w:rPr>
        <w:t>.</w:t>
      </w:r>
    </w:p>
    <w:p w:rsidR="00D32CC3" w:rsidRPr="00D32CC3" w:rsidRDefault="00D32CC3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D32CC3">
        <w:rPr>
          <w:rFonts w:cs="Times New Roman"/>
          <w:b/>
          <w:szCs w:val="24"/>
          <w:lang w:val="ru-RU"/>
        </w:rPr>
        <w:t>Введение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глобальной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конкуренции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санкционного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вопрос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приобрёл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значение.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рассматривается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самостоятельно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создавать,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внедрять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критически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важные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внешних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поставок.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Цель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статьи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D32CC3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определить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механизмы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выхода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траекторию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лидерства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рамках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Проект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«Большая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Евразия»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(или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как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иногда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называют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«Большое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евразийское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партнерство»)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подразумевает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сети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зон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свободной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торговли,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межблоковых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торгово-экономических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партнерств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сопряжение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региональных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интеграционных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процессов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всем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евразийском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материке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5A3094" w:rsidRPr="00D32CC3">
        <w:rPr>
          <w:rStyle w:val="affc"/>
          <w:rFonts w:cs="Times New Roman"/>
          <w:szCs w:val="24"/>
          <w:lang w:val="ru-RU"/>
        </w:rPr>
        <w:footnoteReference w:id="1"/>
      </w:r>
      <w:r w:rsidR="00112288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начале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XXI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сконцентрировано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почти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9/10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производимой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мире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энергии,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около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3/4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мирового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ВВП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4/5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населения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мира</w:t>
      </w:r>
      <w:r w:rsidR="005A3094" w:rsidRPr="00D32CC3">
        <w:rPr>
          <w:rStyle w:val="affc"/>
          <w:rFonts w:cs="Times New Roman"/>
          <w:szCs w:val="24"/>
          <w:lang w:val="ru-RU"/>
        </w:rPr>
        <w:footnoteReference w:id="2"/>
      </w:r>
      <w:r w:rsidR="00112288" w:rsidRPr="00D32CC3">
        <w:rPr>
          <w:rFonts w:cs="Times New Roman"/>
          <w:szCs w:val="24"/>
          <w:lang w:val="ru-RU"/>
        </w:rPr>
        <w:t>.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D32CC3">
        <w:rPr>
          <w:rFonts w:cs="Times New Roman"/>
          <w:b/>
          <w:szCs w:val="24"/>
          <w:lang w:val="ru-RU"/>
        </w:rPr>
        <w:t>1.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Понятие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и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ключевые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аспекты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технологического</w:t>
      </w:r>
      <w:r w:rsidR="00D32CC3" w:rsidRPr="00D32CC3">
        <w:rPr>
          <w:rFonts w:cs="Times New Roman"/>
          <w:b/>
          <w:szCs w:val="24"/>
          <w:lang w:val="ru-RU"/>
        </w:rPr>
        <w:t xml:space="preserve"> </w:t>
      </w:r>
      <w:r w:rsidRPr="00D32CC3">
        <w:rPr>
          <w:rFonts w:cs="Times New Roman"/>
          <w:b/>
          <w:szCs w:val="24"/>
          <w:lang w:val="ru-RU"/>
        </w:rPr>
        <w:t>суверенитета</w:t>
      </w:r>
    </w:p>
    <w:p w:rsidR="0011228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D32CC3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жизненный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цикл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критически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важных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фундаментальных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Основные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компоненты: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научно-исследовательская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инженерные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критические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(микроэлектроника,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др.),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собственные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стандарты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экосистемы.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lastRenderedPageBreak/>
        <w:t>отличие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независимости,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предполагает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только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отказ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импорта,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опережающее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собственных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5A3094" w:rsidRPr="00D32CC3">
        <w:rPr>
          <w:rStyle w:val="affc"/>
          <w:rFonts w:cs="Times New Roman"/>
          <w:szCs w:val="24"/>
          <w:lang w:val="ru-RU"/>
        </w:rPr>
        <w:footnoteReference w:id="3"/>
      </w:r>
      <w:r w:rsidRPr="00D32CC3">
        <w:rPr>
          <w:rFonts w:cs="Times New Roman"/>
          <w:szCs w:val="24"/>
          <w:lang w:val="ru-RU"/>
        </w:rPr>
        <w:t>.</w:t>
      </w:r>
    </w:p>
    <w:p w:rsidR="0026485E" w:rsidRPr="00D32CC3" w:rsidRDefault="0026485E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Доля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прогноз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2035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года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представлен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рис</w:t>
      </w:r>
      <w:r w:rsid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1.</w:t>
      </w:r>
    </w:p>
    <w:p w:rsidR="0026485E" w:rsidRPr="00D32CC3" w:rsidRDefault="0032781E" w:rsidP="00D32CC3">
      <w:pPr>
        <w:spacing w:after="0"/>
        <w:ind w:firstLine="709"/>
        <w:jc w:val="both"/>
        <w:rPr>
          <w:rFonts w:cs="Times New Roman"/>
          <w:szCs w:val="24"/>
        </w:rPr>
      </w:pPr>
      <w:r w:rsidRPr="00D32CC3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485E" w:rsidRPr="00E91199" w:rsidRDefault="0026485E" w:rsidP="00E91199">
      <w:pPr>
        <w:spacing w:after="120" w:line="240" w:lineRule="auto"/>
        <w:ind w:firstLine="0"/>
        <w:jc w:val="center"/>
        <w:rPr>
          <w:rFonts w:cs="Times New Roman"/>
          <w:b/>
          <w:szCs w:val="24"/>
          <w:lang w:val="ru-RU"/>
        </w:rPr>
      </w:pPr>
      <w:r w:rsidRPr="00E91199">
        <w:rPr>
          <w:rFonts w:cs="Times New Roman"/>
          <w:b/>
          <w:szCs w:val="24"/>
          <w:lang w:val="ru-RU"/>
        </w:rPr>
        <w:t>Рисунок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1.</w:t>
      </w:r>
      <w:r w:rsidR="00E91199">
        <w:rPr>
          <w:rFonts w:cs="Times New Roman"/>
          <w:b/>
          <w:szCs w:val="24"/>
          <w:lang w:val="ru-RU"/>
        </w:rPr>
        <w:br/>
      </w:r>
      <w:r w:rsidRPr="00E91199">
        <w:rPr>
          <w:rFonts w:cs="Times New Roman"/>
          <w:b/>
          <w:szCs w:val="24"/>
          <w:lang w:val="ru-RU"/>
        </w:rPr>
        <w:t>Доля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российских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технологий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в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высокотехнологичном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производстве</w:t>
      </w:r>
      <w:r w:rsidR="00E91199">
        <w:rPr>
          <w:rFonts w:cs="Times New Roman"/>
          <w:b/>
          <w:szCs w:val="24"/>
          <w:lang w:val="ru-RU"/>
        </w:rPr>
        <w:t>.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="0032781E" w:rsidRPr="00E91199">
        <w:rPr>
          <w:rFonts w:cs="Times New Roman"/>
          <w:b/>
          <w:szCs w:val="24"/>
          <w:lang w:val="ru-RU"/>
        </w:rPr>
        <w:t>Источник</w:t>
      </w:r>
      <w:r w:rsidR="00E91199">
        <w:rPr>
          <w:rFonts w:cs="Times New Roman"/>
          <w:b/>
          <w:szCs w:val="24"/>
          <w:lang w:val="ru-RU"/>
        </w:rPr>
        <w:t>: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="0032781E" w:rsidRPr="00E91199">
        <w:rPr>
          <w:rFonts w:cs="Times New Roman"/>
          <w:b/>
          <w:szCs w:val="24"/>
          <w:lang w:val="ru-RU"/>
        </w:rPr>
        <w:t>Минпромторг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="0032781E" w:rsidRPr="00E91199">
        <w:rPr>
          <w:rFonts w:cs="Times New Roman"/>
          <w:b/>
          <w:szCs w:val="24"/>
          <w:lang w:val="ru-RU"/>
        </w:rPr>
        <w:t>РФ,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прогноз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до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2035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г.</w:t>
      </w:r>
    </w:p>
    <w:p w:rsidR="0026485E" w:rsidRPr="00D32CC3" w:rsidRDefault="0026485E" w:rsidP="00D32CC3">
      <w:pPr>
        <w:spacing w:after="0"/>
        <w:ind w:firstLine="709"/>
        <w:jc w:val="both"/>
        <w:rPr>
          <w:rFonts w:cs="Times New Roman"/>
          <w:i/>
          <w:iCs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Следует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отметь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с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35%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в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2023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году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до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70%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в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2035</w:t>
      </w:r>
      <w:r w:rsidR="00D32CC3" w:rsidRPr="00D32CC3">
        <w:rPr>
          <w:rFonts w:cs="Times New Roman"/>
          <w:i/>
          <w:iCs/>
          <w:szCs w:val="24"/>
          <w:lang w:val="ru-RU"/>
        </w:rPr>
        <w:t xml:space="preserve"> </w:t>
      </w:r>
      <w:r w:rsidRPr="00D32CC3">
        <w:rPr>
          <w:rFonts w:cs="Times New Roman"/>
          <w:i/>
          <w:iCs/>
          <w:szCs w:val="24"/>
          <w:lang w:val="ru-RU"/>
        </w:rPr>
        <w:t>год.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Практическая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значимость: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национальной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уязвимость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обеспечивает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устойчивость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санкционного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давления.</w:t>
      </w:r>
    </w:p>
    <w:p w:rsidR="007C43D8" w:rsidRPr="00E91199" w:rsidRDefault="00EC0AFD" w:rsidP="00E91199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E91199">
        <w:rPr>
          <w:rFonts w:cs="Times New Roman"/>
          <w:b/>
          <w:szCs w:val="24"/>
          <w:lang w:val="ru-RU"/>
        </w:rPr>
        <w:t>2.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Современное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состояние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и</w:t>
      </w:r>
      <w:r w:rsidR="00D32CC3" w:rsidRPr="00E91199">
        <w:rPr>
          <w:rFonts w:cs="Times New Roman"/>
          <w:b/>
          <w:szCs w:val="24"/>
          <w:lang w:val="ru-RU"/>
        </w:rPr>
        <w:t xml:space="preserve"> </w:t>
      </w:r>
      <w:r w:rsidRPr="00E91199">
        <w:rPr>
          <w:rFonts w:cs="Times New Roman"/>
          <w:b/>
          <w:szCs w:val="24"/>
          <w:lang w:val="ru-RU"/>
        </w:rPr>
        <w:t>вызовы</w:t>
      </w:r>
    </w:p>
    <w:p w:rsidR="0011228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Россия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занимает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45</w:t>
      </w:r>
      <w:r w:rsidR="00E91199">
        <w:rPr>
          <w:rFonts w:cs="Times New Roman"/>
          <w:szCs w:val="24"/>
          <w:lang w:val="ru-RU"/>
        </w:rPr>
        <w:t>-</w:t>
      </w:r>
      <w:r w:rsidRPr="00D32CC3">
        <w:rPr>
          <w:rFonts w:cs="Times New Roman"/>
          <w:szCs w:val="24"/>
          <w:lang w:val="ru-RU"/>
        </w:rPr>
        <w:t>50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место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мировых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рейтингах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</w:t>
      </w:r>
      <w:r w:rsidRPr="00D32CC3">
        <w:rPr>
          <w:rFonts w:cs="Times New Roman"/>
          <w:szCs w:val="24"/>
        </w:rPr>
        <w:t>Global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Innovation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Index</w:t>
      </w:r>
      <w:r w:rsidRPr="00D32CC3">
        <w:rPr>
          <w:rFonts w:cs="Times New Roman"/>
          <w:szCs w:val="24"/>
          <w:lang w:val="ru-RU"/>
        </w:rPr>
        <w:t>).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Уровень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расходов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около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1,1%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ВВП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(против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2,5</w:t>
      </w:r>
      <w:r w:rsidR="00E91199">
        <w:rPr>
          <w:rFonts w:cs="Times New Roman"/>
          <w:szCs w:val="24"/>
          <w:lang w:val="ru-RU"/>
        </w:rPr>
        <w:t>-</w:t>
      </w:r>
      <w:r w:rsidRPr="00D32CC3">
        <w:rPr>
          <w:rFonts w:cs="Times New Roman"/>
          <w:szCs w:val="24"/>
          <w:lang w:val="ru-RU"/>
        </w:rPr>
        <w:t>3%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ОЭСР).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Расходы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ОЭСР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(%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ВВП)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представлены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табл</w:t>
      </w:r>
      <w:r w:rsidR="00E91199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1</w:t>
      </w:r>
      <w:r w:rsidR="005A3094" w:rsidRPr="00D32CC3">
        <w:rPr>
          <w:rStyle w:val="affc"/>
          <w:rFonts w:cs="Times New Roman"/>
          <w:szCs w:val="24"/>
          <w:lang w:val="ru-RU"/>
        </w:rPr>
        <w:footnoteReference w:id="4"/>
      </w:r>
      <w:r w:rsidR="00112288" w:rsidRPr="00D32CC3">
        <w:rPr>
          <w:rFonts w:cs="Times New Roman"/>
          <w:szCs w:val="24"/>
          <w:lang w:val="ru-RU"/>
        </w:rPr>
        <w:t>.</w:t>
      </w:r>
    </w:p>
    <w:p w:rsidR="00E91199" w:rsidRDefault="00EC0AFD" w:rsidP="00E91199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1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Расходы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ОЭСР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ВВП)</w:t>
      </w:r>
    </w:p>
    <w:tbl>
      <w:tblPr>
        <w:tblStyle w:val="aff0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7C43D8" w:rsidRPr="00E91199" w:rsidTr="00E91199">
        <w:trPr>
          <w:jc w:val="center"/>
        </w:trPr>
        <w:tc>
          <w:tcPr>
            <w:tcW w:w="2160" w:type="dxa"/>
          </w:tcPr>
          <w:p w:rsidR="007C43D8" w:rsidRPr="001C559F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C43D8" w:rsidRPr="00E91199" w:rsidTr="00E91199">
        <w:trPr>
          <w:jc w:val="center"/>
        </w:trPr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7C43D8" w:rsidRPr="00E91199" w:rsidTr="00E91199">
        <w:trPr>
          <w:jc w:val="center"/>
        </w:trPr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7C43D8" w:rsidRPr="00E91199" w:rsidTr="00E91199">
        <w:trPr>
          <w:jc w:val="center"/>
        </w:trPr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7C43D8" w:rsidRPr="00E91199" w:rsidTr="00E91199">
        <w:trPr>
          <w:jc w:val="center"/>
        </w:trPr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="00D32CC3" w:rsidRPr="00E9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60" w:type="dxa"/>
          </w:tcPr>
          <w:p w:rsidR="007C43D8" w:rsidRPr="00E91199" w:rsidRDefault="00EC0AFD" w:rsidP="00E911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19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</w:tbl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Источник: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Росстат;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OECD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STI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Outlook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2023.</w:t>
      </w:r>
    </w:p>
    <w:p w:rsidR="00112288" w:rsidRPr="00D32CC3" w:rsidRDefault="00112288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По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данным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Росстата,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импорта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продукции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РФ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2023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году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составила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60%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2015</w:t>
      </w:r>
      <w:r w:rsidR="00E91199">
        <w:rPr>
          <w:rFonts w:cs="Times New Roman"/>
          <w:szCs w:val="24"/>
          <w:lang w:val="ru-RU"/>
        </w:rPr>
        <w:t>-</w:t>
      </w:r>
      <w:r w:rsidRPr="00D32CC3">
        <w:rPr>
          <w:rFonts w:cs="Times New Roman"/>
          <w:szCs w:val="24"/>
          <w:lang w:val="ru-RU"/>
        </w:rPr>
        <w:t>2023годах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отмечается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70%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60%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(рис</w:t>
      </w:r>
      <w:r w:rsidR="00E91199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2</w:t>
      </w:r>
      <w:r w:rsidRPr="00D32CC3">
        <w:rPr>
          <w:rFonts w:cs="Times New Roman"/>
          <w:szCs w:val="24"/>
          <w:lang w:val="ru-RU"/>
        </w:rPr>
        <w:t>).</w:t>
      </w:r>
    </w:p>
    <w:p w:rsidR="00426C80" w:rsidRPr="00D32CC3" w:rsidRDefault="0032781E" w:rsidP="00E91199">
      <w:pPr>
        <w:spacing w:after="0"/>
        <w:ind w:firstLine="0"/>
        <w:jc w:val="center"/>
        <w:rPr>
          <w:rFonts w:cs="Times New Roman"/>
          <w:szCs w:val="24"/>
          <w:lang w:val="ru-RU"/>
        </w:rPr>
      </w:pPr>
      <w:r w:rsidRPr="00D32CC3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C80" w:rsidRPr="00D32CC3" w:rsidRDefault="00426C80" w:rsidP="00E91199">
      <w:pPr>
        <w:pStyle w:val="aff8"/>
        <w:tabs>
          <w:tab w:val="left" w:pos="8498"/>
        </w:tabs>
        <w:spacing w:before="0" w:beforeAutospacing="0" w:after="120" w:afterAutospacing="0"/>
        <w:jc w:val="center"/>
      </w:pPr>
      <w:r w:rsidRPr="00D32CC3">
        <w:rPr>
          <w:rStyle w:val="af6"/>
        </w:rPr>
        <w:t>Рисунок</w:t>
      </w:r>
      <w:r w:rsidR="00D32CC3" w:rsidRPr="00D32CC3">
        <w:rPr>
          <w:rStyle w:val="af6"/>
        </w:rPr>
        <w:t xml:space="preserve"> </w:t>
      </w:r>
      <w:r w:rsidR="00E91199">
        <w:rPr>
          <w:rStyle w:val="af6"/>
        </w:rPr>
        <w:t>2</w:t>
      </w:r>
      <w:r w:rsidRPr="00D32CC3">
        <w:rPr>
          <w:rStyle w:val="af6"/>
        </w:rPr>
        <w:t>.</w:t>
      </w:r>
      <w:r w:rsidR="00E91199">
        <w:rPr>
          <w:rStyle w:val="af6"/>
        </w:rPr>
        <w:br/>
      </w:r>
      <w:r w:rsidRPr="00D32CC3">
        <w:rPr>
          <w:rStyle w:val="af6"/>
        </w:rPr>
        <w:t>Доля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импорта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высокотехнологичной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продукции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в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РФ,</w:t>
      </w:r>
      <w:r w:rsidR="00D32CC3" w:rsidRPr="00D32CC3">
        <w:rPr>
          <w:rStyle w:val="af6"/>
        </w:rPr>
        <w:t xml:space="preserve"> </w:t>
      </w:r>
      <w:r w:rsidRPr="00D32CC3">
        <w:rPr>
          <w:rStyle w:val="af6"/>
        </w:rPr>
        <w:t>%</w:t>
      </w:r>
    </w:p>
    <w:p w:rsidR="00EC0AFD" w:rsidRPr="00D32CC3" w:rsidRDefault="00E91199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К о</w:t>
      </w:r>
      <w:r w:rsidR="00112288" w:rsidRPr="00D32CC3">
        <w:rPr>
          <w:rFonts w:cs="Times New Roman"/>
          <w:szCs w:val="24"/>
          <w:lang w:val="ru-RU"/>
        </w:rPr>
        <w:t>сновны</w:t>
      </w:r>
      <w:r>
        <w:rPr>
          <w:rFonts w:cs="Times New Roman"/>
          <w:szCs w:val="24"/>
          <w:lang w:val="ru-RU"/>
        </w:rPr>
        <w:t>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вызов</w:t>
      </w:r>
      <w:r>
        <w:rPr>
          <w:rFonts w:cs="Times New Roman"/>
          <w:szCs w:val="24"/>
          <w:lang w:val="ru-RU"/>
        </w:rPr>
        <w:t>ам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относятся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санкции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ограничение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доступа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технологиям,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высокая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доля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импорта,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отток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кадров,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недостаток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венчурного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капитала.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этом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EC0AFD" w:rsidRPr="00D32CC3">
        <w:rPr>
          <w:rFonts w:cs="Times New Roman"/>
          <w:szCs w:val="24"/>
          <w:lang w:val="ru-RU"/>
        </w:rPr>
        <w:t>нновационное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сталкивается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комплексом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структурных,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институциональных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внешнеэкономических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вызовов,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которые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тормозят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переход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страны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экономике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знаний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мешают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достижению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суверенитета.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вызовы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можно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условно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разделить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несколько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групп</w:t>
      </w:r>
      <w:r w:rsidR="00112288" w:rsidRPr="00D32CC3">
        <w:rPr>
          <w:rFonts w:cs="Times New Roman"/>
          <w:szCs w:val="24"/>
          <w:lang w:val="ru-RU"/>
        </w:rPr>
        <w:t>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Геополитические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внешнеэкономические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вызовы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включают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себя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bCs/>
          <w:szCs w:val="24"/>
          <w:lang w:val="ru-RU"/>
        </w:rPr>
        <w:t>анкционные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ограничения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</w:t>
      </w:r>
      <w:r w:rsidR="00112288" w:rsidRPr="00D32CC3">
        <w:rPr>
          <w:rFonts w:cs="Times New Roman"/>
          <w:bCs/>
          <w:szCs w:val="24"/>
          <w:lang w:val="ru-RU"/>
        </w:rPr>
        <w:t>ую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изоляци</w:t>
      </w:r>
      <w:r w:rsidR="00112288" w:rsidRPr="00D32CC3">
        <w:rPr>
          <w:rFonts w:cs="Times New Roman"/>
          <w:bCs/>
          <w:szCs w:val="24"/>
          <w:lang w:val="ru-RU"/>
        </w:rPr>
        <w:t>ю,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которая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выражается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ограничени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доступа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современному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оборудованию,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программному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обеспечению,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инвестициям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технологиям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Имеет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место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</w:t>
      </w:r>
      <w:r w:rsidRPr="00D32CC3">
        <w:rPr>
          <w:rFonts w:cs="Times New Roman"/>
          <w:bCs/>
          <w:szCs w:val="24"/>
          <w:lang w:val="ru-RU"/>
        </w:rPr>
        <w:t>азрыв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глобальных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цепочек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из-за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уход</w:t>
      </w:r>
      <w:r w:rsidR="00112288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крупных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международных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рынка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утрат</w:t>
      </w:r>
      <w:r w:rsidR="00112288" w:rsidRPr="00D32CC3">
        <w:rPr>
          <w:rFonts w:cs="Times New Roman"/>
          <w:szCs w:val="24"/>
          <w:lang w:val="ru-RU"/>
        </w:rPr>
        <w:t>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каналов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трансфера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Нестабильность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внешних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рынков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проявляется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колебания</w:t>
      </w:r>
      <w:r w:rsidR="00112288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сырьевые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товары,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которые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остаются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важным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источником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доходов</w:t>
      </w:r>
      <w:r w:rsidR="00112288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результате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этого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</w:t>
      </w:r>
      <w:r w:rsidR="00112288" w:rsidRPr="00D32CC3">
        <w:rPr>
          <w:rFonts w:cs="Times New Roman"/>
          <w:szCs w:val="24"/>
          <w:lang w:val="ru-RU"/>
        </w:rPr>
        <w:t>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предсказуемость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финансирования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сферы</w:t>
      </w:r>
      <w:r w:rsidR="00112288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отмечается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ограниченного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круга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поставщиков,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что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приводит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удорожани</w:t>
      </w:r>
      <w:r w:rsidR="00112288" w:rsidRPr="00D32CC3">
        <w:rPr>
          <w:rFonts w:cs="Times New Roman"/>
          <w:szCs w:val="24"/>
          <w:lang w:val="ru-RU"/>
        </w:rPr>
        <w:t>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замедлени</w:t>
      </w:r>
      <w:r w:rsidR="00112288" w:rsidRPr="00D32CC3">
        <w:rPr>
          <w:rFonts w:cs="Times New Roman"/>
          <w:szCs w:val="24"/>
          <w:lang w:val="ru-RU"/>
        </w:rPr>
        <w:t>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процессов.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Структурные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институциональные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барьеры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внутри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bCs/>
          <w:szCs w:val="24"/>
          <w:lang w:val="ru-RU"/>
        </w:rPr>
        <w:t>изк</w:t>
      </w:r>
      <w:r w:rsidR="00112288" w:rsidRPr="00D32CC3">
        <w:rPr>
          <w:rFonts w:cs="Times New Roman"/>
          <w:bCs/>
          <w:szCs w:val="24"/>
          <w:lang w:val="ru-RU"/>
        </w:rPr>
        <w:t>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дол</w:t>
      </w:r>
      <w:r w:rsidR="00112288" w:rsidRPr="00D32CC3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расходов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около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1,1%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ВВП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2,5</w:t>
      </w:r>
      <w:r w:rsidR="00E91199">
        <w:rPr>
          <w:rFonts w:cs="Times New Roman"/>
          <w:szCs w:val="24"/>
          <w:lang w:val="ru-RU"/>
        </w:rPr>
        <w:t>-</w:t>
      </w:r>
      <w:r w:rsidRPr="00D32CC3">
        <w:rPr>
          <w:rFonts w:cs="Times New Roman"/>
          <w:szCs w:val="24"/>
          <w:lang w:val="ru-RU"/>
        </w:rPr>
        <w:t>3%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ОЭСР)</w:t>
      </w:r>
      <w:r w:rsidR="00112288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bCs/>
          <w:szCs w:val="24"/>
          <w:lang w:val="ru-RU"/>
        </w:rPr>
        <w:t>едостаточн</w:t>
      </w:r>
      <w:r w:rsidR="00112288" w:rsidRPr="00D32CC3">
        <w:rPr>
          <w:rFonts w:cs="Times New Roman"/>
          <w:bCs/>
          <w:szCs w:val="24"/>
          <w:lang w:val="ru-RU"/>
        </w:rPr>
        <w:t>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развитост</w:t>
      </w:r>
      <w:r w:rsidR="0011228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инновационной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неравномерное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распределение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технопарков,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кластеров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коллективного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пользования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регионам.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Слабая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интеграция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науки,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производства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приводит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разрыв</w:t>
      </w:r>
      <w:r w:rsidR="00112288" w:rsidRPr="00D32CC3">
        <w:rPr>
          <w:rFonts w:cs="Times New Roman"/>
          <w:szCs w:val="24"/>
          <w:lang w:val="ru-RU"/>
        </w:rPr>
        <w:t>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результатами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практическим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внедрением</w:t>
      </w:r>
      <w:r w:rsidR="00112288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bCs/>
          <w:szCs w:val="24"/>
          <w:lang w:val="ru-RU"/>
        </w:rPr>
        <w:t>изкий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уровень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коммерциализации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разработок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является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причиной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того,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12288" w:rsidRPr="00D32CC3">
        <w:rPr>
          <w:rFonts w:cs="Times New Roman"/>
          <w:bCs/>
          <w:szCs w:val="24"/>
          <w:lang w:val="ru-RU"/>
        </w:rPr>
        <w:t>что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значительная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часть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доходит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стадии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опытного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результате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имеет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место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отсутствие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цепочек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цикла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внутри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слабое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вовлечение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4A177C" w:rsidRPr="00D32CC3">
        <w:rPr>
          <w:rStyle w:val="affc"/>
          <w:rFonts w:cs="Times New Roman"/>
          <w:szCs w:val="24"/>
          <w:lang w:val="ru-RU"/>
        </w:rPr>
        <w:footnoteReference w:id="5"/>
      </w:r>
      <w:r w:rsidRPr="00D32CC3">
        <w:rPr>
          <w:rFonts w:cs="Times New Roman"/>
          <w:szCs w:val="24"/>
          <w:lang w:val="ru-RU"/>
        </w:rPr>
        <w:t>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Кадровые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демографические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вызовы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12288" w:rsidRPr="00D32CC3">
        <w:rPr>
          <w:rFonts w:cs="Times New Roman"/>
          <w:szCs w:val="24"/>
          <w:lang w:val="ru-RU"/>
        </w:rPr>
        <w:t>о</w:t>
      </w:r>
      <w:r w:rsidRPr="00D32CC3">
        <w:rPr>
          <w:rFonts w:cs="Times New Roman"/>
          <w:bCs/>
          <w:szCs w:val="24"/>
          <w:lang w:val="ru-RU"/>
        </w:rPr>
        <w:t>тток</w:t>
      </w:r>
      <w:r w:rsidR="00112288" w:rsidRPr="00D32CC3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квалифицированных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специалистов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рубеж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смежные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связанные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высокими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технологиями.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Имеет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место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д</w:t>
      </w:r>
      <w:r w:rsidRPr="00D32CC3">
        <w:rPr>
          <w:rFonts w:cs="Times New Roman"/>
          <w:bCs/>
          <w:szCs w:val="24"/>
          <w:lang w:val="ru-RU"/>
        </w:rPr>
        <w:t>ефицит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инженерных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особенно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области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микроэлектроники,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материаловедения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Отмечается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bCs/>
          <w:szCs w:val="24"/>
          <w:lang w:val="ru-RU"/>
        </w:rPr>
        <w:t>тарение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корпуса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средний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возраст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превышает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50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лет.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результате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этого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C1E99" w:rsidRPr="00D32CC3">
        <w:rPr>
          <w:rFonts w:cs="Times New Roman"/>
          <w:szCs w:val="24"/>
          <w:lang w:val="ru-RU"/>
        </w:rPr>
        <w:t>происходит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резерва,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активности,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разрыв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поколений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науке.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Финансово-экономические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ограничения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проявляются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bCs/>
          <w:szCs w:val="24"/>
          <w:lang w:val="ru-RU"/>
        </w:rPr>
        <w:t>едостат</w:t>
      </w:r>
      <w:r w:rsidR="002B402D" w:rsidRPr="00D32CC3">
        <w:rPr>
          <w:rFonts w:cs="Times New Roman"/>
          <w:bCs/>
          <w:szCs w:val="24"/>
          <w:lang w:val="ru-RU"/>
        </w:rPr>
        <w:t>ке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венчурного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частного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капитала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финансирования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стартапов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проектов.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Высокие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риски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длительный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горизонт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окупаемости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интерес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вложениям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2B402D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о</w:t>
      </w:r>
      <w:r w:rsidRPr="00D32CC3">
        <w:rPr>
          <w:rFonts w:cs="Times New Roman"/>
          <w:bCs/>
          <w:szCs w:val="24"/>
          <w:lang w:val="ru-RU"/>
        </w:rPr>
        <w:t>граниченный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доступ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малых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средних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инновационных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компаний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государственным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закупкам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субсидиям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2B402D" w:rsidRPr="00D32CC3">
        <w:rPr>
          <w:rFonts w:cs="Times New Roman"/>
          <w:bCs/>
          <w:szCs w:val="24"/>
          <w:lang w:val="ru-RU"/>
        </w:rPr>
        <w:t>способствует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низк</w:t>
      </w:r>
      <w:r w:rsidR="002B402D" w:rsidRPr="00D32CC3">
        <w:rPr>
          <w:rFonts w:cs="Times New Roman"/>
          <w:szCs w:val="24"/>
          <w:lang w:val="ru-RU"/>
        </w:rPr>
        <w:t>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инвестиционн</w:t>
      </w:r>
      <w:r w:rsidR="006D1E8E">
        <w:rPr>
          <w:rFonts w:cs="Times New Roman"/>
          <w:szCs w:val="24"/>
          <w:lang w:val="ru-RU"/>
        </w:rPr>
        <w:t>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активност</w:t>
      </w:r>
      <w:r w:rsidR="002B402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наукоёмких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секторах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медленно</w:t>
      </w:r>
      <w:r w:rsidR="002B402D" w:rsidRPr="00D32CC3">
        <w:rPr>
          <w:rFonts w:cs="Times New Roman"/>
          <w:szCs w:val="24"/>
          <w:lang w:val="ru-RU"/>
        </w:rPr>
        <w:t>му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масштабировани</w:t>
      </w:r>
      <w:r w:rsidR="002B402D" w:rsidRPr="00D32CC3">
        <w:rPr>
          <w:rFonts w:cs="Times New Roman"/>
          <w:szCs w:val="24"/>
          <w:lang w:val="ru-RU"/>
        </w:rPr>
        <w:t>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успешных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Технологические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вызовы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заключатся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з</w:t>
      </w:r>
      <w:r w:rsidRPr="00D32CC3">
        <w:rPr>
          <w:rFonts w:cs="Times New Roman"/>
          <w:bCs/>
          <w:szCs w:val="24"/>
          <w:lang w:val="ru-RU"/>
        </w:rPr>
        <w:t>ависимост</w:t>
      </w:r>
      <w:r w:rsidR="002B402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импорта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высокотехнологичной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продукции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60%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машиностроении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электронике.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bCs/>
          <w:szCs w:val="24"/>
          <w:lang w:val="ru-RU"/>
        </w:rPr>
        <w:t>роизводственно</w:t>
      </w:r>
      <w:r w:rsidR="006D1E8E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оборудовани</w:t>
      </w:r>
      <w:r w:rsidR="006D1E8E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имеет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износ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50%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ряде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отраслей.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Отмечается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ц</w:t>
      </w:r>
      <w:r w:rsidRPr="00D32CC3">
        <w:rPr>
          <w:rFonts w:cs="Times New Roman"/>
          <w:bCs/>
          <w:szCs w:val="24"/>
          <w:lang w:val="ru-RU"/>
        </w:rPr>
        <w:t>ифровое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неравенство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регионами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низкий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уровень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зрелости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приводит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2B402D" w:rsidRPr="00D32CC3">
        <w:rPr>
          <w:rFonts w:cs="Times New Roman"/>
          <w:szCs w:val="24"/>
          <w:lang w:val="ru-RU"/>
        </w:rPr>
        <w:t>ограничению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возможност</w:t>
      </w:r>
      <w:r w:rsidR="002B402D" w:rsidRPr="00D32CC3">
        <w:rPr>
          <w:rFonts w:cs="Times New Roman"/>
          <w:szCs w:val="24"/>
          <w:lang w:val="ru-RU"/>
        </w:rPr>
        <w:t>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перехода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Индустрии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4.0.</w:t>
      </w:r>
    </w:p>
    <w:p w:rsidR="00EC0AFD" w:rsidRPr="00D32CC3" w:rsidRDefault="002B402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Таким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</w:t>
      </w:r>
      <w:r w:rsidR="00EC0AFD" w:rsidRPr="00D32CC3">
        <w:rPr>
          <w:rFonts w:cs="Times New Roman"/>
          <w:szCs w:val="24"/>
          <w:lang w:val="ru-RU"/>
        </w:rPr>
        <w:t>овременные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вызовы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требуют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системного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ответа,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включающего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усиление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государственной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поддержки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НИОКР,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(ОЭЗ,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технопарки,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кластеры),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наращивание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кадрового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потенциала,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укрепление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кооперации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бизнеса,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расширение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международного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сотрудничества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рамках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Евразии,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ЕАЭС,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БРИКС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ШОС.</w:t>
      </w:r>
    </w:p>
    <w:p w:rsidR="007C43D8" w:rsidRPr="006D1E8E" w:rsidRDefault="00EC0AFD" w:rsidP="006D1E8E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6D1E8E">
        <w:rPr>
          <w:rFonts w:cs="Times New Roman"/>
          <w:b/>
          <w:szCs w:val="24"/>
          <w:lang w:val="ru-RU"/>
        </w:rPr>
        <w:t>3</w:t>
      </w:r>
      <w:r w:rsidR="006D1E8E">
        <w:rPr>
          <w:rFonts w:cs="Times New Roman"/>
          <w:b/>
          <w:szCs w:val="24"/>
          <w:lang w:val="ru-RU"/>
        </w:rPr>
        <w:t>.</w:t>
      </w:r>
      <w:r w:rsidR="00D32CC3" w:rsidRPr="006D1E8E">
        <w:rPr>
          <w:rFonts w:cs="Times New Roman"/>
          <w:b/>
          <w:szCs w:val="24"/>
          <w:lang w:val="ru-RU"/>
        </w:rPr>
        <w:t xml:space="preserve"> </w:t>
      </w:r>
      <w:r w:rsidR="006D1E8E">
        <w:rPr>
          <w:rFonts w:cs="Times New Roman"/>
          <w:b/>
          <w:szCs w:val="24"/>
          <w:lang w:val="ru-RU"/>
        </w:rPr>
        <w:t>Н</w:t>
      </w:r>
      <w:r w:rsidRPr="006D1E8E">
        <w:rPr>
          <w:rFonts w:cs="Times New Roman"/>
          <w:b/>
          <w:szCs w:val="24"/>
          <w:lang w:val="ru-RU"/>
        </w:rPr>
        <w:t>аправления</w:t>
      </w:r>
      <w:r w:rsidR="00D32CC3" w:rsidRPr="006D1E8E">
        <w:rPr>
          <w:rFonts w:cs="Times New Roman"/>
          <w:b/>
          <w:szCs w:val="24"/>
          <w:lang w:val="ru-RU"/>
        </w:rPr>
        <w:t xml:space="preserve"> </w:t>
      </w:r>
      <w:r w:rsidRPr="006D1E8E">
        <w:rPr>
          <w:rFonts w:cs="Times New Roman"/>
          <w:b/>
          <w:szCs w:val="24"/>
          <w:lang w:val="ru-RU"/>
        </w:rPr>
        <w:t>развития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Стратегия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(НТР)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определяет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долгосрочные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направления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науки,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инноваций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глобальную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конкурентоспособность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геополитических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реалий.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1.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независимости</w:t>
      </w:r>
      <w:r w:rsidR="00C118F6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планируется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достичь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ф</w:t>
      </w:r>
      <w:r w:rsidRPr="00D32CC3">
        <w:rPr>
          <w:rFonts w:cs="Times New Roman"/>
          <w:szCs w:val="24"/>
          <w:lang w:val="ru-RU"/>
        </w:rPr>
        <w:t>ормирование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полного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цикла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разработки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и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производства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критических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территории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фундаментальной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коммерциализации.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Другим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важным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направлением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>мпортонезависимость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отраслях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таких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как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микроэлектроника,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фармацевтика,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машиностроение,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материалы.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szCs w:val="24"/>
          <w:lang w:val="ru-RU"/>
        </w:rPr>
        <w:t>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национальных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стандартов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нормативной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снижающих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зарубежных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регламентов.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Целью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мероприятий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обеспечение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D1E8E">
        <w:rPr>
          <w:rFonts w:cs="Times New Roman"/>
          <w:szCs w:val="24"/>
          <w:lang w:val="ru-RU"/>
        </w:rPr>
        <w:t xml:space="preserve">развития </w:t>
      </w:r>
      <w:r w:rsidR="00C118F6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szCs w:val="24"/>
          <w:lang w:val="ru-RU"/>
        </w:rPr>
        <w:t>ациональной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D1E8E">
        <w:rPr>
          <w:rFonts w:cs="Times New Roman"/>
          <w:szCs w:val="24"/>
          <w:lang w:val="ru-RU"/>
        </w:rPr>
        <w:t xml:space="preserve">национальной </w:t>
      </w:r>
      <w:r w:rsidRPr="00D32CC3">
        <w:rPr>
          <w:rFonts w:cs="Times New Roman"/>
          <w:szCs w:val="24"/>
          <w:lang w:val="ru-RU"/>
        </w:rPr>
        <w:t>безопасности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санкционного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разрыва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глобальных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цепочек</w:t>
      </w:r>
      <w:r w:rsidR="004A177C" w:rsidRPr="00D32CC3">
        <w:rPr>
          <w:rStyle w:val="affc"/>
          <w:rFonts w:cs="Times New Roman"/>
          <w:szCs w:val="24"/>
          <w:lang w:val="ru-RU"/>
        </w:rPr>
        <w:footnoteReference w:id="6"/>
      </w:r>
      <w:r w:rsidRPr="00D32CC3">
        <w:rPr>
          <w:rFonts w:cs="Times New Roman"/>
          <w:szCs w:val="24"/>
          <w:lang w:val="ru-RU"/>
        </w:rPr>
        <w:t>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2.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Концентрация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ресурсов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прорывных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обеспечивается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путем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</w:t>
      </w:r>
      <w:r w:rsidRPr="00D32CC3">
        <w:rPr>
          <w:rFonts w:cs="Times New Roman"/>
          <w:szCs w:val="24"/>
          <w:lang w:val="ru-RU"/>
        </w:rPr>
        <w:t>пределени</w:t>
      </w:r>
      <w:r w:rsidR="00C118F6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D1E8E">
        <w:rPr>
          <w:rFonts w:cs="Times New Roman"/>
          <w:szCs w:val="24"/>
          <w:lang w:val="ru-RU"/>
        </w:rPr>
        <w:t>поддержки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критических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технологий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драйверами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экспортного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потенциала.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Основны</w:t>
      </w:r>
      <w:r w:rsidR="00C118F6" w:rsidRPr="00D32CC3">
        <w:rPr>
          <w:rFonts w:cs="Times New Roman"/>
          <w:szCs w:val="24"/>
          <w:lang w:val="ru-RU"/>
        </w:rPr>
        <w:t>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приоритетны</w:t>
      </w:r>
      <w:r w:rsidR="00C118F6" w:rsidRPr="00D32CC3">
        <w:rPr>
          <w:rFonts w:cs="Times New Roman"/>
          <w:szCs w:val="24"/>
          <w:lang w:val="ru-RU"/>
        </w:rPr>
        <w:t>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област</w:t>
      </w:r>
      <w:r w:rsidR="00C118F6" w:rsidRPr="00D32CC3">
        <w:rPr>
          <w:rFonts w:cs="Times New Roman"/>
          <w:szCs w:val="24"/>
          <w:lang w:val="ru-RU"/>
        </w:rPr>
        <w:t>ями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искусственный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интеллект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робототехника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</w:t>
      </w:r>
      <w:r w:rsidRPr="00D32CC3">
        <w:rPr>
          <w:rFonts w:cs="Times New Roman"/>
          <w:szCs w:val="24"/>
          <w:lang w:val="ru-RU"/>
        </w:rPr>
        <w:t>икро-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наноэлектроника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к</w:t>
      </w:r>
      <w:r w:rsidRPr="00D32CC3">
        <w:rPr>
          <w:rFonts w:cs="Times New Roman"/>
          <w:szCs w:val="24"/>
          <w:lang w:val="ru-RU"/>
        </w:rPr>
        <w:t>вантовые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фотоника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биотехнологии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биоинженерия,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также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</w:t>
      </w:r>
      <w:r w:rsidRPr="00D32CC3">
        <w:rPr>
          <w:rFonts w:cs="Times New Roman"/>
          <w:szCs w:val="24"/>
          <w:lang w:val="ru-RU"/>
        </w:rPr>
        <w:t>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материалы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аддитивные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водородная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«зелёная»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энергетика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перспективные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космические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транспортные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(</w:t>
      </w:r>
      <w:r w:rsidR="006D1E8E">
        <w:rPr>
          <w:rFonts w:cs="Times New Roman"/>
          <w:szCs w:val="24"/>
          <w:lang w:val="ru-RU"/>
        </w:rPr>
        <w:t>табл.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2)</w:t>
      </w:r>
      <w:r w:rsidRPr="00D32CC3">
        <w:rPr>
          <w:rFonts w:cs="Times New Roman"/>
          <w:szCs w:val="24"/>
          <w:lang w:val="ru-RU"/>
        </w:rPr>
        <w:t>.</w:t>
      </w:r>
    </w:p>
    <w:p w:rsidR="006D1E8E" w:rsidRDefault="001858AE" w:rsidP="006D1E8E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94A22" w:rsidRPr="00D32CC3">
        <w:rPr>
          <w:rFonts w:cs="Times New Roman"/>
          <w:szCs w:val="24"/>
          <w:lang w:val="ru-RU"/>
        </w:rPr>
        <w:t>2</w:t>
      </w:r>
    </w:p>
    <w:p w:rsidR="001858AE" w:rsidRPr="00D32CC3" w:rsidRDefault="001858AE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Приоритетные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3"/>
        <w:gridCol w:w="4130"/>
        <w:gridCol w:w="2621"/>
      </w:tblGrid>
      <w:tr w:rsidR="001858AE" w:rsidRPr="001C559F" w:rsidTr="00094A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коммерциализации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Микро-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наноэлектроника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элементной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Автоматизация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Прорыв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вычислительных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мощностях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композиты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прочности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энергоэффективности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Биотехнологии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агросектора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</w:tr>
      <w:tr w:rsidR="001858AE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Водородная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«зелёная»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энергетика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независимость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декарбонизация</w:t>
            </w:r>
          </w:p>
        </w:tc>
        <w:tc>
          <w:tcPr>
            <w:tcW w:w="0" w:type="auto"/>
            <w:vAlign w:val="center"/>
            <w:hideMark/>
          </w:tcPr>
          <w:p w:rsidR="001858AE" w:rsidRPr="001C559F" w:rsidRDefault="001858AE" w:rsidP="006D1E8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</w:p>
        </w:tc>
      </w:tr>
    </w:tbl>
    <w:p w:rsidR="001858AE" w:rsidRPr="006D1E8E" w:rsidRDefault="001858AE" w:rsidP="006D1E8E">
      <w:pPr>
        <w:pStyle w:val="aff8"/>
        <w:spacing w:before="0" w:beforeAutospacing="0" w:after="120" w:afterAutospacing="0"/>
        <w:ind w:firstLine="709"/>
        <w:jc w:val="both"/>
        <w:rPr>
          <w:i/>
          <w:sz w:val="22"/>
          <w:szCs w:val="22"/>
        </w:rPr>
      </w:pPr>
      <w:r w:rsidRPr="006D1E8E">
        <w:rPr>
          <w:rStyle w:val="af7"/>
          <w:i w:val="0"/>
          <w:sz w:val="22"/>
          <w:szCs w:val="22"/>
        </w:rPr>
        <w:t>Источник: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Указ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Президента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РФ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от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28.02.2024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N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145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"О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Стратегии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научно-технологического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развития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Российской</w:t>
      </w:r>
      <w:r w:rsidR="00D32CC3" w:rsidRPr="006D1E8E">
        <w:rPr>
          <w:rStyle w:val="af7"/>
          <w:i w:val="0"/>
          <w:sz w:val="22"/>
          <w:szCs w:val="22"/>
        </w:rPr>
        <w:t xml:space="preserve"> </w:t>
      </w:r>
      <w:r w:rsidR="004A177C" w:rsidRPr="006D1E8E">
        <w:rPr>
          <w:rStyle w:val="af7"/>
          <w:i w:val="0"/>
          <w:sz w:val="22"/>
          <w:szCs w:val="22"/>
        </w:rPr>
        <w:t>Федерации"</w:t>
      </w:r>
    </w:p>
    <w:p w:rsidR="00EC0AFD" w:rsidRPr="00D32CC3" w:rsidRDefault="00C118F6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Реализация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критических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позволит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опережающее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секторов,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способных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сформировать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экономику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будущего.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3.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Интеграция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реального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сектора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осуществляется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szCs w:val="24"/>
          <w:lang w:val="ru-RU"/>
        </w:rPr>
        <w:t>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научно-образовательно-производственных</w:t>
      </w:r>
      <w:r w:rsidR="00D32CC3" w:rsidRPr="00D32CC3">
        <w:rPr>
          <w:rFonts w:cs="Times New Roman"/>
          <w:b/>
          <w:bCs/>
          <w:szCs w:val="24"/>
          <w:lang w:val="ru-RU"/>
        </w:rPr>
        <w:t xml:space="preserve"> </w:t>
      </w:r>
      <w:r w:rsidRPr="00D32CC3">
        <w:rPr>
          <w:rFonts w:cs="Times New Roman"/>
          <w:b/>
          <w:bCs/>
          <w:szCs w:val="24"/>
          <w:lang w:val="ru-RU"/>
        </w:rPr>
        <w:t>консорциумов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(модель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«треугольник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знаний»: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университеты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академическая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наука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бизнес),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также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р</w:t>
      </w:r>
      <w:r w:rsidRPr="00D32CC3">
        <w:rPr>
          <w:rFonts w:cs="Times New Roman"/>
          <w:szCs w:val="24"/>
          <w:lang w:val="ru-RU"/>
        </w:rPr>
        <w:t>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университетской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стимулирование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междисциплинарных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интеграции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мировое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пространство.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Важным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реализации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szCs w:val="24"/>
          <w:lang w:val="ru-RU"/>
        </w:rPr>
        <w:t>рограмм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«Приоритет-2030»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«Платформа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университетов»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базовы</w:t>
      </w:r>
      <w:r w:rsidR="00C118F6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механизмы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генерации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знаний.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позволит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</w:t>
      </w:r>
      <w:r w:rsidR="00C118F6" w:rsidRPr="00D32CC3">
        <w:rPr>
          <w:rFonts w:cs="Times New Roman"/>
          <w:szCs w:val="24"/>
          <w:lang w:val="ru-RU"/>
        </w:rPr>
        <w:t>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прямо</w:t>
      </w:r>
      <w:r w:rsidR="00C118F6" w:rsidRPr="00D32CC3">
        <w:rPr>
          <w:rFonts w:cs="Times New Roman"/>
          <w:szCs w:val="24"/>
          <w:lang w:val="ru-RU"/>
        </w:rPr>
        <w:t>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быстр</w:t>
      </w:r>
      <w:r w:rsidR="00C118F6" w:rsidRPr="00D32CC3">
        <w:rPr>
          <w:rFonts w:cs="Times New Roman"/>
          <w:szCs w:val="24"/>
          <w:lang w:val="ru-RU"/>
        </w:rPr>
        <w:t>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трансфер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продукты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решения.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4.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человеческого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капитала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будет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обеспечиваться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путем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szCs w:val="24"/>
          <w:lang w:val="ru-RU"/>
        </w:rPr>
        <w:t>овышени</w:t>
      </w:r>
      <w:r w:rsidR="00C118F6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престижа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инженерной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деятельности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szCs w:val="24"/>
          <w:lang w:val="ru-RU"/>
        </w:rPr>
        <w:t>оддержк</w:t>
      </w:r>
      <w:r w:rsidR="00C118F6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молодых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учёных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исследователей,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грантовы</w:t>
      </w:r>
      <w:r w:rsidR="00C118F6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стипендиальны</w:t>
      </w:r>
      <w:r w:rsidR="00C118F6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</w:t>
      </w:r>
      <w:r w:rsidR="00C118F6" w:rsidRPr="00D32CC3">
        <w:rPr>
          <w:rFonts w:cs="Times New Roman"/>
          <w:szCs w:val="24"/>
          <w:lang w:val="ru-RU"/>
        </w:rPr>
        <w:t>м</w:t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Перспективным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направлением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</w:t>
      </w:r>
      <w:r w:rsidRPr="00D32CC3">
        <w:rPr>
          <w:rFonts w:cs="Times New Roman"/>
          <w:szCs w:val="24"/>
          <w:lang w:val="ru-RU"/>
        </w:rPr>
        <w:t>ассовая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основе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STEM-образования.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Важна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а</w:t>
      </w:r>
      <w:r w:rsidRPr="00D32CC3">
        <w:rPr>
          <w:rFonts w:cs="Times New Roman"/>
          <w:szCs w:val="24"/>
          <w:lang w:val="ru-RU"/>
        </w:rPr>
        <w:t>кадемическая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мобильность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стажировки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ведущих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международных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центрах.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Целью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мероприятий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устойчивого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5.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современной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планируется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осуществлять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дальнейшее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р</w:t>
      </w:r>
      <w:r w:rsidRPr="00D32CC3">
        <w:rPr>
          <w:rFonts w:cs="Times New Roman"/>
          <w:szCs w:val="24"/>
          <w:lang w:val="ru-RU"/>
        </w:rPr>
        <w:t>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технопарков,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индустриальных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кластеров,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коллективного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пользования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оборудованием.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Происходит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р</w:t>
      </w:r>
      <w:r w:rsidRPr="00D32CC3">
        <w:rPr>
          <w:rFonts w:cs="Times New Roman"/>
          <w:szCs w:val="24"/>
          <w:lang w:val="ru-RU"/>
        </w:rPr>
        <w:t>асширение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особых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зон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(ОЭЗ)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предоставление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налоговых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административных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льгот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компаний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szCs w:val="24"/>
          <w:lang w:val="ru-RU"/>
        </w:rPr>
        <w:t>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долин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кампусов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ведущих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университетов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Целью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мероприятий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ускоренного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масштабирования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6.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трансформация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осуществляется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путем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>недрени</w:t>
      </w:r>
      <w:r w:rsidR="00C118F6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сквозных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данные,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A1211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>нтернет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вещей,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аддитивные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проектирование)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м</w:t>
      </w:r>
      <w:r w:rsidRPr="00D32CC3">
        <w:rPr>
          <w:rFonts w:cs="Times New Roman"/>
          <w:szCs w:val="24"/>
          <w:lang w:val="ru-RU"/>
        </w:rPr>
        <w:t>одернизаци</w:t>
      </w:r>
      <w:r w:rsidR="00C118F6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оборудования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повышение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зрелости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предприятий</w:t>
      </w:r>
      <w:r w:rsidR="00C118F6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с</w:t>
      </w:r>
      <w:r w:rsidRPr="00D32CC3">
        <w:rPr>
          <w:rFonts w:cs="Times New Roman"/>
          <w:szCs w:val="24"/>
          <w:lang w:val="ru-RU"/>
        </w:rPr>
        <w:t>оздани</w:t>
      </w:r>
      <w:r w:rsidR="00C118F6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национальных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платформ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проектирования,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моделирования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управления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производственными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процессами.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обеспечит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переход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современный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уровень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(Индустрия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4.0).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7.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Международное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сотрудничество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интеграци</w:t>
      </w:r>
      <w:r w:rsidR="00A1211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глобальные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технологические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цепочки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сохранением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национального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приоритета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5F266E" w:rsidRPr="00D32CC3">
        <w:rPr>
          <w:rFonts w:cs="Times New Roman"/>
          <w:szCs w:val="24"/>
          <w:lang w:val="ru-RU"/>
        </w:rPr>
        <w:t>должно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осуществляется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путем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118F6" w:rsidRPr="00D32CC3">
        <w:rPr>
          <w:rFonts w:cs="Times New Roman"/>
          <w:szCs w:val="24"/>
          <w:lang w:val="ru-RU"/>
        </w:rPr>
        <w:t>у</w:t>
      </w:r>
      <w:r w:rsidRPr="00D32CC3">
        <w:rPr>
          <w:rFonts w:cs="Times New Roman"/>
          <w:szCs w:val="24"/>
          <w:lang w:val="ru-RU"/>
        </w:rPr>
        <w:t>части</w:t>
      </w:r>
      <w:r w:rsidR="00C118F6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мегапроектах,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коллаборациях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инициативах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рамках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ЕАЭС,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БРИКС,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ШОС</w:t>
      </w:r>
      <w:r w:rsidR="005F266E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5F266E"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5F266E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szCs w:val="24"/>
          <w:lang w:val="ru-RU"/>
        </w:rPr>
        <w:t>ривлечение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иностранных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инвестиций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учёных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исследовательские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центры</w:t>
      </w:r>
      <w:r w:rsidR="005F266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5F266E" w:rsidRPr="00D32CC3">
        <w:rPr>
          <w:rFonts w:cs="Times New Roman"/>
          <w:szCs w:val="24"/>
          <w:lang w:val="ru-RU"/>
        </w:rPr>
        <w:t>п</w:t>
      </w:r>
      <w:r w:rsidRPr="00D32CC3">
        <w:rPr>
          <w:rFonts w:cs="Times New Roman"/>
          <w:szCs w:val="24"/>
          <w:lang w:val="ru-RU"/>
        </w:rPr>
        <w:t>родвижение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российских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образовательных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внешние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рынки.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Целевые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показатели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2030</w:t>
      </w:r>
      <w:r w:rsidR="00A12113">
        <w:rPr>
          <w:rFonts w:cs="Times New Roman"/>
          <w:szCs w:val="24"/>
          <w:lang w:val="ru-RU"/>
        </w:rPr>
        <w:t>-</w:t>
      </w:r>
      <w:r w:rsidRPr="00D32CC3">
        <w:rPr>
          <w:rFonts w:cs="Times New Roman"/>
          <w:szCs w:val="24"/>
          <w:lang w:val="ru-RU"/>
        </w:rPr>
        <w:t>2035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гг.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можно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определить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следующим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образом: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у</w:t>
      </w:r>
      <w:r w:rsidRPr="00D32CC3">
        <w:rPr>
          <w:rFonts w:cs="Times New Roman"/>
          <w:szCs w:val="24"/>
          <w:lang w:val="ru-RU"/>
        </w:rPr>
        <w:t>величение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расходов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</w:t>
      </w:r>
      <w:r w:rsidR="000A047A" w:rsidRPr="00D32CC3">
        <w:rPr>
          <w:rFonts w:cs="Times New Roman"/>
          <w:szCs w:val="24"/>
          <w:lang w:val="ru-RU"/>
        </w:rPr>
        <w:t>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2,5</w:t>
      </w:r>
      <w:r w:rsidR="00A12113">
        <w:rPr>
          <w:rFonts w:cs="Times New Roman"/>
          <w:szCs w:val="24"/>
          <w:lang w:val="ru-RU"/>
        </w:rPr>
        <w:t>-</w:t>
      </w:r>
      <w:r w:rsidR="000A047A" w:rsidRPr="00D32CC3">
        <w:rPr>
          <w:rFonts w:cs="Times New Roman"/>
          <w:szCs w:val="24"/>
          <w:lang w:val="ru-RU"/>
        </w:rPr>
        <w:t>3%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ВВП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(с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нынешних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~1,1%),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д</w:t>
      </w:r>
      <w:r w:rsidRPr="00D32CC3">
        <w:rPr>
          <w:rFonts w:cs="Times New Roman"/>
          <w:szCs w:val="24"/>
          <w:lang w:val="ru-RU"/>
        </w:rPr>
        <w:t>оля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отечественных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менее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70%</w:t>
      </w:r>
      <w:r w:rsidR="000A047A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у</w:t>
      </w:r>
      <w:r w:rsidRPr="00D32CC3">
        <w:rPr>
          <w:rFonts w:cs="Times New Roman"/>
          <w:szCs w:val="24"/>
          <w:lang w:val="ru-RU"/>
        </w:rPr>
        <w:t>двоение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экспорта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продукции</w:t>
      </w:r>
      <w:r w:rsidR="000A047A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0A047A" w:rsidRPr="00D32CC3">
        <w:rPr>
          <w:rFonts w:cs="Times New Roman"/>
          <w:szCs w:val="24"/>
          <w:lang w:val="ru-RU"/>
        </w:rPr>
        <w:t>р</w:t>
      </w:r>
      <w:r w:rsidRPr="00D32CC3">
        <w:rPr>
          <w:rFonts w:cs="Times New Roman"/>
          <w:szCs w:val="24"/>
          <w:lang w:val="ru-RU"/>
        </w:rPr>
        <w:t>ост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численности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уровня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5000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1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млн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занятых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(уровень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стран).</w:t>
      </w:r>
    </w:p>
    <w:p w:rsidR="00426C80" w:rsidRPr="00A12113" w:rsidRDefault="00426C80" w:rsidP="00A12113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A12113">
        <w:rPr>
          <w:rFonts w:cs="Times New Roman"/>
          <w:b/>
          <w:szCs w:val="24"/>
          <w:lang w:val="ru-RU"/>
        </w:rPr>
        <w:t>4.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Pr="00A12113">
        <w:rPr>
          <w:rFonts w:cs="Times New Roman"/>
          <w:b/>
          <w:szCs w:val="24"/>
          <w:lang w:val="ru-RU"/>
        </w:rPr>
        <w:t>Механизмы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Pr="00A12113">
        <w:rPr>
          <w:rFonts w:cs="Times New Roman"/>
          <w:b/>
          <w:szCs w:val="24"/>
          <w:lang w:val="ru-RU"/>
        </w:rPr>
        <w:t>обеспечения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Pr="00A12113">
        <w:rPr>
          <w:rFonts w:cs="Times New Roman"/>
          <w:b/>
          <w:szCs w:val="24"/>
          <w:lang w:val="ru-RU"/>
        </w:rPr>
        <w:t>технологического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Pr="00A12113">
        <w:rPr>
          <w:rFonts w:cs="Times New Roman"/>
          <w:b/>
          <w:szCs w:val="24"/>
          <w:lang w:val="ru-RU"/>
        </w:rPr>
        <w:t>суверенитета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</w:p>
    <w:p w:rsidR="002C07C2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Современная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модель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базируется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переходе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ресурсно-сырьевой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парадигмы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экономике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знаний</w:t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акцент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делается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генерации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трансформации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продукты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Основные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элементы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концепции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генераци</w:t>
      </w:r>
      <w:r w:rsidR="00A1211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новых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знаний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фундаментальные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прикладные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</w:t>
      </w:r>
      <w:r w:rsidR="001858AE" w:rsidRPr="00D32CC3">
        <w:rPr>
          <w:rFonts w:cs="Times New Roman"/>
          <w:szCs w:val="24"/>
          <w:lang w:val="ru-RU"/>
        </w:rPr>
        <w:t>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трансфер</w:t>
      </w:r>
      <w:r w:rsidR="001858AE" w:rsidRPr="00D32CC3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сектора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реальный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сектор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экономики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bCs/>
          <w:szCs w:val="24"/>
          <w:lang w:val="ru-RU"/>
        </w:rPr>
        <w:t>нтенсификаци</w:t>
      </w:r>
      <w:r w:rsidR="001858AE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производственных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процессов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основе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автоматизации,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роботизации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искусственного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интеллекта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производственн</w:t>
      </w:r>
      <w:r w:rsidR="001858AE" w:rsidRPr="00D32CC3">
        <w:rPr>
          <w:rFonts w:cs="Times New Roman"/>
          <w:bCs/>
          <w:szCs w:val="24"/>
          <w:lang w:val="ru-RU"/>
        </w:rPr>
        <w:t>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независимост</w:t>
      </w:r>
      <w:r w:rsidR="001858AE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858AE" w:rsidRPr="00D32CC3">
        <w:rPr>
          <w:rFonts w:cs="Times New Roman"/>
          <w:bCs/>
          <w:szCs w:val="24"/>
          <w:lang w:val="ru-RU"/>
        </w:rPr>
        <w:t>путем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</w:t>
      </w:r>
      <w:r w:rsidR="001858AE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удержани</w:t>
      </w:r>
      <w:r w:rsidR="001858AE" w:rsidRPr="00D32CC3">
        <w:rPr>
          <w:rFonts w:cs="Times New Roman"/>
          <w:szCs w:val="24"/>
          <w:lang w:val="ru-RU"/>
        </w:rPr>
        <w:t>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цикла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внутри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исключающего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критическую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импортных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компонентов</w:t>
      </w:r>
      <w:r w:rsidR="001A6D23" w:rsidRPr="00D32CC3">
        <w:rPr>
          <w:rStyle w:val="affc"/>
          <w:rFonts w:cs="Times New Roman"/>
          <w:szCs w:val="24"/>
          <w:lang w:val="ru-RU"/>
        </w:rPr>
        <w:footnoteReference w:id="7"/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Концептуальная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схема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движения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технологическому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суверенитету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представлена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рис</w:t>
      </w:r>
      <w:r w:rsidR="00A1211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3.</w:t>
      </w:r>
    </w:p>
    <w:p w:rsidR="002C07C2" w:rsidRPr="00A12113" w:rsidRDefault="00DD44DA" w:rsidP="00A12113">
      <w:pPr>
        <w:spacing w:after="120" w:line="240" w:lineRule="auto"/>
        <w:ind w:firstLine="0"/>
        <w:jc w:val="center"/>
        <w:rPr>
          <w:rFonts w:cs="Times New Roman"/>
          <w:b/>
          <w:szCs w:val="24"/>
          <w:lang w:val="ru-RU"/>
        </w:rPr>
      </w:pPr>
      <w:r w:rsidRPr="00D32CC3">
        <w:rPr>
          <w:rFonts w:cs="Times New Roman"/>
          <w:szCs w:val="24"/>
        </w:rPr>
        <w:object w:dxaOrig="9155" w:dyaOrig="4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196.5pt" o:ole="">
            <v:imagedata r:id="rId10" o:title=""/>
          </v:shape>
          <o:OLEObject Type="Embed" ProgID="Visio.Drawing.11" ShapeID="_x0000_i1025" DrawAspect="Content" ObjectID="_1821861783" r:id="rId11"/>
        </w:object>
      </w:r>
      <w:r w:rsidR="002C07C2" w:rsidRPr="00A12113">
        <w:rPr>
          <w:rFonts w:cs="Times New Roman"/>
          <w:b/>
          <w:szCs w:val="24"/>
          <w:lang w:val="ru-RU"/>
        </w:rPr>
        <w:t>Рисунок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3.</w:t>
      </w:r>
      <w:r w:rsidR="00A12113">
        <w:rPr>
          <w:rFonts w:cs="Times New Roman"/>
          <w:b/>
          <w:szCs w:val="24"/>
          <w:lang w:val="ru-RU"/>
        </w:rPr>
        <w:br/>
      </w:r>
      <w:r w:rsidR="002C07C2" w:rsidRPr="00A12113">
        <w:rPr>
          <w:rFonts w:cs="Times New Roman"/>
          <w:b/>
          <w:szCs w:val="24"/>
          <w:lang w:val="ru-RU"/>
        </w:rPr>
        <w:t>Концептуальная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схема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движения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к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технологическому</w:t>
      </w:r>
      <w:r w:rsidR="00D32CC3" w:rsidRPr="00A12113">
        <w:rPr>
          <w:rFonts w:cs="Times New Roman"/>
          <w:b/>
          <w:szCs w:val="24"/>
          <w:lang w:val="ru-RU"/>
        </w:rPr>
        <w:t xml:space="preserve"> </w:t>
      </w:r>
      <w:r w:rsidR="002C07C2" w:rsidRPr="00A12113">
        <w:rPr>
          <w:rFonts w:cs="Times New Roman"/>
          <w:b/>
          <w:szCs w:val="24"/>
          <w:lang w:val="ru-RU"/>
        </w:rPr>
        <w:t>суверенитету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Достижение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независимости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требует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одновременного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инженерного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потенциала,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также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инфраструктуры.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чёткое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определение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которые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станут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драйверами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относятся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микро-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наноэлектроника,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квантовые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фотоника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искусственный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интеллект,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данные,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суперкомпьютеры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биотехнологии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биоинженерия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материалы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аддитивные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(водородная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ВИЭ,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накопители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энергии)</w:t>
      </w:r>
      <w:r w:rsidR="001858AE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передовые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транспортные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космические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(см.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A12113">
        <w:rPr>
          <w:rFonts w:cs="Times New Roman"/>
          <w:szCs w:val="24"/>
          <w:lang w:val="ru-RU"/>
        </w:rPr>
        <w:t>т</w:t>
      </w:r>
      <w:r w:rsidR="001858AE" w:rsidRPr="00D32CC3">
        <w:rPr>
          <w:rFonts w:cs="Times New Roman"/>
          <w:szCs w:val="24"/>
          <w:lang w:val="ru-RU"/>
        </w:rPr>
        <w:t>абл</w:t>
      </w:r>
      <w:r w:rsidR="00A1211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2).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Государство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должно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концентрировать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ресурсы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меры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поддержки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именно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зонах,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обеспечивая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только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последующую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коммерциализацию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полученных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результатов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НИОКР.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Ключевым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эффективная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инновационная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инфраструктура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включающая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особые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экономические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зоны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(ОЭЗ)</w:t>
      </w:r>
      <w:r w:rsidR="001858AE"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858AE" w:rsidRPr="00D32CC3">
        <w:rPr>
          <w:rFonts w:cs="Times New Roman"/>
          <w:bCs/>
          <w:szCs w:val="24"/>
          <w:lang w:val="ru-RU"/>
        </w:rPr>
        <w:t>которые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предоставляют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налоговые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административные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льготы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компаниям,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внедряющим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технопарки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обеспечивают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площадки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сервисы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стартапов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НИОКР-центров,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способствуют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коммерциализации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инновационные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кластеры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индустриальные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парки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объединяют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предприятия,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ускоренного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результатов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исследований;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инжиниринговые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центры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центры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коллективного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пользования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оборудованием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быстрого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прототипирования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тестирования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(</w:t>
      </w:r>
      <w:r w:rsidR="00A12113">
        <w:rPr>
          <w:rFonts w:cs="Times New Roman"/>
          <w:szCs w:val="24"/>
          <w:lang w:val="ru-RU"/>
        </w:rPr>
        <w:t>т</w:t>
      </w:r>
      <w:r w:rsidR="001858AE" w:rsidRPr="00D32CC3">
        <w:rPr>
          <w:rFonts w:cs="Times New Roman"/>
          <w:szCs w:val="24"/>
          <w:lang w:val="ru-RU"/>
        </w:rPr>
        <w:t>абл</w:t>
      </w:r>
      <w:r w:rsidR="00A1211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1858AE" w:rsidRPr="00D32CC3">
        <w:rPr>
          <w:rFonts w:cs="Times New Roman"/>
          <w:szCs w:val="24"/>
          <w:lang w:val="ru-RU"/>
        </w:rPr>
        <w:t>3)</w:t>
      </w:r>
      <w:r w:rsidRPr="00D32CC3">
        <w:rPr>
          <w:rFonts w:cs="Times New Roman"/>
          <w:szCs w:val="24"/>
          <w:lang w:val="ru-RU"/>
        </w:rPr>
        <w:t>.</w:t>
      </w:r>
    </w:p>
    <w:p w:rsidR="00A12113" w:rsidRDefault="001858AE" w:rsidP="00A12113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</w:t>
      </w:r>
      <w:r w:rsidR="00426C80" w:rsidRPr="00D32CC3">
        <w:rPr>
          <w:rFonts w:cs="Times New Roman"/>
          <w:szCs w:val="24"/>
          <w:lang w:val="ru-RU"/>
        </w:rPr>
        <w:t>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3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Элементы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роль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3392"/>
        <w:gridCol w:w="3428"/>
      </w:tblGrid>
      <w:tr w:rsidR="00426C80" w:rsidRPr="001C559F" w:rsidTr="002C07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инфраструктуры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суверенитета</w:t>
            </w:r>
          </w:p>
        </w:tc>
      </w:tr>
      <w:tr w:rsidR="00426C80" w:rsidRPr="001C559F" w:rsidTr="002C0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(ОЭЗ)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таможенные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инвесторов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высокотехнологичных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компаний</w:t>
            </w:r>
          </w:p>
        </w:tc>
      </w:tr>
      <w:tr w:rsidR="00426C80" w:rsidRPr="001C559F" w:rsidTr="002C0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Технопарки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стартапов,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лабораториям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Ускоренная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коммерциализация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</w:p>
        </w:tc>
      </w:tr>
      <w:tr w:rsidR="00426C80" w:rsidRPr="001C559F" w:rsidTr="002C0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кластеры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Кооперация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цепочек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добавленной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стоимости</w:t>
            </w:r>
          </w:p>
        </w:tc>
      </w:tr>
      <w:tr w:rsidR="00426C80" w:rsidRPr="001C559F" w:rsidTr="002C0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коллективного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пользования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оборудованию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инжиниринговым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услугам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НИОКР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прототипирования</w:t>
            </w:r>
          </w:p>
        </w:tc>
      </w:tr>
      <w:tr w:rsidR="00426C80" w:rsidRPr="001C559F" w:rsidTr="002C07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Инжиниринговые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vAlign w:val="center"/>
            <w:hideMark/>
          </w:tcPr>
          <w:p w:rsidR="00426C80" w:rsidRPr="001C559F" w:rsidRDefault="00426C80" w:rsidP="00A121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технологической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</w:p>
        </w:tc>
      </w:tr>
    </w:tbl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Эти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формируют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замкнутые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экосистемы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инновационного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где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создаются,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тестируются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внедряются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позволяет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внешних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рынков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поставщиков.</w:t>
      </w:r>
    </w:p>
    <w:p w:rsidR="004829BF" w:rsidRPr="00D32CC3" w:rsidRDefault="001858AE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BB42D3">
        <w:rPr>
          <w:rFonts w:cs="Times New Roman"/>
          <w:szCs w:val="24"/>
          <w:lang w:val="ru-RU"/>
        </w:rPr>
        <w:t>Особую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роль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среди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механизмов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обеспечения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технологического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суверенитета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играют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э</w:t>
      </w:r>
      <w:r w:rsidR="00426C80" w:rsidRPr="00BB42D3">
        <w:rPr>
          <w:rFonts w:cs="Times New Roman"/>
          <w:szCs w:val="24"/>
          <w:lang w:val="ru-RU"/>
        </w:rPr>
        <w:t>кономические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и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институциональные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механизмы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стимулирования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инноваций</w:t>
      </w:r>
      <w:r w:rsidRPr="00BB42D3">
        <w:rPr>
          <w:rFonts w:cs="Times New Roman"/>
          <w:szCs w:val="24"/>
          <w:lang w:val="ru-RU"/>
        </w:rPr>
        <w:t>.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Для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движения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к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технологическому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суверенитету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требуется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комплексная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система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мер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государственной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szCs w:val="24"/>
          <w:lang w:val="ru-RU"/>
        </w:rPr>
        <w:t>поддержки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в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Pr="00BB42D3">
        <w:rPr>
          <w:rFonts w:cs="Times New Roman"/>
          <w:szCs w:val="24"/>
          <w:lang w:val="ru-RU"/>
        </w:rPr>
        <w:t>виде</w:t>
      </w:r>
      <w:r w:rsidR="00D32CC3" w:rsidRPr="00BB42D3">
        <w:rPr>
          <w:rFonts w:cs="Times New Roman"/>
          <w:szCs w:val="24"/>
          <w:lang w:val="ru-RU"/>
        </w:rPr>
        <w:t xml:space="preserve"> </w:t>
      </w:r>
      <w:r w:rsidR="00426C80" w:rsidRPr="00BB42D3">
        <w:rPr>
          <w:rFonts w:cs="Times New Roman"/>
          <w:bCs/>
          <w:szCs w:val="24"/>
          <w:lang w:val="ru-RU"/>
        </w:rPr>
        <w:t>финансовы</w:t>
      </w:r>
      <w:r w:rsidRPr="00BB42D3">
        <w:rPr>
          <w:rFonts w:cs="Times New Roman"/>
          <w:bCs/>
          <w:szCs w:val="24"/>
          <w:lang w:val="ru-RU"/>
        </w:rPr>
        <w:t>х</w:t>
      </w:r>
      <w:r w:rsidR="00D32CC3" w:rsidRPr="00BB42D3">
        <w:rPr>
          <w:rFonts w:cs="Times New Roman"/>
          <w:bCs/>
          <w:szCs w:val="24"/>
          <w:lang w:val="ru-RU"/>
        </w:rPr>
        <w:t xml:space="preserve"> </w:t>
      </w:r>
      <w:r w:rsidR="00426C80" w:rsidRPr="00BB42D3">
        <w:rPr>
          <w:rFonts w:cs="Times New Roman"/>
          <w:bCs/>
          <w:szCs w:val="24"/>
          <w:lang w:val="ru-RU"/>
        </w:rPr>
        <w:t>инструмент</w:t>
      </w:r>
      <w:r w:rsidRPr="00BB42D3">
        <w:rPr>
          <w:rFonts w:cs="Times New Roman"/>
          <w:bCs/>
          <w:szCs w:val="24"/>
          <w:lang w:val="ru-RU"/>
        </w:rPr>
        <w:t>ов,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которые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представляют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собой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гранты,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субсидии,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льготные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кредиты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стартапов,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налоговые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льготы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инновационную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деятельность</w:t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Особую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роль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играет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венчурное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частное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инвестирование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институтов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венчурного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капитала,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совместных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инвестиционных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фондов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участии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государства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бизнеса</w:t>
      </w:r>
      <w:r w:rsidR="004829BF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П</w:t>
      </w:r>
      <w:r w:rsidR="004829BF" w:rsidRPr="00D32CC3">
        <w:rPr>
          <w:rFonts w:cs="Times New Roman"/>
          <w:bCs/>
          <w:szCs w:val="24"/>
          <w:lang w:val="ru-RU"/>
        </w:rPr>
        <w:t>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829BF" w:rsidRPr="00D32CC3">
        <w:rPr>
          <w:rFonts w:cs="Times New Roman"/>
          <w:bCs/>
          <w:szCs w:val="24"/>
          <w:lang w:val="ru-RU"/>
        </w:rPr>
        <w:t>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829BF" w:rsidRPr="00D32CC3">
        <w:rPr>
          <w:rFonts w:cs="Times New Roman"/>
          <w:bCs/>
          <w:szCs w:val="24"/>
          <w:lang w:val="ru-RU"/>
        </w:rPr>
        <w:t>трансфера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829BF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829BF" w:rsidRPr="00D32CC3">
        <w:rPr>
          <w:rFonts w:cs="Times New Roman"/>
          <w:bCs/>
          <w:szCs w:val="24"/>
          <w:lang w:val="ru-RU"/>
        </w:rPr>
        <w:t>импортозамещения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способствуют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созданию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условий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локализации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критических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производства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компонентов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странах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ЕАЭС.</w:t>
      </w:r>
    </w:p>
    <w:p w:rsidR="00EC0AFD" w:rsidRPr="00D32CC3" w:rsidRDefault="001858AE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Отдельное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внимание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уделить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механизм</w:t>
      </w:r>
      <w:r w:rsidRPr="00D32CC3">
        <w:rPr>
          <w:rFonts w:cs="Times New Roman"/>
          <w:bCs/>
          <w:szCs w:val="24"/>
          <w:lang w:val="ru-RU"/>
        </w:rPr>
        <w:t>ам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государственно-частного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партнёрства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26C80" w:rsidRPr="00D32CC3">
        <w:rPr>
          <w:rFonts w:cs="Times New Roman"/>
          <w:bCs/>
          <w:szCs w:val="24"/>
          <w:lang w:val="ru-RU"/>
        </w:rPr>
        <w:t>(ГЧП)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создания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научно-производственных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комплексов</w:t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Государственно-частное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партнёрство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(ГЧП)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форма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институционального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взаимодействия,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которой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бизнес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объединяют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ресурсы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компетенции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создания,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эксплуатации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проектов,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имеющих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стратегическое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значение.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ГЧП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становится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важнейшим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инструментом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НИОКР,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коммерциализации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разработок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формирования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цепочек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полного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цикла.</w:t>
      </w:r>
    </w:p>
    <w:p w:rsidR="00EC0AFD" w:rsidRPr="00D32CC3" w:rsidRDefault="00D32CC3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Цели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задачи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ГЧП</w:t>
      </w:r>
      <w:r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заключаются</w:t>
      </w:r>
      <w:r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создани</w:t>
      </w:r>
      <w:r w:rsidR="004829BF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</w:t>
      </w:r>
      <w:r w:rsidR="004829BF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научно-производственных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комплексов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(НПК)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индустриальных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технологических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центров</w:t>
      </w:r>
      <w:r w:rsidR="004829BF" w:rsidRPr="00D32CC3">
        <w:rPr>
          <w:rFonts w:cs="Times New Roman"/>
          <w:szCs w:val="24"/>
          <w:lang w:val="ru-RU"/>
        </w:rPr>
        <w:t>,</w:t>
      </w:r>
      <w:r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 xml:space="preserve">в </w:t>
      </w:r>
      <w:r w:rsidR="00EC0AFD" w:rsidRPr="00D32CC3">
        <w:rPr>
          <w:rFonts w:cs="Times New Roman"/>
          <w:bCs/>
          <w:szCs w:val="24"/>
          <w:lang w:val="ru-RU"/>
        </w:rPr>
        <w:t>интеграци</w:t>
      </w:r>
      <w:r w:rsidR="004829BF" w:rsidRPr="00D32CC3">
        <w:rPr>
          <w:rFonts w:cs="Times New Roman"/>
          <w:bCs/>
          <w:szCs w:val="24"/>
          <w:lang w:val="ru-RU"/>
        </w:rPr>
        <w:t>и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науки,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образования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бизнеса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рамках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единой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технологической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цепочки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(от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исследований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до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серийного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производства);</w:t>
      </w:r>
      <w:r w:rsidR="00EC0AFD" w:rsidRPr="00D32CC3">
        <w:rPr>
          <w:rFonts w:cs="Times New Roman"/>
          <w:bCs/>
          <w:szCs w:val="24"/>
          <w:lang w:val="ru-RU"/>
        </w:rPr>
        <w:t>снижени</w:t>
      </w:r>
      <w:r w:rsidR="004829BF" w:rsidRPr="00D32CC3">
        <w:rPr>
          <w:rFonts w:cs="Times New Roman"/>
          <w:bCs/>
          <w:szCs w:val="24"/>
          <w:lang w:val="ru-RU"/>
        </w:rPr>
        <w:t>и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инвестиционных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рисков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бизнеса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внедрении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новых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технологий</w:t>
      </w:r>
      <w:r w:rsidR="004829BF" w:rsidRPr="00D32CC3">
        <w:rPr>
          <w:rFonts w:cs="Times New Roman"/>
          <w:szCs w:val="24"/>
          <w:lang w:val="ru-RU"/>
        </w:rPr>
        <w:t>,</w:t>
      </w:r>
      <w:r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а</w:t>
      </w:r>
      <w:r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также</w:t>
      </w:r>
      <w:r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ускорени</w:t>
      </w:r>
      <w:r w:rsidR="004829BF" w:rsidRPr="00D32CC3">
        <w:rPr>
          <w:rFonts w:cs="Times New Roman"/>
          <w:bCs/>
          <w:szCs w:val="24"/>
          <w:lang w:val="ru-RU"/>
        </w:rPr>
        <w:t>и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технологического</w:t>
      </w:r>
      <w:r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трансфера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внедрения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инноваций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промышленность.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Основн</w:t>
      </w:r>
      <w:r w:rsidR="00BB42D3">
        <w:rPr>
          <w:rFonts w:cs="Times New Roman"/>
          <w:szCs w:val="24"/>
          <w:lang w:val="ru-RU"/>
        </w:rPr>
        <w:t>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</w:t>
      </w:r>
      <w:r w:rsidR="00BB42D3">
        <w:rPr>
          <w:rFonts w:cs="Times New Roman"/>
          <w:szCs w:val="24"/>
          <w:lang w:val="ru-RU"/>
        </w:rPr>
        <w:t>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ГЧП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>являются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совместны</w:t>
      </w:r>
      <w:r w:rsidR="00BB42D3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предприяти</w:t>
      </w:r>
      <w:r w:rsidR="00BB42D3">
        <w:rPr>
          <w:rFonts w:cs="Times New Roman"/>
          <w:bCs/>
          <w:szCs w:val="24"/>
          <w:lang w:val="ru-RU"/>
        </w:rPr>
        <w:t>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(СП)</w:t>
      </w:r>
      <w:r w:rsidR="00BB42D3">
        <w:rPr>
          <w:rFonts w:cs="Times New Roman"/>
          <w:bCs/>
          <w:szCs w:val="24"/>
          <w:lang w:val="ru-RU"/>
        </w:rPr>
        <w:t>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предоставляет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имущественный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вклад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(земля,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здания,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оборудование,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патенты),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финансовые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ресурсы,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управленческие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компетенции,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маркетинг.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Наиболее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распространены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к</w:t>
      </w:r>
      <w:r w:rsidRPr="00D32CC3">
        <w:rPr>
          <w:rFonts w:cs="Times New Roman"/>
          <w:bCs/>
          <w:szCs w:val="24"/>
          <w:lang w:val="ru-RU"/>
        </w:rPr>
        <w:t>онцессионные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соглашения</w:t>
      </w:r>
      <w:r w:rsidR="004829BF"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4829BF" w:rsidRPr="00D32CC3">
        <w:rPr>
          <w:rFonts w:cs="Times New Roman"/>
          <w:bCs/>
          <w:szCs w:val="24"/>
          <w:lang w:val="ru-RU"/>
        </w:rPr>
        <w:t>когда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создаёт/реконструирует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научно-производственную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инфраструктуру,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предоставляет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право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владения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использования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определённый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срок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возвратом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госсобственность.</w:t>
      </w:r>
    </w:p>
    <w:p w:rsidR="00EC0AFD" w:rsidRPr="00D32CC3" w:rsidRDefault="004829BF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Перспективными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являются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</w:t>
      </w:r>
      <w:r w:rsidR="00EC0AFD" w:rsidRPr="00D32CC3">
        <w:rPr>
          <w:rFonts w:cs="Times New Roman"/>
          <w:bCs/>
          <w:szCs w:val="24"/>
          <w:lang w:val="ru-RU"/>
        </w:rPr>
        <w:t>роекты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жизненного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цикла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(life-cycle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contracts)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когда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частный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партнёр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проектирует,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строит,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оснащает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управляет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объектом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НПК,</w:t>
      </w:r>
      <w:r w:rsidR="00BB42D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платит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поэтапно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за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готовую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инфраструктуру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результаты.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</w:t>
      </w:r>
      <w:r w:rsidR="00BB42D3">
        <w:rPr>
          <w:rFonts w:cs="Times New Roman"/>
          <w:szCs w:val="24"/>
          <w:lang w:val="ru-RU"/>
        </w:rPr>
        <w:t>е</w:t>
      </w:r>
      <w:r w:rsidRPr="00D32CC3">
        <w:rPr>
          <w:rFonts w:cs="Times New Roman"/>
          <w:szCs w:val="24"/>
          <w:lang w:val="ru-RU"/>
        </w:rPr>
        <w:t>лесообразно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EC0AFD" w:rsidRPr="00D32CC3">
        <w:rPr>
          <w:rFonts w:cs="Times New Roman"/>
          <w:bCs/>
          <w:szCs w:val="24"/>
          <w:lang w:val="ru-RU"/>
        </w:rPr>
        <w:t>ндустриальны</w:t>
      </w:r>
      <w:r w:rsidRPr="00D32CC3">
        <w:rPr>
          <w:rFonts w:cs="Times New Roman"/>
          <w:bCs/>
          <w:szCs w:val="24"/>
          <w:lang w:val="ru-RU"/>
        </w:rPr>
        <w:t>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технологически</w:t>
      </w:r>
      <w:r w:rsidRPr="00D32CC3">
        <w:rPr>
          <w:rFonts w:cs="Times New Roman"/>
          <w:bCs/>
          <w:szCs w:val="24"/>
          <w:lang w:val="ru-RU"/>
        </w:rPr>
        <w:t>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кластер</w:t>
      </w:r>
      <w:r w:rsidRPr="00D32CC3">
        <w:rPr>
          <w:rFonts w:cs="Times New Roman"/>
          <w:bCs/>
          <w:szCs w:val="24"/>
          <w:lang w:val="ru-RU"/>
        </w:rPr>
        <w:t>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участием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государства</w:t>
      </w:r>
      <w:r w:rsidR="00BB42D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объединение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предприятий,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вузов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под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управлением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управляющей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компании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госфинансированием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налоговыми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льготами.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Интересной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государственно-частного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партнерства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</w:t>
      </w:r>
      <w:r w:rsidR="00EC0AFD" w:rsidRPr="00D32CC3">
        <w:rPr>
          <w:rFonts w:cs="Times New Roman"/>
          <w:bCs/>
          <w:szCs w:val="24"/>
          <w:lang w:val="ru-RU"/>
        </w:rPr>
        <w:t>аучно-образовательно-производственные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консорциумы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(НОПК)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которые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создаются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участии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университетов,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отраслевых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частных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корпораций,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они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совместно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управляют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НИОКР,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коммерциализацией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подготовкой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кадров.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Инструмент</w:t>
      </w:r>
      <w:r w:rsidR="00BB42D3">
        <w:rPr>
          <w:rFonts w:cs="Times New Roman"/>
          <w:szCs w:val="24"/>
          <w:lang w:val="ru-RU"/>
        </w:rPr>
        <w:t>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государственной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поддержки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ГЧП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я</w:t>
      </w:r>
      <w:r w:rsidR="00BB42D3">
        <w:rPr>
          <w:rFonts w:cs="Times New Roman"/>
          <w:szCs w:val="24"/>
          <w:lang w:val="ru-RU"/>
        </w:rPr>
        <w:t>в</w:t>
      </w:r>
      <w:r w:rsidR="004829BF" w:rsidRPr="00D32CC3">
        <w:rPr>
          <w:rFonts w:cs="Times New Roman"/>
          <w:szCs w:val="24"/>
          <w:lang w:val="ru-RU"/>
        </w:rPr>
        <w:t>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предоставление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софинансирования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из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федерального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региональных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бюджетов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НПК;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налоговые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льготы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участников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проектов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(льготы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прибыли,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имуществу,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страховым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взносам);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субсидирование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процентных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ставок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гарантийные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инструменты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привлечения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банковского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венчурного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капитала;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предоставление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земли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имущества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безвозмездное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пользование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льготной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аренде;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инфраструктурные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бюджетные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кредиты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инвестиционные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квоты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ВЭБ.РФ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Минпромторг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РФ).</w:t>
      </w:r>
    </w:p>
    <w:p w:rsidR="00EC0AFD" w:rsidRPr="00D32CC3" w:rsidRDefault="004829BF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качестве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примера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можно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привести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</w:t>
      </w:r>
      <w:r w:rsidR="00EC0AFD" w:rsidRPr="00D32CC3">
        <w:rPr>
          <w:rFonts w:cs="Times New Roman"/>
          <w:bCs/>
          <w:szCs w:val="24"/>
          <w:lang w:val="ru-RU"/>
        </w:rPr>
        <w:t>ехнополис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«Москва»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кластер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участием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частных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высокотехнологичных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компаний,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который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специализ</w:t>
      </w:r>
      <w:r w:rsidRPr="00D32CC3">
        <w:rPr>
          <w:rFonts w:cs="Times New Roman"/>
          <w:szCs w:val="24"/>
          <w:lang w:val="ru-RU"/>
        </w:rPr>
        <w:t>ируется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микроэлектроник</w:t>
      </w:r>
      <w:r w:rsidRPr="00D32CC3">
        <w:rPr>
          <w:rFonts w:cs="Times New Roman"/>
          <w:szCs w:val="24"/>
          <w:lang w:val="ru-RU"/>
        </w:rPr>
        <w:t>и</w:t>
      </w:r>
      <w:r w:rsidR="00EC0AFD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медтехник</w:t>
      </w:r>
      <w:r w:rsidRPr="00D32CC3">
        <w:rPr>
          <w:rFonts w:cs="Times New Roman"/>
          <w:szCs w:val="24"/>
          <w:lang w:val="ru-RU"/>
        </w:rPr>
        <w:t>и</w:t>
      </w:r>
      <w:r w:rsidR="00EC0AFD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Республике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Татарстан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создан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Иннополис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особая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экономическая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зона,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созданная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принципах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ГЧП,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объединяющая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вузы,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IT-компании.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Широкое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распространение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получили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>н</w:t>
      </w:r>
      <w:r w:rsidR="00EC0AFD" w:rsidRPr="00D32CC3">
        <w:rPr>
          <w:rFonts w:cs="Times New Roman"/>
          <w:bCs/>
          <w:szCs w:val="24"/>
          <w:lang w:val="ru-RU"/>
        </w:rPr>
        <w:t>аучно-образовательно-производственные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центры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рамках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«Приоритет-2030»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которых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осуществляется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совместное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управление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университетами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корпорациями.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Ожидаемые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эффекты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применения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ГЧП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ускоренно</w:t>
      </w:r>
      <w:r w:rsidR="004829BF" w:rsidRPr="00D32CC3">
        <w:rPr>
          <w:rFonts w:cs="Times New Roman"/>
          <w:szCs w:val="24"/>
          <w:lang w:val="ru-RU"/>
        </w:rPr>
        <w:t>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НПК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снижени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финансовой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нагрузки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бюджет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одновременном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инвестиций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бизнеса;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 xml:space="preserve">в </w:t>
      </w:r>
      <w:r w:rsidRPr="00D32CC3">
        <w:rPr>
          <w:rFonts w:cs="Times New Roman"/>
          <w:szCs w:val="24"/>
          <w:lang w:val="ru-RU"/>
        </w:rPr>
        <w:t>повышени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эффективности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использования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устойчивых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цепочек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внутри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 xml:space="preserve">в </w:t>
      </w:r>
      <w:r w:rsidRPr="00D32CC3">
        <w:rPr>
          <w:rFonts w:cs="Times New Roman"/>
          <w:szCs w:val="24"/>
          <w:lang w:val="ru-RU"/>
        </w:rPr>
        <w:t>рост</w:t>
      </w:r>
      <w:r w:rsidR="004829BF" w:rsidRPr="00D32CC3">
        <w:rPr>
          <w:rFonts w:cs="Times New Roman"/>
          <w:szCs w:val="24"/>
          <w:lang w:val="ru-RU"/>
        </w:rPr>
        <w:t>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экспорта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наукоёмкой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продукции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повышени</w:t>
      </w:r>
      <w:r w:rsidR="00BB42D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глобальной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конкурентоспособности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РФ.</w:t>
      </w:r>
    </w:p>
    <w:p w:rsidR="00EC0AFD" w:rsidRPr="00D32CC3" w:rsidRDefault="004829BF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Таким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ГЧП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ключев</w:t>
      </w:r>
      <w:r w:rsidRPr="00D32CC3">
        <w:rPr>
          <w:rFonts w:cs="Times New Roman"/>
          <w:szCs w:val="24"/>
          <w:lang w:val="ru-RU"/>
        </w:rPr>
        <w:t>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механизм</w:t>
      </w:r>
      <w:r w:rsidRPr="00D32CC3">
        <w:rPr>
          <w:rFonts w:cs="Times New Roman"/>
          <w:szCs w:val="24"/>
          <w:lang w:val="ru-RU"/>
        </w:rPr>
        <w:t>ом</w:t>
      </w:r>
      <w:r w:rsidR="00EC0AFD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который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позволяет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объединить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усилия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государства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бизнеса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масштабного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развертывания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научно-производственных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комплексов</w:t>
      </w:r>
      <w:r w:rsidR="00EC0AFD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создающих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основу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суверенитета.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таких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проектов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требует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чёткой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нормативной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базы,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координации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федеральном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региональном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уровне,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также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долгосрочных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обязательств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C0AFD" w:rsidRPr="00D32CC3">
        <w:rPr>
          <w:rFonts w:cs="Times New Roman"/>
          <w:szCs w:val="24"/>
          <w:lang w:val="ru-RU"/>
        </w:rPr>
        <w:t>сторон.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Ни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одна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может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функционировать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Основные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м</w:t>
      </w:r>
      <w:r w:rsidRPr="00D32CC3">
        <w:rPr>
          <w:rFonts w:cs="Times New Roman"/>
          <w:szCs w:val="24"/>
          <w:lang w:val="ru-RU"/>
        </w:rPr>
        <w:t>еры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национальной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непрерывного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(школа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аспирантура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НИОКР);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 xml:space="preserve">в </w:t>
      </w:r>
      <w:r w:rsidRPr="00D32CC3">
        <w:rPr>
          <w:rFonts w:cs="Times New Roman"/>
          <w:szCs w:val="24"/>
          <w:lang w:val="ru-RU"/>
        </w:rPr>
        <w:t>поддерж</w:t>
      </w:r>
      <w:r w:rsidR="004829BF" w:rsidRPr="00D32CC3">
        <w:rPr>
          <w:rFonts w:cs="Times New Roman"/>
          <w:szCs w:val="24"/>
          <w:lang w:val="ru-RU"/>
        </w:rPr>
        <w:t>к</w:t>
      </w:r>
      <w:r w:rsidR="00BB42D3">
        <w:rPr>
          <w:rFonts w:cs="Times New Roman"/>
          <w:szCs w:val="24"/>
          <w:lang w:val="ru-RU"/>
        </w:rPr>
        <w:t>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инженерных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школ;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интеграци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предприятий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через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дуальные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целевую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подготовку;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B42D3">
        <w:rPr>
          <w:rFonts w:cs="Times New Roman"/>
          <w:szCs w:val="24"/>
          <w:lang w:val="ru-RU"/>
        </w:rPr>
        <w:t xml:space="preserve">в </w:t>
      </w:r>
      <w:r w:rsidRPr="00D32CC3">
        <w:rPr>
          <w:rFonts w:cs="Times New Roman"/>
          <w:szCs w:val="24"/>
          <w:lang w:val="ru-RU"/>
        </w:rPr>
        <w:t>привлечени</w:t>
      </w:r>
      <w:r w:rsidR="004829BF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молодых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учёных,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стимулировани</w:t>
      </w:r>
      <w:r w:rsidR="00BB42D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возвращения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из-за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рубежа.</w:t>
      </w:r>
    </w:p>
    <w:p w:rsidR="00426C80" w:rsidRPr="00D32CC3" w:rsidRDefault="0026485E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Основные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практические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рекомендации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увеличении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расходов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2,5%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ВВП,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венчурной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межотраслевы</w:t>
      </w:r>
      <w:r w:rsidR="00BB42D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консорциум</w:t>
      </w:r>
      <w:r w:rsidR="00BB42D3">
        <w:rPr>
          <w:rFonts w:cs="Times New Roman"/>
          <w:szCs w:val="24"/>
          <w:lang w:val="ru-RU"/>
        </w:rPr>
        <w:t>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коммерциализации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Реализация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описанных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механизмов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позволит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создать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национальные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технологические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цепочки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полного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цик</w:t>
      </w:r>
      <w:r w:rsidR="004829BF" w:rsidRPr="00D32CC3">
        <w:rPr>
          <w:rFonts w:cs="Times New Roman"/>
          <w:szCs w:val="24"/>
          <w:lang w:val="ru-RU"/>
        </w:rPr>
        <w:t>ла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критически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важных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829BF" w:rsidRPr="00D32CC3">
        <w:rPr>
          <w:rFonts w:cs="Times New Roman"/>
          <w:szCs w:val="24"/>
          <w:lang w:val="ru-RU"/>
        </w:rPr>
        <w:t>отраслях,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снизить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импорта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комплектующих</w:t>
      </w:r>
      <w:r w:rsidR="004829BF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увеличить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долю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внутренних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разработок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высокотехнологичном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производстве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70%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2035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г.</w:t>
      </w:r>
      <w:r w:rsidR="004829BF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повысить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экспортный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потенциал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инвестиционную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привлекательность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российской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экономики.</w:t>
      </w:r>
    </w:p>
    <w:p w:rsidR="00426C80" w:rsidRPr="00BB42D3" w:rsidRDefault="00094A22" w:rsidP="00BB42D3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BB42D3">
        <w:rPr>
          <w:rFonts w:cs="Times New Roman"/>
          <w:b/>
          <w:szCs w:val="24"/>
          <w:lang w:val="ru-RU"/>
        </w:rPr>
        <w:t>5</w:t>
      </w:r>
      <w:r w:rsidR="00426C80" w:rsidRPr="00BB42D3">
        <w:rPr>
          <w:rFonts w:cs="Times New Roman"/>
          <w:b/>
          <w:szCs w:val="24"/>
          <w:lang w:val="ru-RU"/>
        </w:rPr>
        <w:t>.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Модернизация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образования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и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инновационно-технологическое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развитие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стран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Большой</w:t>
      </w:r>
      <w:r w:rsidR="00D32CC3" w:rsidRPr="00BB42D3">
        <w:rPr>
          <w:rFonts w:cs="Times New Roman"/>
          <w:b/>
          <w:szCs w:val="24"/>
          <w:lang w:val="ru-RU"/>
        </w:rPr>
        <w:t xml:space="preserve"> </w:t>
      </w:r>
      <w:r w:rsidR="00426C80" w:rsidRPr="00BB42D3">
        <w:rPr>
          <w:rFonts w:cs="Times New Roman"/>
          <w:b/>
          <w:szCs w:val="24"/>
          <w:lang w:val="ru-RU"/>
        </w:rPr>
        <w:t>Евразии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Главные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цели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образовательной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политики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стран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Большой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Евразии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подготовка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высокотехнологичных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отраслей,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обеспечение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суверенитета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повышение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конкурентоспособности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национальных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экономик.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Приоритеты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включают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укрепление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фундаментальной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подготовки,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внедрение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практико-ориентированных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проектных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методов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обучения,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также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интернационализацию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образовательных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программ.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Технологическое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лидерство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невозможно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опережающего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поскольку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именно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обеспечивает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формирование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человеческого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капитала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реализации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стратегий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(НТР).</w:t>
      </w:r>
    </w:p>
    <w:p w:rsidR="006F564A" w:rsidRPr="00D32CC3" w:rsidRDefault="00EC0AFD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Стратегии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РФ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подчёркивается,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что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условием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прорыва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наличие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квалифицированных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эффективных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институтов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подготовки</w:t>
      </w:r>
      <w:r w:rsidRPr="00D32CC3">
        <w:rPr>
          <w:rFonts w:cs="Times New Roman"/>
          <w:bCs/>
          <w:szCs w:val="24"/>
          <w:lang w:val="ru-RU"/>
        </w:rPr>
        <w:t>.</w:t>
      </w:r>
      <w:r w:rsidR="00BB42D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достижения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суверенитета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лидерства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образовательная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политика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должна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быть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встроена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планирования</w:t>
      </w:r>
      <w:r w:rsidRPr="00D32CC3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</w:p>
    <w:p w:rsidR="00BF5B57" w:rsidRPr="00D32CC3" w:rsidRDefault="00EC0AFD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Координация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подготовки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прогнозом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трендов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позволяет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снизить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разрыв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между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образованием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экономикой.</w:t>
      </w:r>
      <w:r w:rsidR="00BB42D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Необходима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а</w:t>
      </w:r>
      <w:r w:rsidRPr="00D32CC3">
        <w:rPr>
          <w:rFonts w:cs="Times New Roman"/>
          <w:bCs/>
          <w:szCs w:val="24"/>
          <w:lang w:val="ru-RU"/>
        </w:rPr>
        <w:t>даптация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образовательных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стандартов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новым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технологическим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укладам</w:t>
      </w:r>
      <w:r w:rsidR="00094A22" w:rsidRPr="00D32CC3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Современная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экономика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требует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выпускников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только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знаний,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компетенций</w:t>
      </w:r>
      <w:r w:rsidR="000337C4">
        <w:rPr>
          <w:rFonts w:cs="Times New Roman"/>
          <w:bCs/>
          <w:szCs w:val="24"/>
          <w:lang w:val="ru-RU"/>
        </w:rPr>
        <w:t xml:space="preserve"> 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работ</w:t>
      </w:r>
      <w:r w:rsidR="000337C4">
        <w:rPr>
          <w:rFonts w:cs="Times New Roman"/>
          <w:bCs/>
          <w:szCs w:val="24"/>
          <w:lang w:val="ru-RU"/>
        </w:rPr>
        <w:t>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новыми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технологиями.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Необходимы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обновление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ФГОС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профессиональных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стандартов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Индустрию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4.0;</w:t>
      </w:r>
      <w:r w:rsidR="000337C4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включение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курсов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анализу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данных,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цифровому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инжинирингу,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аддитивным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технологиям;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soft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skills: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критическое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мышление,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коммуникация,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командная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работа.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</w:p>
    <w:p w:rsidR="00094A22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Цифровизация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выявила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цифровое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неравенство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между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регионами,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недостаток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цифровых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компетенций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преподавателей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снижение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уровня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soft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skills.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Необходимы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целевые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цифровой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инфраструктуры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повышению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цифровой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грамотности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педагогов.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Доля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вузов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РФ,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реализующих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программы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цифровым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технологиям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(%)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представлена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рис</w:t>
      </w:r>
      <w:r w:rsidR="000337C4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4</w:t>
      </w:r>
      <w:r w:rsidR="00094A22" w:rsidRPr="00D32CC3">
        <w:rPr>
          <w:rFonts w:cs="Times New Roman"/>
          <w:bCs/>
          <w:szCs w:val="24"/>
          <w:lang w:val="ru-RU"/>
        </w:rPr>
        <w:t>.</w:t>
      </w:r>
    </w:p>
    <w:p w:rsidR="00FC5028" w:rsidRPr="00D32CC3" w:rsidRDefault="004D53B6" w:rsidP="000337C4">
      <w:pPr>
        <w:pStyle w:val="aff8"/>
        <w:spacing w:before="0" w:beforeAutospacing="0" w:after="0" w:afterAutospacing="0" w:line="360" w:lineRule="auto"/>
        <w:jc w:val="center"/>
      </w:pPr>
      <w:r w:rsidRPr="00D32CC3"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0AFD" w:rsidRPr="000337C4" w:rsidRDefault="00EC0AFD" w:rsidP="000337C4">
      <w:pPr>
        <w:spacing w:after="120" w:line="240" w:lineRule="auto"/>
        <w:ind w:firstLine="0"/>
        <w:jc w:val="center"/>
        <w:rPr>
          <w:rFonts w:cs="Times New Roman"/>
          <w:b/>
          <w:bCs/>
          <w:szCs w:val="24"/>
          <w:lang w:val="ru-RU"/>
        </w:rPr>
      </w:pPr>
      <w:r w:rsidRPr="000337C4">
        <w:rPr>
          <w:rFonts w:cs="Times New Roman"/>
          <w:b/>
          <w:bCs/>
          <w:szCs w:val="24"/>
          <w:lang w:val="ru-RU"/>
        </w:rPr>
        <w:t>Рисунок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="006F564A" w:rsidRPr="000337C4">
        <w:rPr>
          <w:rFonts w:cs="Times New Roman"/>
          <w:b/>
          <w:bCs/>
          <w:szCs w:val="24"/>
          <w:lang w:val="ru-RU"/>
        </w:rPr>
        <w:t>4</w:t>
      </w:r>
      <w:r w:rsidRPr="000337C4">
        <w:rPr>
          <w:rFonts w:cs="Times New Roman"/>
          <w:b/>
          <w:bCs/>
          <w:szCs w:val="24"/>
          <w:lang w:val="ru-RU"/>
        </w:rPr>
        <w:t>.</w:t>
      </w:r>
      <w:r w:rsidR="000337C4">
        <w:rPr>
          <w:rFonts w:cs="Times New Roman"/>
          <w:b/>
          <w:bCs/>
          <w:szCs w:val="24"/>
          <w:lang w:val="ru-RU"/>
        </w:rPr>
        <w:br/>
      </w:r>
      <w:r w:rsidRPr="000337C4">
        <w:rPr>
          <w:rFonts w:cs="Times New Roman"/>
          <w:b/>
          <w:bCs/>
          <w:szCs w:val="24"/>
          <w:lang w:val="ru-RU"/>
        </w:rPr>
        <w:t>Доля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вузов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РФ,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реализующих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программы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по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цифровым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технологиям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(%)</w:t>
      </w:r>
      <w:r w:rsidR="004D53B6" w:rsidRPr="000337C4">
        <w:rPr>
          <w:rFonts w:cs="Times New Roman"/>
          <w:b/>
          <w:bCs/>
          <w:szCs w:val="24"/>
          <w:lang w:val="ru-RU"/>
        </w:rPr>
        <w:t>.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Источник: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Минобрнауки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РФ,</w:t>
      </w:r>
      <w:r w:rsidR="00D32CC3" w:rsidRPr="000337C4">
        <w:rPr>
          <w:rFonts w:cs="Times New Roman"/>
          <w:b/>
          <w:bCs/>
          <w:szCs w:val="24"/>
          <w:lang w:val="ru-RU"/>
        </w:rPr>
        <w:t xml:space="preserve"> </w:t>
      </w:r>
      <w:r w:rsidRPr="000337C4">
        <w:rPr>
          <w:rFonts w:cs="Times New Roman"/>
          <w:b/>
          <w:bCs/>
          <w:szCs w:val="24"/>
          <w:lang w:val="ru-RU"/>
        </w:rPr>
        <w:t>2024.</w:t>
      </w:r>
    </w:p>
    <w:p w:rsidR="00EC0AFD" w:rsidRPr="00D32CC3" w:rsidRDefault="00094A22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Необходимо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</w:t>
      </w:r>
      <w:r w:rsidR="00EC0AFD" w:rsidRPr="00D32CC3">
        <w:rPr>
          <w:rFonts w:cs="Times New Roman"/>
          <w:bCs/>
          <w:szCs w:val="24"/>
          <w:lang w:val="ru-RU"/>
        </w:rPr>
        <w:t>азвитие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сетевого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взаимодействия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вузов,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промышленности</w:t>
      </w:r>
      <w:r w:rsidRPr="00D32CC3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Технологическое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лидерство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требует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интеграции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университетов,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бизнеса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рамках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«тройной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спирали».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Это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даёт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ускоренный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трансфер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знаний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реальный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сектор;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совместную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подготовку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кадров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под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запросы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отраслей;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развитие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корпоративных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НИОКР-центров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кафедр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вузах.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взаимодействия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представлены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табл</w:t>
      </w:r>
      <w:r w:rsidR="000337C4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F564A" w:rsidRPr="00D32CC3">
        <w:rPr>
          <w:rFonts w:cs="Times New Roman"/>
          <w:szCs w:val="24"/>
          <w:lang w:val="ru-RU"/>
        </w:rPr>
        <w:t>4</w:t>
      </w:r>
      <w:r w:rsidRPr="00D32CC3">
        <w:rPr>
          <w:rFonts w:cs="Times New Roman"/>
          <w:szCs w:val="24"/>
          <w:lang w:val="ru-RU"/>
        </w:rPr>
        <w:t>.</w:t>
      </w:r>
    </w:p>
    <w:p w:rsidR="000337C4" w:rsidRDefault="00EC0AFD" w:rsidP="000337C4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6F564A" w:rsidRPr="00D32CC3">
        <w:rPr>
          <w:rFonts w:cs="Times New Roman"/>
          <w:szCs w:val="24"/>
          <w:lang w:val="ru-RU"/>
        </w:rPr>
        <w:t>4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Формы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взаимодействия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1"/>
        <w:gridCol w:w="2168"/>
        <w:gridCol w:w="3645"/>
      </w:tblGrid>
      <w:tr w:rsidR="00EC0AFD" w:rsidRPr="001C559F" w:rsidTr="00FC50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</w:t>
            </w:r>
          </w:p>
        </w:tc>
      </w:tr>
      <w:tr w:rsidR="00EC0AFD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Научно-образовательно-производственные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кластеры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Вузы,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корпорации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НОЦ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«Инновационные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АПК»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(Татарстан)</w:t>
            </w:r>
          </w:p>
        </w:tc>
      </w:tr>
      <w:tr w:rsidR="00EC0AFD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компании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«Росатома»,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«Ростеха»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МГТУ,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МФТИ</w:t>
            </w:r>
          </w:p>
        </w:tc>
      </w:tr>
      <w:tr w:rsidR="00EC0AFD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инжиниринговые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Вузы,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0" w:type="auto"/>
            <w:vAlign w:val="center"/>
            <w:hideMark/>
          </w:tcPr>
          <w:p w:rsidR="00EC0AFD" w:rsidRPr="001C559F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университетах</w:t>
            </w:r>
          </w:p>
        </w:tc>
      </w:tr>
    </w:tbl>
    <w:p w:rsidR="00EC0AFD" w:rsidRPr="000337C4" w:rsidRDefault="00EC0AFD" w:rsidP="00D32CC3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sz w:val="22"/>
          <w:szCs w:val="22"/>
        </w:rPr>
      </w:pPr>
      <w:r w:rsidRPr="000337C4">
        <w:rPr>
          <w:rStyle w:val="af7"/>
          <w:rFonts w:eastAsiaTheme="majorEastAsia"/>
          <w:i w:val="0"/>
          <w:sz w:val="22"/>
          <w:szCs w:val="22"/>
        </w:rPr>
        <w:t>Источник:</w:t>
      </w:r>
      <w:r w:rsidR="00D32CC3" w:rsidRPr="000337C4">
        <w:rPr>
          <w:rStyle w:val="af7"/>
          <w:rFonts w:eastAsiaTheme="majorEastAsia"/>
          <w:i w:val="0"/>
          <w:sz w:val="22"/>
          <w:szCs w:val="22"/>
        </w:rPr>
        <w:t xml:space="preserve"> </w:t>
      </w:r>
      <w:r w:rsidRPr="000337C4">
        <w:rPr>
          <w:rStyle w:val="af7"/>
          <w:rFonts w:eastAsiaTheme="majorEastAsia"/>
          <w:i w:val="0"/>
          <w:sz w:val="22"/>
          <w:szCs w:val="22"/>
        </w:rPr>
        <w:t>Минобрнауки</w:t>
      </w:r>
      <w:r w:rsidR="00D32CC3" w:rsidRPr="000337C4">
        <w:rPr>
          <w:rStyle w:val="af7"/>
          <w:rFonts w:eastAsiaTheme="majorEastAsia"/>
          <w:i w:val="0"/>
          <w:sz w:val="22"/>
          <w:szCs w:val="22"/>
        </w:rPr>
        <w:t xml:space="preserve"> </w:t>
      </w:r>
      <w:r w:rsidRPr="000337C4">
        <w:rPr>
          <w:rStyle w:val="af7"/>
          <w:rFonts w:eastAsiaTheme="majorEastAsia"/>
          <w:i w:val="0"/>
          <w:sz w:val="22"/>
          <w:szCs w:val="22"/>
        </w:rPr>
        <w:t>РФ,</w:t>
      </w:r>
      <w:r w:rsidR="00D32CC3" w:rsidRPr="000337C4">
        <w:rPr>
          <w:rStyle w:val="af7"/>
          <w:rFonts w:eastAsiaTheme="majorEastAsia"/>
          <w:i w:val="0"/>
          <w:sz w:val="22"/>
          <w:szCs w:val="22"/>
        </w:rPr>
        <w:t xml:space="preserve"> </w:t>
      </w:r>
      <w:r w:rsidRPr="000337C4">
        <w:rPr>
          <w:rStyle w:val="af7"/>
          <w:rFonts w:eastAsiaTheme="majorEastAsia"/>
          <w:i w:val="0"/>
          <w:sz w:val="22"/>
          <w:szCs w:val="22"/>
        </w:rPr>
        <w:t>аналитика</w:t>
      </w:r>
      <w:r w:rsidR="00D32CC3" w:rsidRPr="000337C4">
        <w:rPr>
          <w:rStyle w:val="af7"/>
          <w:rFonts w:eastAsiaTheme="majorEastAsia"/>
          <w:i w:val="0"/>
          <w:sz w:val="22"/>
          <w:szCs w:val="22"/>
        </w:rPr>
        <w:t xml:space="preserve"> </w:t>
      </w:r>
      <w:r w:rsidRPr="000337C4">
        <w:rPr>
          <w:rStyle w:val="af7"/>
          <w:rFonts w:eastAsiaTheme="majorEastAsia"/>
          <w:i w:val="0"/>
          <w:sz w:val="22"/>
          <w:szCs w:val="22"/>
        </w:rPr>
        <w:t>ВШЭ,</w:t>
      </w:r>
      <w:r w:rsidR="00D32CC3" w:rsidRPr="000337C4">
        <w:rPr>
          <w:rStyle w:val="af7"/>
          <w:rFonts w:eastAsiaTheme="majorEastAsia"/>
          <w:i w:val="0"/>
          <w:sz w:val="22"/>
          <w:szCs w:val="22"/>
        </w:rPr>
        <w:t xml:space="preserve"> </w:t>
      </w:r>
      <w:r w:rsidRPr="000337C4">
        <w:rPr>
          <w:rStyle w:val="af7"/>
          <w:rFonts w:eastAsiaTheme="majorEastAsia"/>
          <w:i w:val="0"/>
          <w:sz w:val="22"/>
          <w:szCs w:val="22"/>
        </w:rPr>
        <w:t>2023.</w:t>
      </w:r>
    </w:p>
    <w:p w:rsidR="00EC0AFD" w:rsidRPr="00D32CC3" w:rsidRDefault="00094A22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Сегодня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важно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</w:t>
      </w:r>
      <w:r w:rsidR="00EC0AFD" w:rsidRPr="00D32CC3">
        <w:rPr>
          <w:rFonts w:cs="Times New Roman"/>
          <w:bCs/>
          <w:szCs w:val="24"/>
          <w:lang w:val="ru-RU"/>
        </w:rPr>
        <w:t>ормирование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системы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непрерывного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(lifelong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learning)</w:t>
      </w:r>
      <w:r w:rsidRPr="00D32CC3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устаревают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337C4">
        <w:rPr>
          <w:rFonts w:cs="Times New Roman"/>
          <w:bCs/>
          <w:szCs w:val="24"/>
          <w:lang w:val="ru-RU"/>
        </w:rPr>
        <w:t>в течение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3</w:t>
      </w:r>
      <w:r w:rsidR="000337C4">
        <w:rPr>
          <w:rFonts w:cs="Times New Roman"/>
          <w:bCs/>
          <w:szCs w:val="24"/>
          <w:lang w:val="ru-RU"/>
        </w:rPr>
        <w:t>-</w:t>
      </w:r>
      <w:r w:rsidR="00EC0AFD" w:rsidRPr="00D32CC3">
        <w:rPr>
          <w:rFonts w:cs="Times New Roman"/>
          <w:bCs/>
          <w:szCs w:val="24"/>
          <w:lang w:val="ru-RU"/>
        </w:rPr>
        <w:t>5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лет</w:t>
      </w:r>
      <w:r w:rsidR="001A6D23"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1A6D23" w:rsidRPr="00D32CC3">
        <w:rPr>
          <w:rFonts w:cs="Times New Roman"/>
          <w:bCs/>
          <w:szCs w:val="24"/>
          <w:lang w:val="ru-RU"/>
        </w:rPr>
        <w:t>поэтому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требуется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постоянное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обновление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компетенций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специалистов.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этого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необходимо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использование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модульны</w:t>
      </w:r>
      <w:r w:rsidRPr="00D32CC3">
        <w:rPr>
          <w:rFonts w:cs="Times New Roman"/>
          <w:bCs/>
          <w:szCs w:val="24"/>
          <w:lang w:val="ru-RU"/>
        </w:rPr>
        <w:t>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цифровы</w:t>
      </w:r>
      <w:r w:rsidRPr="00D32CC3">
        <w:rPr>
          <w:rFonts w:cs="Times New Roman"/>
          <w:bCs/>
          <w:szCs w:val="24"/>
          <w:lang w:val="ru-RU"/>
        </w:rPr>
        <w:t>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программ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повышения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квалификации;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поддержка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онлайн-образования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EdTech-платформ;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налоговые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льготы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компаниям,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инвестирующим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обучение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персонала;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создание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«образовательных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траекторий»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от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школы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до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аспирантуры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НИОКР</w:t>
      </w:r>
      <w:r w:rsidR="000337C4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(рис</w:t>
      </w:r>
      <w:r w:rsidR="000337C4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5).</w:t>
      </w:r>
    </w:p>
    <w:p w:rsidR="00FC5028" w:rsidRPr="00D32CC3" w:rsidRDefault="000E7D62" w:rsidP="000337C4">
      <w:pPr>
        <w:spacing w:after="0"/>
        <w:ind w:firstLine="0"/>
        <w:jc w:val="center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37C4" w:rsidRPr="000337C4" w:rsidRDefault="00EC0AFD" w:rsidP="000337C4">
      <w:pPr>
        <w:spacing w:after="120" w:line="240" w:lineRule="auto"/>
        <w:ind w:firstLine="0"/>
        <w:jc w:val="center"/>
        <w:rPr>
          <w:rFonts w:cs="Times New Roman"/>
          <w:b/>
          <w:bCs/>
          <w:i/>
          <w:iCs/>
          <w:szCs w:val="24"/>
          <w:lang w:val="ru-RU"/>
        </w:rPr>
      </w:pPr>
      <w:r w:rsidRPr="000337C4">
        <w:rPr>
          <w:rFonts w:cs="Times New Roman"/>
          <w:b/>
          <w:szCs w:val="24"/>
          <w:lang w:val="ru-RU"/>
        </w:rPr>
        <w:t>Рисунок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="006F564A" w:rsidRPr="000337C4">
        <w:rPr>
          <w:rFonts w:cs="Times New Roman"/>
          <w:b/>
          <w:szCs w:val="24"/>
          <w:lang w:val="ru-RU"/>
        </w:rPr>
        <w:t>5</w:t>
      </w:r>
      <w:r w:rsidRPr="000337C4">
        <w:rPr>
          <w:rFonts w:cs="Times New Roman"/>
          <w:b/>
          <w:szCs w:val="24"/>
          <w:lang w:val="ru-RU"/>
        </w:rPr>
        <w:t>.</w:t>
      </w:r>
      <w:r w:rsidR="000337C4">
        <w:rPr>
          <w:rFonts w:cs="Times New Roman"/>
          <w:b/>
          <w:szCs w:val="24"/>
          <w:lang w:val="ru-RU"/>
        </w:rPr>
        <w:br/>
      </w:r>
      <w:r w:rsidRPr="000337C4">
        <w:rPr>
          <w:rFonts w:cs="Times New Roman"/>
          <w:b/>
          <w:szCs w:val="24"/>
          <w:lang w:val="ru-RU"/>
        </w:rPr>
        <w:t>Участие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взрослого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населения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РФ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в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программах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дополнительного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образования,</w:t>
      </w:r>
      <w:r w:rsidR="00D32CC3" w:rsidRPr="000337C4">
        <w:rPr>
          <w:rFonts w:cs="Times New Roman"/>
          <w:b/>
          <w:szCs w:val="24"/>
          <w:lang w:val="ru-RU"/>
        </w:rPr>
        <w:t xml:space="preserve"> </w:t>
      </w:r>
      <w:r w:rsidRPr="000337C4">
        <w:rPr>
          <w:rFonts w:cs="Times New Roman"/>
          <w:b/>
          <w:szCs w:val="24"/>
          <w:lang w:val="ru-RU"/>
        </w:rPr>
        <w:t>%</w:t>
      </w:r>
      <w:r w:rsidR="006F564A" w:rsidRPr="000337C4">
        <w:rPr>
          <w:rFonts w:cs="Times New Roman"/>
          <w:b/>
          <w:szCs w:val="24"/>
          <w:lang w:val="ru-RU"/>
        </w:rPr>
        <w:t>.</w:t>
      </w:r>
      <w:r w:rsidR="00783135" w:rsidRPr="000337C4">
        <w:rPr>
          <w:rStyle w:val="affc"/>
          <w:rFonts w:cs="Times New Roman"/>
          <w:b/>
          <w:bCs/>
          <w:i/>
          <w:iCs/>
          <w:szCs w:val="24"/>
          <w:lang w:val="ru-RU"/>
        </w:rPr>
        <w:footnoteReference w:id="8"/>
      </w:r>
    </w:p>
    <w:p w:rsidR="00EC0AFD" w:rsidRPr="00D32CC3" w:rsidRDefault="006F564A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Целевые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показатели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ожидаемые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результаты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представлены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табл</w:t>
      </w:r>
      <w:r w:rsidR="000337C4">
        <w:rPr>
          <w:rFonts w:cs="Times New Roman"/>
          <w:szCs w:val="24"/>
          <w:lang w:val="ru-RU"/>
        </w:rPr>
        <w:t xml:space="preserve">. </w:t>
      </w:r>
      <w:r w:rsidRPr="00D32CC3">
        <w:rPr>
          <w:rFonts w:cs="Times New Roman"/>
          <w:szCs w:val="24"/>
          <w:lang w:val="ru-RU"/>
        </w:rPr>
        <w:t>5.</w:t>
      </w:r>
    </w:p>
    <w:p w:rsidR="000337C4" w:rsidRDefault="006F564A" w:rsidP="000337C4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5</w:t>
      </w: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Целевые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показатели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ожидаемые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результаты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1"/>
        <w:gridCol w:w="1264"/>
        <w:gridCol w:w="1245"/>
        <w:gridCol w:w="1260"/>
      </w:tblGrid>
      <w:tr w:rsidR="00EC0AFD" w:rsidRPr="000337C4" w:rsidTr="00EC0A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(факт)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(цель)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2035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(цель)</w:t>
            </w:r>
          </w:p>
        </w:tc>
      </w:tr>
      <w:tr w:rsidR="00EC0AFD" w:rsidRPr="000337C4" w:rsidTr="00EC0A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экономике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млн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занятых)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C0AFD" w:rsidRPr="000337C4" w:rsidTr="00EC0A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STEM-направлений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EC0AFD" w:rsidRPr="000337C4" w:rsidTr="00EC0A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C0AFD" w:rsidRPr="000337C4" w:rsidTr="00EC0A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вузов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корпоративными</w:t>
            </w:r>
            <w:r w:rsidR="00D32CC3"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партнёрствами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EC0AFD" w:rsidRPr="000337C4" w:rsidRDefault="00EC0AFD" w:rsidP="000337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337C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6F564A" w:rsidRPr="00D32CC3" w:rsidRDefault="006F564A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</w:p>
    <w:p w:rsidR="00EC0AFD" w:rsidRPr="00D32CC3" w:rsidRDefault="00EC0AFD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Эти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показатели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зафиксированы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«Стратегии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потенциала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сфере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2030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г.»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нацпроекте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«Наука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университеты».</w:t>
      </w:r>
    </w:p>
    <w:p w:rsidR="00EC0AFD" w:rsidRPr="00D32CC3" w:rsidRDefault="00094A22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качестве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</w:t>
      </w:r>
      <w:r w:rsidR="00EC0AFD" w:rsidRPr="00D32CC3">
        <w:rPr>
          <w:rFonts w:cs="Times New Roman"/>
          <w:bCs/>
          <w:szCs w:val="24"/>
          <w:lang w:val="ru-RU"/>
        </w:rPr>
        <w:t>рактически</w:t>
      </w:r>
      <w:r w:rsidRPr="00D32CC3">
        <w:rPr>
          <w:rFonts w:cs="Times New Roman"/>
          <w:bCs/>
          <w:szCs w:val="24"/>
          <w:lang w:val="ru-RU"/>
        </w:rPr>
        <w:t>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пример</w:t>
      </w:r>
      <w:r w:rsidRPr="00D32CC3">
        <w:rPr>
          <w:rFonts w:cs="Times New Roman"/>
          <w:bCs/>
          <w:szCs w:val="24"/>
          <w:lang w:val="ru-RU"/>
        </w:rPr>
        <w:t>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следует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отметить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</w:t>
      </w:r>
      <w:r w:rsidR="00EC0AFD" w:rsidRPr="00D32CC3">
        <w:rPr>
          <w:rFonts w:cs="Times New Roman"/>
          <w:bCs/>
          <w:szCs w:val="24"/>
          <w:lang w:val="ru-RU"/>
        </w:rPr>
        <w:t>рограмм</w:t>
      </w:r>
      <w:r w:rsidRPr="00D32CC3">
        <w:rPr>
          <w:rFonts w:cs="Times New Roman"/>
          <w:bCs/>
          <w:szCs w:val="24"/>
          <w:lang w:val="ru-RU"/>
        </w:rPr>
        <w:t>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«Приоритет-2030»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337C4">
        <w:rPr>
          <w:rFonts w:cs="Times New Roman"/>
          <w:bCs/>
          <w:szCs w:val="24"/>
          <w:lang w:val="ru-RU"/>
        </w:rPr>
        <w:t>в рамках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которой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более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120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вузов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России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реализуют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совместные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проекты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бизнесом,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включая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создание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инженерных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школ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исследовательских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лабораторий.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Технополис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«Москва»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Иннополис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вузовско-промышленные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комплексы,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интегрирующие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образование,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науку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высокотехнологичный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бизнес.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Университет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«20.35»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цифровая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платформа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сетевой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университет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подготовки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специалистов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сквозным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технологиям.</w:t>
      </w:r>
    </w:p>
    <w:p w:rsidR="00EC0AFD" w:rsidRPr="00D32CC3" w:rsidRDefault="00094A22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Следовательно,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достижения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лидерства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образовательная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политика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России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должна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быть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опережающей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темпам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содержанию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ориентированной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интеграцию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образования,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науки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производства</w:t>
      </w:r>
      <w:r w:rsidRPr="00D32CC3">
        <w:rPr>
          <w:rFonts w:cs="Times New Roman"/>
          <w:bCs/>
          <w:szCs w:val="24"/>
          <w:lang w:val="ru-RU"/>
        </w:rPr>
        <w:t>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обеспечивающей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постоянное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обновление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компетенций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кадровый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C0AFD" w:rsidRPr="00D32CC3">
        <w:rPr>
          <w:rFonts w:cs="Times New Roman"/>
          <w:bCs/>
          <w:szCs w:val="24"/>
          <w:lang w:val="ru-RU"/>
        </w:rPr>
        <w:t>суверенитет.</w:t>
      </w:r>
    </w:p>
    <w:p w:rsidR="00FC5028" w:rsidRPr="00D32CC3" w:rsidRDefault="00426C80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Ключевая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роль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обеспечении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суверенитета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принадлежит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STEM-образованию.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STEM-образование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(Science,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Technology,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Engineering,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Mathematics)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формирует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кадровый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интеллектуальный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фундамент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страны.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Без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достаточного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числа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квалифицированных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инженеров,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исследователей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невозможно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создавать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внедрять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критические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снижать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импортозависимость,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обеспечивать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технологическое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лидерство.</w:t>
      </w:r>
    </w:p>
    <w:p w:rsidR="00094A22" w:rsidRPr="00D32CC3" w:rsidRDefault="00FC5028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Стратегии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РФ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(Указ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Президента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РФ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01.12.2016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№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642)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прямо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указано,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что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приоритетом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является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системы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подготовки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инженерных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научных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Ключевые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проблемы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действующей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системы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094A22" w:rsidRPr="00D32CC3">
        <w:rPr>
          <w:rFonts w:cs="Times New Roman"/>
          <w:bCs/>
          <w:szCs w:val="24"/>
          <w:lang w:val="ru-RU"/>
        </w:rPr>
        <w:t>STEM-обра</w:t>
      </w:r>
      <w:r w:rsidR="006F564A" w:rsidRPr="00D32CC3">
        <w:rPr>
          <w:rFonts w:cs="Times New Roman"/>
          <w:bCs/>
          <w:szCs w:val="24"/>
          <w:lang w:val="ru-RU"/>
        </w:rPr>
        <w:t>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представлены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табл</w:t>
      </w:r>
      <w:r w:rsidR="00A467B6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6</w:t>
      </w:r>
      <w:r w:rsidR="00094A22" w:rsidRPr="00D32CC3">
        <w:rPr>
          <w:rFonts w:cs="Times New Roman"/>
          <w:bCs/>
          <w:szCs w:val="24"/>
          <w:lang w:val="ru-RU"/>
        </w:rPr>
        <w:t>.</w:t>
      </w:r>
    </w:p>
    <w:p w:rsidR="00A467B6" w:rsidRDefault="00094A22" w:rsidP="00A467B6">
      <w:pPr>
        <w:spacing w:after="0"/>
        <w:ind w:firstLine="709"/>
        <w:jc w:val="right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Таблица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6</w:t>
      </w:r>
    </w:p>
    <w:p w:rsidR="00A467B6" w:rsidRPr="00D32CC3" w:rsidRDefault="00FC5028" w:rsidP="00A467B6">
      <w:pPr>
        <w:pStyle w:val="aff8"/>
        <w:spacing w:before="0" w:beforeAutospacing="0" w:after="0" w:afterAutospacing="0" w:line="360" w:lineRule="auto"/>
        <w:ind w:firstLine="709"/>
        <w:jc w:val="both"/>
      </w:pPr>
      <w:r w:rsidRPr="00D32CC3">
        <w:rPr>
          <w:bCs/>
        </w:rPr>
        <w:t>Ключевые</w:t>
      </w:r>
      <w:r w:rsidR="00D32CC3" w:rsidRPr="00D32CC3">
        <w:rPr>
          <w:bCs/>
        </w:rPr>
        <w:t xml:space="preserve"> </w:t>
      </w:r>
      <w:r w:rsidRPr="00D32CC3">
        <w:rPr>
          <w:bCs/>
        </w:rPr>
        <w:t>проблемы</w:t>
      </w:r>
      <w:r w:rsidR="00D32CC3" w:rsidRPr="00D32CC3">
        <w:rPr>
          <w:bCs/>
        </w:rPr>
        <w:t xml:space="preserve"> </w:t>
      </w:r>
      <w:r w:rsidRPr="00D32CC3">
        <w:rPr>
          <w:bCs/>
        </w:rPr>
        <w:t>действующей</w:t>
      </w:r>
      <w:r w:rsidR="00D32CC3" w:rsidRPr="00D32CC3">
        <w:rPr>
          <w:bCs/>
        </w:rPr>
        <w:t xml:space="preserve"> </w:t>
      </w:r>
      <w:r w:rsidRPr="00D32CC3">
        <w:rPr>
          <w:bCs/>
        </w:rPr>
        <w:t>системы</w:t>
      </w:r>
      <w:r w:rsidR="00D32CC3" w:rsidRPr="00D32CC3">
        <w:rPr>
          <w:bCs/>
        </w:rPr>
        <w:t xml:space="preserve"> </w:t>
      </w:r>
      <w:r w:rsidRPr="00D32CC3">
        <w:rPr>
          <w:bCs/>
        </w:rPr>
        <w:t>STEM-образования</w:t>
      </w:r>
      <w:r w:rsidR="00A467B6" w:rsidRPr="00D32CC3">
        <w:rPr>
          <w:rStyle w:val="affc"/>
        </w:rPr>
        <w:footnoteReference w:id="9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3"/>
        <w:gridCol w:w="3638"/>
        <w:gridCol w:w="3013"/>
      </w:tblGrid>
      <w:tr w:rsidR="00FC5028" w:rsidRPr="001C559F" w:rsidTr="00094A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Последствие</w:t>
            </w:r>
          </w:p>
        </w:tc>
      </w:tr>
      <w:tr w:rsidR="00FC5028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Устаревшие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(ИИ,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квантовые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big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data)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Разрыв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знаниями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</w:p>
        </w:tc>
      </w:tr>
      <w:tr w:rsidR="00FC5028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Изношенная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лабораторно-исследовательская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60%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</w:tr>
      <w:tr w:rsidR="00FC5028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Преобладание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теории,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</w:p>
        </w:tc>
      </w:tr>
      <w:tr w:rsidR="00FC5028" w:rsidRPr="001C559F" w:rsidTr="0009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профессорско-преподавательского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A467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</w:p>
        </w:tc>
      </w:tr>
    </w:tbl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Цели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задачи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модернизации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заключаются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6F564A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обновлени</w:t>
      </w:r>
      <w:r w:rsidR="006F564A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содержания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образовательных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программ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соответствии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технологическими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приоритетами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РФ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(ИИ,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микроэлектроника,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биотехнологии,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новые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материалы,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квантовые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технологии);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модернизация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исследовательской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лабораторной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базы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вузов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колледжей;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усиление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практико-ориентированного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проектного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обучения;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инженерных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классов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школах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региональных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центров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творчества;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стимулирование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участия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студентов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школьников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конкурсах,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олимпиадах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хакатонах;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интеграция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промышленными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предприятиями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НИИ.</w:t>
      </w:r>
    </w:p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Динамика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подготовки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STEM-кадров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представлена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рис</w:t>
      </w:r>
      <w:r w:rsidR="00A467B6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BF5B57" w:rsidRPr="00D32CC3">
        <w:rPr>
          <w:rFonts w:cs="Times New Roman"/>
          <w:bCs/>
          <w:szCs w:val="24"/>
          <w:lang w:val="ru-RU"/>
        </w:rPr>
        <w:t>6.</w:t>
      </w:r>
    </w:p>
    <w:p w:rsidR="00783135" w:rsidRPr="00D32CC3" w:rsidRDefault="00313FC1" w:rsidP="00A467B6">
      <w:pPr>
        <w:spacing w:after="0"/>
        <w:ind w:firstLine="0"/>
        <w:jc w:val="center"/>
        <w:rPr>
          <w:rStyle w:val="af6"/>
          <w:rFonts w:cs="Times New Roman"/>
          <w:szCs w:val="24"/>
          <w:lang w:val="ru-RU"/>
        </w:rPr>
      </w:pPr>
      <w:r w:rsidRPr="00D32CC3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5028" w:rsidRPr="00A467B6" w:rsidRDefault="00FC5028" w:rsidP="00A467B6">
      <w:pPr>
        <w:spacing w:after="120" w:line="240" w:lineRule="auto"/>
        <w:ind w:firstLine="0"/>
        <w:jc w:val="center"/>
        <w:rPr>
          <w:b/>
          <w:i/>
          <w:lang w:val="ru-RU"/>
        </w:rPr>
      </w:pPr>
      <w:r w:rsidRPr="00D32CC3">
        <w:rPr>
          <w:rStyle w:val="af6"/>
          <w:rFonts w:cs="Times New Roman"/>
          <w:szCs w:val="24"/>
          <w:lang w:val="ru-RU"/>
        </w:rPr>
        <w:t>Рисунок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="00BF5B57" w:rsidRPr="00D32CC3">
        <w:rPr>
          <w:rStyle w:val="af6"/>
          <w:rFonts w:cs="Times New Roman"/>
          <w:szCs w:val="24"/>
          <w:lang w:val="ru-RU"/>
        </w:rPr>
        <w:t>6</w:t>
      </w:r>
      <w:r w:rsidRPr="00D32CC3">
        <w:rPr>
          <w:rStyle w:val="af6"/>
          <w:rFonts w:cs="Times New Roman"/>
          <w:szCs w:val="24"/>
          <w:lang w:val="ru-RU"/>
        </w:rPr>
        <w:t>.</w:t>
      </w:r>
      <w:r w:rsidR="00A467B6">
        <w:rPr>
          <w:rStyle w:val="af6"/>
          <w:rFonts w:cs="Times New Roman"/>
          <w:szCs w:val="24"/>
          <w:lang w:val="ru-RU"/>
        </w:rPr>
        <w:br/>
      </w:r>
      <w:r w:rsidRPr="00D32CC3">
        <w:rPr>
          <w:rStyle w:val="af6"/>
          <w:rFonts w:cs="Times New Roman"/>
          <w:szCs w:val="24"/>
          <w:lang w:val="ru-RU"/>
        </w:rPr>
        <w:t>Доля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D32CC3">
        <w:rPr>
          <w:rStyle w:val="af6"/>
          <w:rFonts w:cs="Times New Roman"/>
          <w:szCs w:val="24"/>
          <w:lang w:val="ru-RU"/>
        </w:rPr>
        <w:t>выпускников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D32CC3">
        <w:rPr>
          <w:rStyle w:val="af6"/>
          <w:rFonts w:cs="Times New Roman"/>
          <w:szCs w:val="24"/>
          <w:lang w:val="ru-RU"/>
        </w:rPr>
        <w:t>российских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D32CC3">
        <w:rPr>
          <w:rStyle w:val="af6"/>
          <w:rFonts w:cs="Times New Roman"/>
          <w:szCs w:val="24"/>
          <w:lang w:val="ru-RU"/>
        </w:rPr>
        <w:t>вузов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D32CC3">
        <w:rPr>
          <w:rStyle w:val="af6"/>
          <w:rFonts w:cs="Times New Roman"/>
          <w:szCs w:val="24"/>
        </w:rPr>
        <w:t>STEM</w:t>
      </w:r>
      <w:r w:rsidRPr="00D32CC3">
        <w:rPr>
          <w:rStyle w:val="af6"/>
          <w:rFonts w:cs="Times New Roman"/>
          <w:szCs w:val="24"/>
          <w:lang w:val="ru-RU"/>
        </w:rPr>
        <w:t>-направлений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D32CC3">
        <w:rPr>
          <w:rStyle w:val="af6"/>
          <w:rFonts w:cs="Times New Roman"/>
          <w:szCs w:val="24"/>
          <w:lang w:val="ru-RU"/>
        </w:rPr>
        <w:t>(%)</w:t>
      </w:r>
      <w:r w:rsidR="00783135" w:rsidRPr="00D32CC3">
        <w:rPr>
          <w:rStyle w:val="af6"/>
          <w:rFonts w:cs="Times New Roman"/>
          <w:szCs w:val="24"/>
          <w:lang w:val="ru-RU"/>
        </w:rPr>
        <w:t>.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="00783135" w:rsidRPr="00D32CC3">
        <w:rPr>
          <w:rStyle w:val="af6"/>
          <w:rFonts w:cs="Times New Roman"/>
          <w:szCs w:val="24"/>
          <w:lang w:val="ru-RU"/>
        </w:rPr>
        <w:t>Источник:</w:t>
      </w:r>
      <w:r w:rsidR="00D32CC3" w:rsidRPr="00D32CC3">
        <w:rPr>
          <w:rStyle w:val="af6"/>
          <w:rFonts w:cs="Times New Roman"/>
          <w:szCs w:val="24"/>
          <w:lang w:val="ru-RU"/>
        </w:rPr>
        <w:t xml:space="preserve"> </w:t>
      </w:r>
      <w:r w:rsidRPr="00A467B6">
        <w:rPr>
          <w:rStyle w:val="af7"/>
          <w:rFonts w:eastAsiaTheme="majorEastAsia"/>
          <w:b/>
          <w:i w:val="0"/>
          <w:lang w:val="ru-RU"/>
        </w:rPr>
        <w:t>Росстат,</w:t>
      </w:r>
      <w:r w:rsidR="00D32CC3" w:rsidRPr="00A467B6">
        <w:rPr>
          <w:rStyle w:val="af7"/>
          <w:rFonts w:eastAsiaTheme="majorEastAsia"/>
          <w:b/>
          <w:i w:val="0"/>
          <w:lang w:val="ru-RU"/>
        </w:rPr>
        <w:t xml:space="preserve"> </w:t>
      </w:r>
      <w:r w:rsidRPr="00A467B6">
        <w:rPr>
          <w:rStyle w:val="af7"/>
          <w:rFonts w:eastAsiaTheme="majorEastAsia"/>
          <w:b/>
          <w:i w:val="0"/>
          <w:lang w:val="ru-RU"/>
        </w:rPr>
        <w:t>2024</w:t>
      </w:r>
    </w:p>
    <w:p w:rsidR="00FC5028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Важным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настоящее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время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</w:t>
      </w:r>
      <w:r w:rsidR="00FC5028" w:rsidRPr="00D32CC3">
        <w:rPr>
          <w:rFonts w:cs="Times New Roman"/>
          <w:bCs/>
          <w:szCs w:val="24"/>
          <w:lang w:val="ru-RU"/>
        </w:rPr>
        <w:t>одернизация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лабораторной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базы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инфраструктуры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STEM-образования,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элементы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инфраструктуры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которого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роль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представлены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табл</w:t>
      </w:r>
      <w:r w:rsidR="00A467B6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7.</w:t>
      </w:r>
    </w:p>
    <w:p w:rsidR="00A467B6" w:rsidRDefault="00FC5028" w:rsidP="00A467B6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7</w:t>
      </w:r>
    </w:p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Элементы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</w:rPr>
        <w:t>STEM</w:t>
      </w:r>
      <w:r w:rsidRPr="00D32CC3">
        <w:rPr>
          <w:rFonts w:cs="Times New Roman"/>
          <w:szCs w:val="24"/>
          <w:lang w:val="ru-RU"/>
        </w:rPr>
        <w:t>-образования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роль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3"/>
        <w:gridCol w:w="3203"/>
        <w:gridCol w:w="3228"/>
      </w:tblGrid>
      <w:tr w:rsidR="00C26CC1" w:rsidRPr="001C559F" w:rsidTr="006E69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 инфраструктуры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для технологического суверенитета</w:t>
            </w:r>
          </w:p>
        </w:tc>
      </w:tr>
      <w:tr w:rsidR="00C26CC1" w:rsidRPr="001C559F" w:rsidTr="006E6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Инженерные школы и классы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Ранняя профориентация школьников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инженерного мышления и базовых компетенций</w:t>
            </w:r>
          </w:p>
        </w:tc>
      </w:tr>
      <w:tr w:rsidR="00C26CC1" w:rsidRPr="001C559F" w:rsidTr="006E6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 молодежного инновационного творчества (ЦМИТ)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обучение и 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Прототипирование и создание стартапов</w:t>
            </w:r>
          </w:p>
        </w:tc>
      </w:tr>
      <w:tr w:rsidR="00C26CC1" w:rsidRPr="001C559F" w:rsidTr="006E6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Университетские НОЦ и исследовательские лаборатории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НИОКР, участие студентов в исследованиях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трансфер знаний в производство</w:t>
            </w:r>
          </w:p>
        </w:tc>
      </w:tr>
      <w:tr w:rsidR="00C26CC1" w:rsidRPr="001C559F" w:rsidTr="006E6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 коллективного пользования оборудованием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к современному исследовательскому оборудованию</w:t>
            </w:r>
          </w:p>
        </w:tc>
        <w:tc>
          <w:tcPr>
            <w:tcW w:w="0" w:type="auto"/>
            <w:vAlign w:val="center"/>
            <w:hideMark/>
          </w:tcPr>
          <w:p w:rsidR="00C26CC1" w:rsidRPr="001C559F" w:rsidRDefault="00C26CC1" w:rsidP="006E69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Ускорение разработки новых технологий</w:t>
            </w:r>
          </w:p>
        </w:tc>
      </w:tr>
    </w:tbl>
    <w:p w:rsidR="00BF5B57" w:rsidRPr="00D32CC3" w:rsidRDefault="00BF5B57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</w:p>
    <w:p w:rsidR="00FC5028" w:rsidRPr="00D32CC3" w:rsidRDefault="00D32CC3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качестве</w:t>
      </w:r>
      <w:r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примера</w:t>
      </w:r>
      <w:r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можно</w:t>
      </w:r>
      <w:r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привести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НОЦ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«Инженерные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технологии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будущего»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(Самарская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область),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инженерные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школы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в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МФТИ,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МГТУ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им.</w:t>
      </w:r>
      <w:r w:rsidRPr="00D32CC3">
        <w:rPr>
          <w:rFonts w:cs="Times New Roman"/>
          <w:szCs w:val="24"/>
          <w:lang w:val="ru-RU"/>
        </w:rPr>
        <w:t xml:space="preserve"> </w:t>
      </w:r>
      <w:r w:rsidR="00FC5028" w:rsidRPr="00D32CC3">
        <w:rPr>
          <w:rFonts w:cs="Times New Roman"/>
          <w:szCs w:val="24"/>
          <w:lang w:val="ru-RU"/>
        </w:rPr>
        <w:t>Баумана.</w:t>
      </w:r>
    </w:p>
    <w:p w:rsidR="00FC5028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Отмечается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расширение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</w:t>
      </w:r>
      <w:r w:rsidR="00FC5028" w:rsidRPr="00D32CC3">
        <w:rPr>
          <w:rFonts w:cs="Times New Roman"/>
          <w:bCs/>
          <w:szCs w:val="24"/>
          <w:lang w:val="ru-RU"/>
        </w:rPr>
        <w:t>части</w:t>
      </w:r>
      <w:r w:rsidRPr="00D32CC3">
        <w:rPr>
          <w:rFonts w:cs="Times New Roman"/>
          <w:bCs/>
          <w:szCs w:val="24"/>
          <w:lang w:val="ru-RU"/>
        </w:rPr>
        <w:t>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молодежи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конкурсах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технологических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проектах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(рис</w:t>
      </w:r>
      <w:r w:rsidR="00C26CC1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7).</w:t>
      </w:r>
    </w:p>
    <w:p w:rsidR="00FC5028" w:rsidRPr="00D32CC3" w:rsidRDefault="00313FC1" w:rsidP="00C26CC1">
      <w:pPr>
        <w:spacing w:after="0"/>
        <w:ind w:firstLine="0"/>
        <w:jc w:val="center"/>
        <w:rPr>
          <w:rFonts w:cs="Times New Roman"/>
          <w:szCs w:val="24"/>
          <w:lang w:val="ru-RU"/>
        </w:rPr>
      </w:pPr>
      <w:r w:rsidRPr="00D32CC3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5028" w:rsidRPr="00C26CC1" w:rsidRDefault="00FC5028" w:rsidP="00C26CC1">
      <w:pPr>
        <w:spacing w:after="120" w:line="240" w:lineRule="auto"/>
        <w:ind w:firstLine="0"/>
        <w:jc w:val="center"/>
        <w:rPr>
          <w:rFonts w:cs="Times New Roman"/>
          <w:bCs/>
          <w:iCs/>
          <w:szCs w:val="24"/>
          <w:lang w:val="ru-RU"/>
        </w:rPr>
      </w:pPr>
      <w:r w:rsidRPr="00C26CC1">
        <w:rPr>
          <w:rFonts w:cs="Times New Roman"/>
          <w:b/>
          <w:iCs/>
          <w:szCs w:val="24"/>
          <w:lang w:val="ru-RU"/>
        </w:rPr>
        <w:t>Рисунок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="00BF5B57" w:rsidRPr="00C26CC1">
        <w:rPr>
          <w:rFonts w:cs="Times New Roman"/>
          <w:b/>
          <w:iCs/>
          <w:szCs w:val="24"/>
          <w:lang w:val="ru-RU"/>
        </w:rPr>
        <w:t>7</w:t>
      </w:r>
      <w:r w:rsidRPr="00C26CC1">
        <w:rPr>
          <w:rFonts w:cs="Times New Roman"/>
          <w:b/>
          <w:iCs/>
          <w:szCs w:val="24"/>
          <w:lang w:val="ru-RU"/>
        </w:rPr>
        <w:t>.</w:t>
      </w:r>
      <w:r w:rsidR="00C26CC1">
        <w:rPr>
          <w:rFonts w:cs="Times New Roman"/>
          <w:b/>
          <w:iCs/>
          <w:szCs w:val="24"/>
          <w:lang w:val="ru-RU"/>
        </w:rPr>
        <w:br/>
      </w:r>
      <w:r w:rsidRPr="00C26CC1">
        <w:rPr>
          <w:rFonts w:cs="Times New Roman"/>
          <w:b/>
          <w:iCs/>
          <w:szCs w:val="24"/>
          <w:lang w:val="ru-RU"/>
        </w:rPr>
        <w:t>Число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участников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всероссийских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инженерных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и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технологических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конкурсов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(тыс.</w:t>
      </w:r>
      <w:r w:rsidR="00D32CC3" w:rsidRPr="00C26CC1">
        <w:rPr>
          <w:rFonts w:cs="Times New Roman"/>
          <w:b/>
          <w:iCs/>
          <w:szCs w:val="24"/>
          <w:lang w:val="ru-RU"/>
        </w:rPr>
        <w:t xml:space="preserve"> </w:t>
      </w:r>
      <w:r w:rsidRPr="00C26CC1">
        <w:rPr>
          <w:rFonts w:cs="Times New Roman"/>
          <w:b/>
          <w:iCs/>
          <w:szCs w:val="24"/>
          <w:lang w:val="ru-RU"/>
        </w:rPr>
        <w:t>человек)</w:t>
      </w:r>
      <w:r w:rsidR="00C26CC1" w:rsidRPr="00C26CC1">
        <w:rPr>
          <w:rStyle w:val="affc"/>
          <w:rFonts w:cs="Times New Roman"/>
          <w:b/>
          <w:iCs/>
          <w:szCs w:val="24"/>
          <w:lang w:val="ru-RU"/>
        </w:rPr>
        <w:footnoteReference w:id="10"/>
      </w:r>
    </w:p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Участие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олимпиадах,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чемпионатах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WorldSkills,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хакатонах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проектных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сменах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«Сириус»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способствует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формированию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инженерного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мышления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предпринимательских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навыков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студентов.</w:t>
      </w:r>
    </w:p>
    <w:p w:rsidR="00BF5B57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Ожидаемые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результаты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модернизации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STEM-образования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представлены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табл</w:t>
      </w:r>
      <w:r w:rsidR="00C26CC1">
        <w:rPr>
          <w:rFonts w:cs="Times New Roman"/>
          <w:bCs/>
          <w:szCs w:val="24"/>
          <w:lang w:val="ru-RU"/>
        </w:rPr>
        <w:t>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8.</w:t>
      </w:r>
    </w:p>
    <w:p w:rsidR="00C26CC1" w:rsidRDefault="00BF5B57" w:rsidP="00C26CC1">
      <w:pPr>
        <w:spacing w:after="0"/>
        <w:ind w:firstLine="709"/>
        <w:jc w:val="right"/>
        <w:rPr>
          <w:rFonts w:cs="Times New Roman"/>
          <w:bCs/>
          <w:iCs/>
          <w:szCs w:val="24"/>
          <w:lang w:val="ru-RU"/>
        </w:rPr>
      </w:pPr>
      <w:r w:rsidRPr="00D32CC3">
        <w:rPr>
          <w:rFonts w:cs="Times New Roman"/>
          <w:bCs/>
          <w:iCs/>
          <w:szCs w:val="24"/>
          <w:lang w:val="ru-RU"/>
        </w:rPr>
        <w:t>Таблица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8</w:t>
      </w:r>
    </w:p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bCs/>
          <w:iCs/>
          <w:szCs w:val="24"/>
          <w:lang w:val="ru-RU"/>
        </w:rPr>
      </w:pPr>
      <w:r w:rsidRPr="00D32CC3">
        <w:rPr>
          <w:rFonts w:cs="Times New Roman"/>
          <w:bCs/>
          <w:iCs/>
          <w:szCs w:val="24"/>
          <w:lang w:val="ru-RU"/>
        </w:rPr>
        <w:t>Ожидаемые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результаты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модернизации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STEM-образования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7"/>
        <w:gridCol w:w="1190"/>
        <w:gridCol w:w="1171"/>
        <w:gridCol w:w="1186"/>
      </w:tblGrid>
      <w:tr w:rsidR="00FC5028" w:rsidRPr="001C559F" w:rsidTr="00FC50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(факт)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(цель)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2035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(цель)</w:t>
            </w:r>
          </w:p>
        </w:tc>
      </w:tr>
      <w:tr w:rsidR="00FC5028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STEM-направлений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32%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35%</w:t>
            </w:r>
          </w:p>
        </w:tc>
      </w:tr>
      <w:tr w:rsidR="00FC5028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лабораторным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оборудованием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38%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FC5028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FC5028" w:rsidRPr="001C559F" w:rsidTr="00FC5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</w:t>
            </w:r>
          </w:p>
        </w:tc>
        <w:tc>
          <w:tcPr>
            <w:tcW w:w="0" w:type="auto"/>
            <w:vAlign w:val="center"/>
            <w:hideMark/>
          </w:tcPr>
          <w:p w:rsidR="00FC5028" w:rsidRPr="001C559F" w:rsidRDefault="00FC5028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</w:t>
            </w:r>
          </w:p>
        </w:tc>
      </w:tr>
    </w:tbl>
    <w:p w:rsidR="00BF5B57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</w:p>
    <w:p w:rsidR="00FC5028" w:rsidRPr="00D32CC3" w:rsidRDefault="00FC5028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Эти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цели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зафиксированы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Стратегии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кадрового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потенциала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сфере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науки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технологий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до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2030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года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нацпроекте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«Наука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университеты».</w:t>
      </w:r>
    </w:p>
    <w:p w:rsidR="00FC5028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Покажем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п</w:t>
      </w:r>
      <w:r w:rsidR="00FC5028" w:rsidRPr="00D32CC3">
        <w:rPr>
          <w:rFonts w:cs="Times New Roman"/>
          <w:bCs/>
          <w:szCs w:val="24"/>
          <w:lang w:val="ru-RU"/>
        </w:rPr>
        <w:t>рактические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примеры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успешного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развития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STEM-образования.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Это</w:t>
      </w:r>
      <w:r w:rsidR="00D32CC3" w:rsidRPr="00D32CC3">
        <w:rPr>
          <w:rFonts w:cs="Times New Roman"/>
          <w:bCs/>
          <w:iCs/>
          <w:szCs w:val="24"/>
          <w:lang w:val="ru-RU"/>
        </w:rPr>
        <w:t xml:space="preserve"> </w:t>
      </w:r>
      <w:r w:rsidRPr="00D32CC3">
        <w:rPr>
          <w:rFonts w:cs="Times New Roman"/>
          <w:bCs/>
          <w:iCs/>
          <w:szCs w:val="24"/>
          <w:lang w:val="ru-RU"/>
        </w:rPr>
        <w:t>ц</w:t>
      </w:r>
      <w:r w:rsidR="00FC5028" w:rsidRPr="00D32CC3">
        <w:rPr>
          <w:rFonts w:cs="Times New Roman"/>
          <w:bCs/>
          <w:szCs w:val="24"/>
          <w:lang w:val="ru-RU"/>
        </w:rPr>
        <w:t>ентры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молодежного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инновационного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творчества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(ЦМИТ)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более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170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центров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всей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России,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предоставляют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школьникам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студентам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доступ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современному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оборудованию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(3D-принтеры,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ЧПУ,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робототехника).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Инженерные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классы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МГТУ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МФТИ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программы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раннего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углубленного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изучения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физики,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математики,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проектного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инжиниринга.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НОЦ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«Технет»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университет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НТИ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«20.35»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E91199">
        <w:rPr>
          <w:rFonts w:cs="Times New Roman"/>
          <w:bCs/>
          <w:szCs w:val="24"/>
          <w:lang w:val="ru-RU"/>
        </w:rPr>
        <w:t>–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платформы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для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подготовки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специалистов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сквозным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технологиям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управлению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технологическими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проектами.</w:t>
      </w:r>
    </w:p>
    <w:p w:rsidR="00FC5028" w:rsidRPr="00D32CC3" w:rsidRDefault="00BF5B57" w:rsidP="00D32CC3">
      <w:pPr>
        <w:spacing w:after="0"/>
        <w:ind w:firstLine="709"/>
        <w:jc w:val="both"/>
        <w:rPr>
          <w:rFonts w:cs="Times New Roman"/>
          <w:bCs/>
          <w:szCs w:val="24"/>
          <w:lang w:val="ru-RU"/>
        </w:rPr>
      </w:pPr>
      <w:r w:rsidRPr="00D32CC3">
        <w:rPr>
          <w:rFonts w:cs="Times New Roman"/>
          <w:bCs/>
          <w:szCs w:val="24"/>
          <w:lang w:val="ru-RU"/>
        </w:rPr>
        <w:t>Таким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образом,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>м</w:t>
      </w:r>
      <w:r w:rsidR="00FC5028" w:rsidRPr="00D32CC3">
        <w:rPr>
          <w:rFonts w:cs="Times New Roman"/>
          <w:bCs/>
          <w:szCs w:val="24"/>
          <w:lang w:val="ru-RU"/>
        </w:rPr>
        <w:t>одернизация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STEM-образования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является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ключевым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условием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обеспечения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суверенитета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России.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Без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кадрового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инфраструктурного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обеспечения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невозможно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достижение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целей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Стратегии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НТР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и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выхода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страны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на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уровень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технологического</w:t>
      </w:r>
      <w:r w:rsidR="00D32CC3" w:rsidRPr="00D32CC3">
        <w:rPr>
          <w:rFonts w:cs="Times New Roman"/>
          <w:bCs/>
          <w:szCs w:val="24"/>
          <w:lang w:val="ru-RU"/>
        </w:rPr>
        <w:t xml:space="preserve"> </w:t>
      </w:r>
      <w:r w:rsidR="00FC5028" w:rsidRPr="00D32CC3">
        <w:rPr>
          <w:rFonts w:cs="Times New Roman"/>
          <w:bCs/>
          <w:szCs w:val="24"/>
          <w:lang w:val="ru-RU"/>
        </w:rPr>
        <w:t>лидерства.</w:t>
      </w:r>
    </w:p>
    <w:p w:rsidR="00426C80" w:rsidRPr="00D32CC3" w:rsidRDefault="00C26CC1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М</w:t>
      </w:r>
      <w:r w:rsidR="00426C80" w:rsidRPr="00D32CC3">
        <w:rPr>
          <w:rFonts w:cs="Times New Roman"/>
          <w:szCs w:val="24"/>
          <w:lang w:val="ru-RU"/>
        </w:rPr>
        <w:t>одернизация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невозможна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без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воспитательного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компонента,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формирующего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мировоззрение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ценностные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ориентиры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будущих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специалистов.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включает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гражданско-патриотическое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воспитание,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наставничество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формирование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корпоративной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культуры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научного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инженерного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труда.</w:t>
      </w:r>
    </w:p>
    <w:p w:rsidR="00426C80" w:rsidRPr="00D32CC3" w:rsidRDefault="00BF5B57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</w:t>
      </w:r>
      <w:r w:rsidR="00426C80" w:rsidRPr="00D32CC3">
        <w:rPr>
          <w:rFonts w:cs="Times New Roman"/>
          <w:szCs w:val="24"/>
          <w:lang w:val="ru-RU"/>
        </w:rPr>
        <w:t>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механизмов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взаимодействия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системы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работодателей</w:t>
      </w:r>
      <w:r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Перспективны</w:t>
      </w:r>
      <w:r w:rsidRPr="00D32CC3">
        <w:rPr>
          <w:rFonts w:cs="Times New Roman"/>
          <w:szCs w:val="24"/>
          <w:lang w:val="ru-RU"/>
        </w:rPr>
        <w:t>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механизм</w:t>
      </w:r>
      <w:r w:rsidRPr="00D32CC3">
        <w:rPr>
          <w:rFonts w:cs="Times New Roman"/>
          <w:szCs w:val="24"/>
          <w:lang w:val="ru-RU"/>
        </w:rPr>
        <w:t>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являются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дуальное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образование,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целевые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программы,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участие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работодателей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разработке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стандартов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корпоративных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кафедр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базе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вузов.</w:t>
      </w:r>
      <w:r w:rsidR="00C26CC1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Необходимы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междисциплинарные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магистратуры,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академическая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мобильность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стажировки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научных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центрах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стран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Евразии,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также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стимулирование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возвращения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выпускников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из-за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426C80" w:rsidRPr="00D32CC3">
        <w:rPr>
          <w:rFonts w:cs="Times New Roman"/>
          <w:szCs w:val="24"/>
          <w:lang w:val="ru-RU"/>
        </w:rPr>
        <w:t>рубежа.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Международное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сотрудничество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обеспечивает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обмен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знаниями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технологиями.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Перспективные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формы: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двойные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дипломы,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научно-образовательные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консорциумы,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сетевые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магистратуры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ШОС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БРИКС.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национальных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данных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научно-образовательных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ресурсов,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интеграция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образовательных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платформ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аналитики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мониторинга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качества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Ключевые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приоритеты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модернизации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стран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представлены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табл</w:t>
      </w:r>
      <w:r w:rsidR="00C26CC1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9.</w:t>
      </w:r>
    </w:p>
    <w:p w:rsidR="00C26CC1" w:rsidRDefault="00426C80" w:rsidP="00C26CC1">
      <w:pPr>
        <w:spacing w:after="0"/>
        <w:ind w:firstLine="709"/>
        <w:jc w:val="right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Таблица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BF5B57" w:rsidRPr="00D32CC3">
        <w:rPr>
          <w:rFonts w:cs="Times New Roman"/>
          <w:szCs w:val="24"/>
          <w:lang w:val="ru-RU"/>
        </w:rPr>
        <w:t>9</w:t>
      </w:r>
    </w:p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Ключевые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</w:t>
      </w:r>
    </w:p>
    <w:tbl>
      <w:tblPr>
        <w:tblStyle w:val="aff0"/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426C80" w:rsidRPr="001C559F" w:rsidTr="00C26CC1">
        <w:trPr>
          <w:jc w:val="center"/>
        </w:trPr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</w:p>
        </w:tc>
      </w:tr>
      <w:tr w:rsidR="00426C80" w:rsidRPr="001C559F" w:rsidTr="00C26CC1">
        <w:trPr>
          <w:jc w:val="center"/>
        </w:trPr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STEM-образование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лабораторий,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инженеров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</w:p>
        </w:tc>
      </w:tr>
      <w:tr w:rsidR="00426C80" w:rsidRPr="001C559F" w:rsidTr="00C26CC1">
        <w:trPr>
          <w:jc w:val="center"/>
        </w:trPr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преподавателей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цифрового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неравенства</w:t>
            </w:r>
          </w:p>
        </w:tc>
      </w:tr>
      <w:tr w:rsidR="00426C80" w:rsidRPr="001C559F" w:rsidTr="00C26CC1">
        <w:trPr>
          <w:jc w:val="center"/>
        </w:trPr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Наставничество,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ценностных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</w:t>
            </w:r>
          </w:p>
        </w:tc>
      </w:tr>
      <w:tr w:rsidR="00426C80" w:rsidRPr="001C559F" w:rsidTr="00C26CC1">
        <w:trPr>
          <w:jc w:val="center"/>
        </w:trPr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бизнесом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Дуальное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обучение,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корпоративные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</w:t>
            </w:r>
          </w:p>
        </w:tc>
        <w:tc>
          <w:tcPr>
            <w:tcW w:w="2880" w:type="dxa"/>
          </w:tcPr>
          <w:p w:rsidR="00426C80" w:rsidRPr="001C559F" w:rsidRDefault="00426C80" w:rsidP="00C26C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D32CC3"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</w:p>
        </w:tc>
      </w:tr>
    </w:tbl>
    <w:p w:rsidR="00426C80" w:rsidRPr="00D32CC3" w:rsidRDefault="00426C80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bookmarkStart w:id="0" w:name="_GoBack"/>
      <w:bookmarkEnd w:id="0"/>
    </w:p>
    <w:p w:rsidR="007C43D8" w:rsidRPr="00C26CC1" w:rsidRDefault="00930BE4" w:rsidP="00C26CC1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C26CC1">
        <w:rPr>
          <w:rFonts w:cs="Times New Roman"/>
          <w:b/>
          <w:szCs w:val="24"/>
          <w:lang w:val="ru-RU"/>
        </w:rPr>
        <w:t>6</w:t>
      </w:r>
      <w:r w:rsidR="00EC0AFD" w:rsidRPr="00C26CC1">
        <w:rPr>
          <w:rFonts w:cs="Times New Roman"/>
          <w:b/>
          <w:szCs w:val="24"/>
          <w:lang w:val="ru-RU"/>
        </w:rPr>
        <w:t>.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Международное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сотрудничество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в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контексте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Большой</w:t>
      </w:r>
      <w:r w:rsidR="00D32CC3" w:rsidRPr="00C26CC1">
        <w:rPr>
          <w:rFonts w:cs="Times New Roman"/>
          <w:b/>
          <w:szCs w:val="24"/>
          <w:lang w:val="ru-RU"/>
        </w:rPr>
        <w:t xml:space="preserve"> </w:t>
      </w:r>
      <w:r w:rsidR="00EC0AFD" w:rsidRPr="00C26CC1">
        <w:rPr>
          <w:rFonts w:cs="Times New Roman"/>
          <w:b/>
          <w:szCs w:val="24"/>
          <w:lang w:val="ru-RU"/>
        </w:rPr>
        <w:t>Евразии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Сотрудничество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</w:t>
      </w:r>
      <w:r w:rsidR="00C26CC1">
        <w:rPr>
          <w:rFonts w:cs="Times New Roman"/>
          <w:szCs w:val="24"/>
          <w:lang w:val="ru-RU"/>
        </w:rPr>
        <w:t>о странами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ЕАЭС,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ШОС,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БРИКС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может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снизить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изоляцию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исследовательские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центры.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Необходимо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расширение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трансфера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согласование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стандартов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норм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инноваций.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Практическая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значимость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930BE4" w:rsidRPr="00D32CC3">
        <w:rPr>
          <w:rFonts w:cs="Times New Roman"/>
          <w:szCs w:val="24"/>
          <w:lang w:val="ru-RU"/>
        </w:rPr>
        <w:t>такого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930BE4" w:rsidRPr="00D32CC3">
        <w:rPr>
          <w:rFonts w:cs="Times New Roman"/>
          <w:szCs w:val="24"/>
          <w:lang w:val="ru-RU"/>
        </w:rPr>
        <w:t>сотрудничества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930BE4" w:rsidRPr="00D32CC3">
        <w:rPr>
          <w:rFonts w:cs="Times New Roman"/>
          <w:szCs w:val="24"/>
          <w:lang w:val="ru-RU"/>
        </w:rPr>
        <w:t>заключается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930BE4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</w:t>
      </w:r>
      <w:r w:rsidR="00930BE4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единого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евразийского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пространства</w:t>
      </w:r>
      <w:r w:rsidR="00930BE4" w:rsidRPr="00D32CC3">
        <w:rPr>
          <w:rFonts w:cs="Times New Roman"/>
          <w:szCs w:val="24"/>
          <w:lang w:val="ru-RU"/>
        </w:rPr>
        <w:t>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930BE4" w:rsidRPr="00D32CC3">
        <w:rPr>
          <w:rFonts w:cs="Times New Roman"/>
          <w:szCs w:val="24"/>
          <w:lang w:val="ru-RU"/>
        </w:rPr>
        <w:t>что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снизит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западных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технологий.</w:t>
      </w:r>
    </w:p>
    <w:p w:rsidR="007C43D8" w:rsidRPr="00D32CC3" w:rsidRDefault="00EC0AFD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2035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целесообразно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достичь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внутренних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разработок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менее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70%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отраслях,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увеличить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расходы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2,5%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ВВП,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повысить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экспорт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высокотехнологичной</w:t>
      </w:r>
      <w:r w:rsidR="00C26CC1">
        <w:rPr>
          <w:rFonts w:cs="Times New Roman"/>
          <w:szCs w:val="24"/>
          <w:lang w:val="ru-RU"/>
        </w:rPr>
        <w:t xml:space="preserve"> продукции</w:t>
      </w:r>
      <w:r w:rsidR="00313FC1" w:rsidRPr="00D32CC3">
        <w:rPr>
          <w:rFonts w:cs="Times New Roman"/>
          <w:szCs w:val="24"/>
          <w:lang w:val="ru-RU"/>
        </w:rPr>
        <w:t>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Ожидаемые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эффекты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313FC1" w:rsidRPr="00D32CC3">
        <w:rPr>
          <w:rFonts w:cs="Times New Roman"/>
          <w:szCs w:val="24"/>
          <w:lang w:val="ru-RU"/>
        </w:rPr>
        <w:t>заключаются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313FC1"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313FC1" w:rsidRPr="00D32CC3">
        <w:rPr>
          <w:rFonts w:cs="Times New Roman"/>
          <w:szCs w:val="24"/>
          <w:lang w:val="ru-RU"/>
        </w:rPr>
        <w:t>росте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производительности,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313FC1" w:rsidRPr="00D32CC3">
        <w:rPr>
          <w:rFonts w:cs="Times New Roman"/>
          <w:szCs w:val="24"/>
          <w:lang w:val="ru-RU"/>
        </w:rPr>
        <w:t>создании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</w:t>
      </w:r>
      <w:r w:rsidR="00313FC1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рабочи</w:t>
      </w:r>
      <w:r w:rsidR="00313FC1" w:rsidRPr="00D32CC3">
        <w:rPr>
          <w:rFonts w:cs="Times New Roman"/>
          <w:szCs w:val="24"/>
          <w:lang w:val="ru-RU"/>
        </w:rPr>
        <w:t>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мест,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снижени</w:t>
      </w:r>
      <w:r w:rsidR="00313FC1"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26CC1">
        <w:rPr>
          <w:rFonts w:cs="Times New Roman"/>
          <w:szCs w:val="24"/>
          <w:lang w:val="ru-RU"/>
        </w:rPr>
        <w:t>в укреплении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геополитических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позиций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РФ.</w:t>
      </w:r>
    </w:p>
    <w:p w:rsidR="007C43D8" w:rsidRPr="00C26CC1" w:rsidRDefault="00EC0AFD" w:rsidP="00C26CC1">
      <w:pPr>
        <w:spacing w:after="0"/>
        <w:ind w:firstLine="709"/>
        <w:jc w:val="both"/>
        <w:rPr>
          <w:rFonts w:cs="Times New Roman"/>
          <w:b/>
          <w:szCs w:val="24"/>
          <w:lang w:val="ru-RU"/>
        </w:rPr>
      </w:pPr>
      <w:r w:rsidRPr="00C26CC1">
        <w:rPr>
          <w:rFonts w:cs="Times New Roman"/>
          <w:b/>
          <w:szCs w:val="24"/>
          <w:lang w:val="ru-RU"/>
        </w:rPr>
        <w:t>Заключение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Проведённый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анализ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показал,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лидерства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требует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комплексного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подхода,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включающего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стимулирование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активности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эффективное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государственно-частное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партнёрство.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E91199">
        <w:rPr>
          <w:rFonts w:cs="Times New Roman"/>
          <w:szCs w:val="24"/>
          <w:lang w:val="ru-RU"/>
        </w:rPr>
        <w:t>–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только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импортозамещение,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самодостаточной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экосистемы,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включающей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фундаментальную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науку,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прикладные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производство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обеспечение.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РФ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должны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концентрироваться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сквозных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микроэлектроника,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квантовые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биотехнологии,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новые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материалы,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энергетика),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которые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обеспечат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ускорение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стратегически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важных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отраслях.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(ОЭЗ,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технопарки,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кластеры,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НОЦ,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коллективного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пользования)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становится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системообразующим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элементом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лидерства.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Образовательная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политика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должна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быть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увязана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стратегиями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НТР,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предусматривать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опережающую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подготовку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STEM-образования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непрерывного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обучения.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формирует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человеческий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капитал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экономики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риск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«утечки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мозгов».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Международное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сотрудничество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формате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ЕАЭС,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ШОС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БРИКС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C26CC1">
        <w:rPr>
          <w:rFonts w:cs="Times New Roman"/>
          <w:szCs w:val="24"/>
          <w:lang w:val="ru-RU"/>
        </w:rPr>
        <w:t>расширяет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возможности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евразийского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пространства.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Сформулированные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предложения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могут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быть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использованы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разработке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федеральных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региональных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сфере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Обозначенные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направления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STEM-образования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политики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имеют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прикладное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значение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для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вузов,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предприятий,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формирующих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резерв.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контексте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выступает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как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центр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генерации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инноваций,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способный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задавать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стандарты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взаимодействия.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ближайшие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годы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ключевым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фактором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станет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ускоренная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цифровизация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промышленности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требующая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синхронизации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усилий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проектов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области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микроэлектроники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энергетики.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Инновационно-технологическое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сотрудничество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рамках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ЕАЭС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ШОС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позволит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выстраивать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собственные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цепочки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добавленной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стоимости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снижать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зависимость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западных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технологий.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Создание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общего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образовательного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пространства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(академические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обмены,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совместные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университетские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программы,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исследовательские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консорциумы)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позволит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укрепить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кадровую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базу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повысить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уровень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конкурентоспособности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="008D131D">
        <w:rPr>
          <w:rFonts w:cs="Times New Roman"/>
          <w:szCs w:val="24"/>
          <w:lang w:val="ru-RU"/>
        </w:rPr>
        <w:t>этого макро</w:t>
      </w:r>
      <w:r w:rsidRPr="00D32CC3">
        <w:rPr>
          <w:rFonts w:cs="Times New Roman"/>
          <w:szCs w:val="24"/>
          <w:lang w:val="ru-RU"/>
        </w:rPr>
        <w:t>региона.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долгосрочной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перспективе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может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ядром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евразийского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уклада,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где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знания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будут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определять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стратегическое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стран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региона.</w:t>
      </w:r>
    </w:p>
    <w:p w:rsidR="00EF617C" w:rsidRPr="00D32CC3" w:rsidRDefault="00EF617C" w:rsidP="00D32CC3">
      <w:pPr>
        <w:spacing w:after="0"/>
        <w:ind w:firstLine="709"/>
        <w:jc w:val="both"/>
        <w:rPr>
          <w:rFonts w:cs="Times New Roman"/>
          <w:szCs w:val="24"/>
          <w:lang w:val="ru-RU"/>
        </w:rPr>
      </w:pPr>
      <w:r w:rsidRPr="00D32CC3">
        <w:rPr>
          <w:rFonts w:cs="Times New Roman"/>
          <w:szCs w:val="24"/>
          <w:lang w:val="ru-RU"/>
        </w:rPr>
        <w:t>Таким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суверенитет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невозможен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без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глубокой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модернизации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системы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образования,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инновационной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инфраструктуры,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приоритетного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финансирования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НИОКР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интеграции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науки,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государства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бизнеса.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условиях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формирования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Большой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эти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усилия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приобретают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международное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измерение: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Россия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способна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стать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не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только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самодостаточным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технологическим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лидером,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и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локомотивом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научно-технологического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развития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всего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евразийского</w:t>
      </w:r>
      <w:r w:rsidR="00D32CC3" w:rsidRPr="00D32CC3">
        <w:rPr>
          <w:rFonts w:cs="Times New Roman"/>
          <w:szCs w:val="24"/>
          <w:lang w:val="ru-RU"/>
        </w:rPr>
        <w:t xml:space="preserve"> </w:t>
      </w:r>
      <w:r w:rsidRPr="00D32CC3">
        <w:rPr>
          <w:rFonts w:cs="Times New Roman"/>
          <w:szCs w:val="24"/>
          <w:lang w:val="ru-RU"/>
        </w:rPr>
        <w:t>пространства.</w:t>
      </w:r>
    </w:p>
    <w:sectPr w:rsidR="00EF617C" w:rsidRPr="00D32CC3" w:rsidSect="00D32CC3">
      <w:footerReference w:type="default" r:id="rId16"/>
      <w:pgSz w:w="12240" w:h="15840" w:code="1"/>
      <w:pgMar w:top="1134" w:right="1418" w:bottom="1134" w:left="1418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D3" w:rsidRDefault="00BB42D3" w:rsidP="00094A22">
      <w:pPr>
        <w:spacing w:after="0" w:line="240" w:lineRule="auto"/>
      </w:pPr>
      <w:r>
        <w:separator/>
      </w:r>
    </w:p>
  </w:endnote>
  <w:endnote w:type="continuationSeparator" w:id="0">
    <w:p w:rsidR="00BB42D3" w:rsidRDefault="00BB42D3" w:rsidP="0009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61"/>
      <w:docPartObj>
        <w:docPartGallery w:val="Page Numbers (Bottom of Page)"/>
        <w:docPartUnique/>
      </w:docPartObj>
    </w:sdtPr>
    <w:sdtContent>
      <w:p w:rsidR="00BB42D3" w:rsidRPr="00D32CC3" w:rsidRDefault="00BB42D3" w:rsidP="00D32CC3">
        <w:pPr>
          <w:pStyle w:val="a7"/>
          <w:jc w:val="center"/>
        </w:pPr>
        <w:fldSimple w:instr=" PAGE   \* MERGEFORMAT ">
          <w:r w:rsidR="001C559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D3" w:rsidRDefault="00BB42D3" w:rsidP="00094A22">
      <w:pPr>
        <w:spacing w:after="0" w:line="240" w:lineRule="auto"/>
      </w:pPr>
      <w:r>
        <w:separator/>
      </w:r>
    </w:p>
  </w:footnote>
  <w:footnote w:type="continuationSeparator" w:id="0">
    <w:p w:rsidR="00BB42D3" w:rsidRDefault="00BB42D3" w:rsidP="00094A22">
      <w:pPr>
        <w:spacing w:after="0" w:line="240" w:lineRule="auto"/>
      </w:pPr>
      <w:r>
        <w:continuationSeparator/>
      </w:r>
    </w:p>
  </w:footnote>
  <w:footnote w:id="1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D32CC3">
        <w:rPr>
          <w:lang w:val="ru-RU"/>
        </w:rPr>
        <w:t>Указ</w:t>
      </w:r>
      <w:r>
        <w:rPr>
          <w:lang w:val="ru-RU"/>
        </w:rPr>
        <w:t xml:space="preserve"> </w:t>
      </w:r>
      <w:r w:rsidRPr="00D32CC3">
        <w:rPr>
          <w:lang w:val="ru-RU"/>
        </w:rPr>
        <w:t>Президента</w:t>
      </w:r>
      <w:r>
        <w:rPr>
          <w:lang w:val="ru-RU"/>
        </w:rPr>
        <w:t xml:space="preserve"> </w:t>
      </w:r>
      <w:r w:rsidRPr="00D32CC3">
        <w:rPr>
          <w:lang w:val="ru-RU"/>
        </w:rPr>
        <w:t>РФ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01.12.2016</w:t>
      </w:r>
      <w:r>
        <w:rPr>
          <w:lang w:val="ru-RU"/>
        </w:rPr>
        <w:t xml:space="preserve"> </w:t>
      </w:r>
      <w:r w:rsidRPr="00D32CC3">
        <w:rPr>
          <w:lang w:val="ru-RU"/>
        </w:rPr>
        <w:t>№</w:t>
      </w:r>
      <w:r>
        <w:rPr>
          <w:lang w:val="ru-RU"/>
        </w:rPr>
        <w:t xml:space="preserve"> </w:t>
      </w:r>
      <w:r w:rsidRPr="00D32CC3">
        <w:rPr>
          <w:lang w:val="ru-RU"/>
        </w:rPr>
        <w:t>642</w:t>
      </w:r>
      <w:r>
        <w:rPr>
          <w:lang w:val="ru-RU"/>
        </w:rPr>
        <w:t xml:space="preserve"> </w:t>
      </w:r>
      <w:r w:rsidRPr="00D32CC3">
        <w:rPr>
          <w:lang w:val="ru-RU"/>
        </w:rPr>
        <w:t>«О</w:t>
      </w:r>
      <w:r>
        <w:rPr>
          <w:lang w:val="ru-RU"/>
        </w:rPr>
        <w:t xml:space="preserve"> </w:t>
      </w:r>
      <w:r w:rsidRPr="00D32CC3">
        <w:rPr>
          <w:lang w:val="ru-RU"/>
        </w:rPr>
        <w:t>Стратегии</w:t>
      </w:r>
      <w:r>
        <w:rPr>
          <w:lang w:val="ru-RU"/>
        </w:rPr>
        <w:t xml:space="preserve"> </w:t>
      </w:r>
      <w:r w:rsidRPr="00D32CC3">
        <w:rPr>
          <w:lang w:val="ru-RU"/>
        </w:rPr>
        <w:t>научно-технологического</w:t>
      </w:r>
      <w:r>
        <w:rPr>
          <w:lang w:val="ru-RU"/>
        </w:rPr>
        <w:t xml:space="preserve"> </w:t>
      </w:r>
      <w:r w:rsidRPr="00D32CC3">
        <w:rPr>
          <w:lang w:val="ru-RU"/>
        </w:rPr>
        <w:t>развития</w:t>
      </w:r>
      <w:r>
        <w:rPr>
          <w:lang w:val="ru-RU"/>
        </w:rPr>
        <w:t xml:space="preserve"> </w:t>
      </w:r>
      <w:r w:rsidRPr="00D32CC3">
        <w:rPr>
          <w:lang w:val="ru-RU"/>
        </w:rPr>
        <w:t>Российской</w:t>
      </w:r>
      <w:r>
        <w:rPr>
          <w:lang w:val="ru-RU"/>
        </w:rPr>
        <w:t xml:space="preserve"> </w:t>
      </w:r>
      <w:r w:rsidRPr="00D32CC3">
        <w:rPr>
          <w:lang w:val="ru-RU"/>
        </w:rPr>
        <w:t>Федерации».</w:t>
      </w:r>
    </w:p>
  </w:footnote>
  <w:footnote w:id="2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D32CC3">
        <w:rPr>
          <w:lang w:val="ru-RU"/>
        </w:rPr>
        <w:t>Росстат.</w:t>
      </w:r>
      <w:r>
        <w:rPr>
          <w:lang w:val="ru-RU"/>
        </w:rPr>
        <w:t xml:space="preserve"> </w:t>
      </w:r>
      <w:r w:rsidRPr="00D32CC3">
        <w:rPr>
          <w:lang w:val="ru-RU"/>
        </w:rPr>
        <w:t>Наука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инновации</w:t>
      </w:r>
      <w:r>
        <w:rPr>
          <w:lang w:val="ru-RU"/>
        </w:rPr>
        <w:t xml:space="preserve"> </w:t>
      </w:r>
      <w:r w:rsidRPr="00D32CC3">
        <w:rPr>
          <w:lang w:val="ru-RU"/>
        </w:rPr>
        <w:t>в</w:t>
      </w:r>
      <w:r>
        <w:rPr>
          <w:lang w:val="ru-RU"/>
        </w:rPr>
        <w:t xml:space="preserve"> </w:t>
      </w:r>
      <w:r w:rsidRPr="00D32CC3">
        <w:rPr>
          <w:lang w:val="ru-RU"/>
        </w:rPr>
        <w:t>РФ:</w:t>
      </w:r>
      <w:r>
        <w:rPr>
          <w:lang w:val="ru-RU"/>
        </w:rPr>
        <w:t xml:space="preserve"> </w:t>
      </w:r>
      <w:r w:rsidRPr="00D32CC3">
        <w:rPr>
          <w:lang w:val="ru-RU"/>
        </w:rPr>
        <w:t>Статистический</w:t>
      </w:r>
      <w:r>
        <w:rPr>
          <w:lang w:val="ru-RU"/>
        </w:rPr>
        <w:t xml:space="preserve"> </w:t>
      </w:r>
      <w:r w:rsidRPr="00D32CC3">
        <w:rPr>
          <w:lang w:val="ru-RU"/>
        </w:rPr>
        <w:t>сборник.</w:t>
      </w:r>
      <w:r>
        <w:rPr>
          <w:lang w:val="ru-RU"/>
        </w:rPr>
        <w:t xml:space="preserve"> – </w:t>
      </w:r>
      <w:r w:rsidRPr="00D32CC3">
        <w:rPr>
          <w:lang w:val="ru-RU"/>
        </w:rPr>
        <w:t>М.,</w:t>
      </w:r>
      <w:r>
        <w:rPr>
          <w:lang w:val="ru-RU"/>
        </w:rPr>
        <w:t xml:space="preserve"> </w:t>
      </w:r>
      <w:r w:rsidRPr="00D32CC3">
        <w:rPr>
          <w:lang w:val="ru-RU"/>
        </w:rPr>
        <w:t>2024.</w:t>
      </w:r>
    </w:p>
  </w:footnote>
  <w:footnote w:id="3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E91199">
        <w:rPr>
          <w:i/>
          <w:lang w:val="ru-RU"/>
        </w:rPr>
        <w:t>Видов А.А.</w:t>
      </w:r>
      <w:r>
        <w:rPr>
          <w:lang w:val="ru-RU"/>
        </w:rPr>
        <w:t xml:space="preserve"> </w:t>
      </w:r>
      <w:r w:rsidRPr="00D32CC3">
        <w:rPr>
          <w:lang w:val="ru-RU"/>
        </w:rPr>
        <w:t>Концепция</w:t>
      </w:r>
      <w:r>
        <w:rPr>
          <w:lang w:val="ru-RU"/>
        </w:rPr>
        <w:t xml:space="preserve"> </w:t>
      </w:r>
      <w:r w:rsidRPr="00D32CC3">
        <w:rPr>
          <w:lang w:val="ru-RU"/>
        </w:rPr>
        <w:t>технологического</w:t>
      </w:r>
      <w:r>
        <w:rPr>
          <w:lang w:val="ru-RU"/>
        </w:rPr>
        <w:t xml:space="preserve"> </w:t>
      </w:r>
      <w:r w:rsidRPr="00D32CC3">
        <w:rPr>
          <w:lang w:val="ru-RU"/>
        </w:rPr>
        <w:t>суверенитета</w:t>
      </w:r>
      <w:r>
        <w:rPr>
          <w:lang w:val="ru-RU"/>
        </w:rPr>
        <w:t xml:space="preserve"> </w:t>
      </w:r>
      <w:r w:rsidRPr="00D32CC3">
        <w:rPr>
          <w:lang w:val="ru-RU"/>
        </w:rPr>
        <w:t>в</w:t>
      </w:r>
      <w:r>
        <w:rPr>
          <w:lang w:val="ru-RU"/>
        </w:rPr>
        <w:t xml:space="preserve"> </w:t>
      </w:r>
      <w:r w:rsidRPr="00D32CC3">
        <w:rPr>
          <w:lang w:val="ru-RU"/>
        </w:rPr>
        <w:t>интеграционном</w:t>
      </w:r>
      <w:r>
        <w:rPr>
          <w:lang w:val="ru-RU"/>
        </w:rPr>
        <w:t xml:space="preserve"> </w:t>
      </w:r>
      <w:r w:rsidRPr="00D32CC3">
        <w:rPr>
          <w:lang w:val="ru-RU"/>
        </w:rPr>
        <w:t>праве</w:t>
      </w:r>
      <w:r>
        <w:rPr>
          <w:lang w:val="ru-RU"/>
        </w:rPr>
        <w:t xml:space="preserve"> // </w:t>
      </w:r>
      <w:r w:rsidRPr="00D32CC3">
        <w:rPr>
          <w:lang w:val="ru-RU"/>
        </w:rPr>
        <w:t>Международное</w:t>
      </w:r>
      <w:r>
        <w:rPr>
          <w:lang w:val="ru-RU"/>
        </w:rPr>
        <w:t xml:space="preserve"> </w:t>
      </w:r>
      <w:r w:rsidRPr="00D32CC3">
        <w:rPr>
          <w:lang w:val="ru-RU"/>
        </w:rPr>
        <w:t>публичное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частное</w:t>
      </w:r>
      <w:r>
        <w:rPr>
          <w:lang w:val="ru-RU"/>
        </w:rPr>
        <w:t xml:space="preserve"> </w:t>
      </w:r>
      <w:r w:rsidRPr="00D32CC3">
        <w:rPr>
          <w:lang w:val="ru-RU"/>
        </w:rPr>
        <w:t>право</w:t>
      </w:r>
      <w:r>
        <w:rPr>
          <w:lang w:val="ru-RU"/>
        </w:rPr>
        <w:t xml:space="preserve">. – </w:t>
      </w:r>
      <w:r w:rsidRPr="00D32CC3">
        <w:rPr>
          <w:lang w:val="ru-RU"/>
        </w:rPr>
        <w:t>2025</w:t>
      </w:r>
      <w:r>
        <w:rPr>
          <w:lang w:val="ru-RU"/>
        </w:rPr>
        <w:t xml:space="preserve">. – № </w:t>
      </w:r>
      <w:r w:rsidRPr="00D32CC3">
        <w:rPr>
          <w:lang w:val="ru-RU"/>
        </w:rPr>
        <w:t>1.</w:t>
      </w:r>
      <w:r>
        <w:rPr>
          <w:lang w:val="ru-RU"/>
        </w:rPr>
        <w:t xml:space="preserve"> – </w:t>
      </w:r>
      <w:r w:rsidRPr="00D32CC3">
        <w:rPr>
          <w:lang w:val="ru-RU"/>
        </w:rPr>
        <w:t>С.</w:t>
      </w:r>
      <w:r>
        <w:rPr>
          <w:lang w:val="ru-RU"/>
        </w:rPr>
        <w:t xml:space="preserve"> </w:t>
      </w:r>
      <w:r w:rsidRPr="00D32CC3">
        <w:rPr>
          <w:lang w:val="ru-RU"/>
        </w:rPr>
        <w:t>12</w:t>
      </w:r>
      <w:r>
        <w:rPr>
          <w:lang w:val="ru-RU"/>
        </w:rPr>
        <w:t xml:space="preserve"> </w:t>
      </w:r>
      <w:r w:rsidRPr="00D32CC3">
        <w:rPr>
          <w:lang w:val="ru-RU"/>
        </w:rPr>
        <w:t>-21.</w:t>
      </w:r>
    </w:p>
  </w:footnote>
  <w:footnote w:id="4">
    <w:p w:rsidR="00BB42D3" w:rsidRPr="00D32CC3" w:rsidRDefault="00BB42D3" w:rsidP="00E91199">
      <w:pPr>
        <w:pStyle w:val="a"/>
        <w:numPr>
          <w:ilvl w:val="0"/>
          <w:numId w:val="0"/>
        </w:numPr>
        <w:spacing w:after="0" w:line="240" w:lineRule="auto"/>
        <w:ind w:firstLine="709"/>
        <w:jc w:val="both"/>
      </w:pPr>
      <w:r w:rsidRPr="00D32CC3">
        <w:rPr>
          <w:rStyle w:val="affc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OECD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Science,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Technology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Innovation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Outlook</w:t>
      </w:r>
      <w:r>
        <w:rPr>
          <w:sz w:val="20"/>
          <w:szCs w:val="20"/>
        </w:rPr>
        <w:t xml:space="preserve"> </w:t>
      </w:r>
      <w:r w:rsidRPr="00D32CC3">
        <w:rPr>
          <w:sz w:val="20"/>
          <w:szCs w:val="20"/>
        </w:rPr>
        <w:t>2023.</w:t>
      </w:r>
      <w:r w:rsidRPr="00E91199">
        <w:rPr>
          <w:sz w:val="20"/>
          <w:szCs w:val="20"/>
        </w:rPr>
        <w:t xml:space="preserve"> – https://www.oecd.org/en/publications/oecd-science-technology-and-innovation-outlook-2023_0b55736e-en/full-report.html</w:t>
      </w:r>
    </w:p>
  </w:footnote>
  <w:footnote w:id="5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D32CC3">
        <w:rPr>
          <w:lang w:val="ru-RU"/>
        </w:rPr>
        <w:t>Приказ</w:t>
      </w:r>
      <w:r>
        <w:rPr>
          <w:lang w:val="ru-RU"/>
        </w:rPr>
        <w:t xml:space="preserve"> </w:t>
      </w:r>
      <w:r w:rsidRPr="00D32CC3">
        <w:rPr>
          <w:lang w:val="ru-RU"/>
        </w:rPr>
        <w:t>Росстата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15.12.2017</w:t>
      </w:r>
      <w:r>
        <w:rPr>
          <w:lang w:val="ru-RU"/>
        </w:rPr>
        <w:t xml:space="preserve"> </w:t>
      </w:r>
      <w:r w:rsidRPr="00D32CC3">
        <w:rPr>
          <w:lang w:val="ru-RU"/>
        </w:rPr>
        <w:t>N</w:t>
      </w:r>
      <w:r>
        <w:rPr>
          <w:lang w:val="ru-RU"/>
        </w:rPr>
        <w:t xml:space="preserve"> </w:t>
      </w:r>
      <w:r w:rsidRPr="00D32CC3">
        <w:rPr>
          <w:lang w:val="ru-RU"/>
        </w:rPr>
        <w:t>832</w:t>
      </w:r>
      <w:r>
        <w:rPr>
          <w:lang w:val="ru-RU"/>
        </w:rPr>
        <w:t xml:space="preserve"> </w:t>
      </w:r>
      <w:r w:rsidRPr="00D32CC3">
        <w:rPr>
          <w:lang w:val="ru-RU"/>
        </w:rPr>
        <w:t>(ред.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26.08.2025)</w:t>
      </w:r>
      <w:r>
        <w:rPr>
          <w:lang w:val="ru-RU"/>
        </w:rPr>
        <w:t xml:space="preserve"> «</w:t>
      </w:r>
      <w:r w:rsidRPr="00D32CC3">
        <w:rPr>
          <w:lang w:val="ru-RU"/>
        </w:rPr>
        <w:t>Об</w:t>
      </w:r>
      <w:r>
        <w:rPr>
          <w:lang w:val="ru-RU"/>
        </w:rPr>
        <w:t xml:space="preserve"> </w:t>
      </w:r>
      <w:r w:rsidRPr="00D32CC3">
        <w:rPr>
          <w:lang w:val="ru-RU"/>
        </w:rPr>
        <w:t>утверждении</w:t>
      </w:r>
      <w:r>
        <w:rPr>
          <w:lang w:val="ru-RU"/>
        </w:rPr>
        <w:t xml:space="preserve"> </w:t>
      </w:r>
      <w:r w:rsidRPr="00D32CC3">
        <w:rPr>
          <w:lang w:val="ru-RU"/>
        </w:rPr>
        <w:t>Методики</w:t>
      </w:r>
      <w:r>
        <w:rPr>
          <w:lang w:val="ru-RU"/>
        </w:rPr>
        <w:t xml:space="preserve"> </w:t>
      </w:r>
      <w:r w:rsidRPr="00D32CC3">
        <w:rPr>
          <w:lang w:val="ru-RU"/>
        </w:rPr>
        <w:t>расчета</w:t>
      </w:r>
      <w:r>
        <w:rPr>
          <w:lang w:val="ru-RU"/>
        </w:rPr>
        <w:t xml:space="preserve"> </w:t>
      </w:r>
      <w:r w:rsidRPr="00D32CC3">
        <w:rPr>
          <w:lang w:val="ru-RU"/>
        </w:rPr>
        <w:t>показателей</w:t>
      </w:r>
      <w:r>
        <w:rPr>
          <w:lang w:val="ru-RU"/>
        </w:rPr>
        <w:t xml:space="preserve"> </w:t>
      </w:r>
      <w:r w:rsidRPr="00D32CC3">
        <w:rPr>
          <w:lang w:val="ru-RU"/>
        </w:rPr>
        <w:t>"Доля</w:t>
      </w:r>
      <w:r>
        <w:rPr>
          <w:lang w:val="ru-RU"/>
        </w:rPr>
        <w:t xml:space="preserve"> </w:t>
      </w:r>
      <w:r w:rsidRPr="00D32CC3">
        <w:rPr>
          <w:lang w:val="ru-RU"/>
        </w:rPr>
        <w:t>продукции</w:t>
      </w:r>
      <w:r>
        <w:rPr>
          <w:lang w:val="ru-RU"/>
        </w:rPr>
        <w:t xml:space="preserve"> </w:t>
      </w:r>
      <w:r w:rsidRPr="00D32CC3">
        <w:rPr>
          <w:lang w:val="ru-RU"/>
        </w:rPr>
        <w:t>высокотехнологичных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наукоемких</w:t>
      </w:r>
      <w:r>
        <w:rPr>
          <w:lang w:val="ru-RU"/>
        </w:rPr>
        <w:t xml:space="preserve"> </w:t>
      </w:r>
      <w:r w:rsidRPr="00D32CC3">
        <w:rPr>
          <w:lang w:val="ru-RU"/>
        </w:rPr>
        <w:t>отраслей</w:t>
      </w:r>
      <w:r>
        <w:rPr>
          <w:lang w:val="ru-RU"/>
        </w:rPr>
        <w:t xml:space="preserve"> </w:t>
      </w:r>
      <w:r w:rsidRPr="00D32CC3">
        <w:rPr>
          <w:lang w:val="ru-RU"/>
        </w:rPr>
        <w:t>в</w:t>
      </w:r>
      <w:r>
        <w:rPr>
          <w:lang w:val="ru-RU"/>
        </w:rPr>
        <w:t xml:space="preserve"> </w:t>
      </w:r>
      <w:r w:rsidRPr="00D32CC3">
        <w:rPr>
          <w:lang w:val="ru-RU"/>
        </w:rPr>
        <w:t>валовом</w:t>
      </w:r>
      <w:r>
        <w:rPr>
          <w:lang w:val="ru-RU"/>
        </w:rPr>
        <w:t xml:space="preserve"> </w:t>
      </w:r>
      <w:r w:rsidRPr="00D32CC3">
        <w:rPr>
          <w:lang w:val="ru-RU"/>
        </w:rPr>
        <w:t>внутреннем</w:t>
      </w:r>
      <w:r>
        <w:rPr>
          <w:lang w:val="ru-RU"/>
        </w:rPr>
        <w:t xml:space="preserve"> </w:t>
      </w:r>
      <w:r w:rsidRPr="00D32CC3">
        <w:rPr>
          <w:lang w:val="ru-RU"/>
        </w:rPr>
        <w:t>продукте"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"Доля</w:t>
      </w:r>
      <w:r>
        <w:rPr>
          <w:lang w:val="ru-RU"/>
        </w:rPr>
        <w:t xml:space="preserve"> </w:t>
      </w:r>
      <w:r w:rsidRPr="00D32CC3">
        <w:rPr>
          <w:lang w:val="ru-RU"/>
        </w:rPr>
        <w:t>продукции</w:t>
      </w:r>
      <w:r>
        <w:rPr>
          <w:lang w:val="ru-RU"/>
        </w:rPr>
        <w:t xml:space="preserve"> </w:t>
      </w:r>
      <w:r w:rsidRPr="00D32CC3">
        <w:rPr>
          <w:lang w:val="ru-RU"/>
        </w:rPr>
        <w:t>высокотехнологичных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наукоемких</w:t>
      </w:r>
      <w:r>
        <w:rPr>
          <w:lang w:val="ru-RU"/>
        </w:rPr>
        <w:t xml:space="preserve"> </w:t>
      </w:r>
      <w:r w:rsidRPr="00D32CC3">
        <w:rPr>
          <w:lang w:val="ru-RU"/>
        </w:rPr>
        <w:t>отраслей</w:t>
      </w:r>
      <w:r>
        <w:rPr>
          <w:lang w:val="ru-RU"/>
        </w:rPr>
        <w:t xml:space="preserve"> </w:t>
      </w:r>
      <w:r w:rsidRPr="00D32CC3">
        <w:rPr>
          <w:lang w:val="ru-RU"/>
        </w:rPr>
        <w:t>в</w:t>
      </w:r>
      <w:r>
        <w:rPr>
          <w:lang w:val="ru-RU"/>
        </w:rPr>
        <w:t xml:space="preserve"> </w:t>
      </w:r>
      <w:r w:rsidRPr="00D32CC3">
        <w:rPr>
          <w:lang w:val="ru-RU"/>
        </w:rPr>
        <w:t>валовом</w:t>
      </w:r>
      <w:r>
        <w:rPr>
          <w:lang w:val="ru-RU"/>
        </w:rPr>
        <w:t xml:space="preserve"> </w:t>
      </w:r>
      <w:r w:rsidRPr="00D32CC3">
        <w:rPr>
          <w:lang w:val="ru-RU"/>
        </w:rPr>
        <w:t>региональном</w:t>
      </w:r>
      <w:r>
        <w:rPr>
          <w:lang w:val="ru-RU"/>
        </w:rPr>
        <w:t xml:space="preserve"> </w:t>
      </w:r>
      <w:r w:rsidRPr="00D32CC3">
        <w:rPr>
          <w:lang w:val="ru-RU"/>
        </w:rPr>
        <w:t>продукте</w:t>
      </w:r>
      <w:r>
        <w:rPr>
          <w:lang w:val="ru-RU"/>
        </w:rPr>
        <w:t xml:space="preserve"> </w:t>
      </w:r>
      <w:r w:rsidRPr="00D32CC3">
        <w:rPr>
          <w:lang w:val="ru-RU"/>
        </w:rPr>
        <w:t>субъекта</w:t>
      </w:r>
      <w:r>
        <w:rPr>
          <w:lang w:val="ru-RU"/>
        </w:rPr>
        <w:t xml:space="preserve"> </w:t>
      </w:r>
      <w:r w:rsidRPr="00D32CC3">
        <w:rPr>
          <w:lang w:val="ru-RU"/>
        </w:rPr>
        <w:t>Российской</w:t>
      </w:r>
      <w:r>
        <w:rPr>
          <w:lang w:val="ru-RU"/>
        </w:rPr>
        <w:t xml:space="preserve"> </w:t>
      </w:r>
      <w:r w:rsidRPr="00D32CC3">
        <w:rPr>
          <w:lang w:val="ru-RU"/>
        </w:rPr>
        <w:t>Федерации"</w:t>
      </w:r>
      <w:r>
        <w:rPr>
          <w:lang w:val="ru-RU"/>
        </w:rPr>
        <w:t>».</w:t>
      </w:r>
    </w:p>
  </w:footnote>
  <w:footnote w:id="6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D32CC3">
        <w:rPr>
          <w:lang w:val="ru-RU"/>
        </w:rPr>
        <w:t>Указ</w:t>
      </w:r>
      <w:r>
        <w:rPr>
          <w:lang w:val="ru-RU"/>
        </w:rPr>
        <w:t xml:space="preserve"> </w:t>
      </w:r>
      <w:r w:rsidRPr="00D32CC3">
        <w:rPr>
          <w:lang w:val="ru-RU"/>
        </w:rPr>
        <w:t>Президента</w:t>
      </w:r>
      <w:r>
        <w:rPr>
          <w:lang w:val="ru-RU"/>
        </w:rPr>
        <w:t xml:space="preserve"> </w:t>
      </w:r>
      <w:r w:rsidRPr="00D32CC3">
        <w:rPr>
          <w:lang w:val="ru-RU"/>
        </w:rPr>
        <w:t>РФ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28.02.2024</w:t>
      </w:r>
      <w:r>
        <w:rPr>
          <w:lang w:val="ru-RU"/>
        </w:rPr>
        <w:t xml:space="preserve"> </w:t>
      </w:r>
      <w:r w:rsidRPr="00D32CC3">
        <w:rPr>
          <w:lang w:val="ru-RU"/>
        </w:rPr>
        <w:t>N</w:t>
      </w:r>
      <w:r>
        <w:rPr>
          <w:lang w:val="ru-RU"/>
        </w:rPr>
        <w:t xml:space="preserve"> </w:t>
      </w:r>
      <w:r w:rsidRPr="00D32CC3">
        <w:rPr>
          <w:lang w:val="ru-RU"/>
        </w:rPr>
        <w:t>145</w:t>
      </w:r>
      <w:r>
        <w:rPr>
          <w:lang w:val="ru-RU"/>
        </w:rPr>
        <w:t xml:space="preserve"> </w:t>
      </w:r>
      <w:r w:rsidRPr="00D32CC3">
        <w:rPr>
          <w:lang w:val="ru-RU"/>
        </w:rPr>
        <w:t>"О</w:t>
      </w:r>
      <w:r>
        <w:rPr>
          <w:lang w:val="ru-RU"/>
        </w:rPr>
        <w:t xml:space="preserve"> </w:t>
      </w:r>
      <w:r w:rsidRPr="00D32CC3">
        <w:rPr>
          <w:lang w:val="ru-RU"/>
        </w:rPr>
        <w:t>Стратегии</w:t>
      </w:r>
      <w:r>
        <w:rPr>
          <w:lang w:val="ru-RU"/>
        </w:rPr>
        <w:t xml:space="preserve"> </w:t>
      </w:r>
      <w:r w:rsidRPr="00D32CC3">
        <w:rPr>
          <w:lang w:val="ru-RU"/>
        </w:rPr>
        <w:t>научно-технологического</w:t>
      </w:r>
      <w:r>
        <w:rPr>
          <w:lang w:val="ru-RU"/>
        </w:rPr>
        <w:t xml:space="preserve"> </w:t>
      </w:r>
      <w:r w:rsidRPr="00D32CC3">
        <w:rPr>
          <w:lang w:val="ru-RU"/>
        </w:rPr>
        <w:t>развития</w:t>
      </w:r>
      <w:r>
        <w:rPr>
          <w:lang w:val="ru-RU"/>
        </w:rPr>
        <w:t xml:space="preserve"> </w:t>
      </w:r>
      <w:r w:rsidRPr="00D32CC3">
        <w:rPr>
          <w:lang w:val="ru-RU"/>
        </w:rPr>
        <w:t>Российской</w:t>
      </w:r>
      <w:r>
        <w:rPr>
          <w:lang w:val="ru-RU"/>
        </w:rPr>
        <w:t xml:space="preserve"> </w:t>
      </w:r>
      <w:r w:rsidRPr="00D32CC3">
        <w:rPr>
          <w:lang w:val="ru-RU"/>
        </w:rPr>
        <w:t>Федерации"</w:t>
      </w:r>
    </w:p>
  </w:footnote>
  <w:footnote w:id="7">
    <w:p w:rsidR="00BB42D3" w:rsidRPr="00D32CC3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>
        <w:rPr>
          <w:lang w:val="ru-RU"/>
        </w:rPr>
        <w:t xml:space="preserve"> </w:t>
      </w:r>
      <w:r w:rsidRPr="00D32CC3">
        <w:rPr>
          <w:lang w:val="ru-RU"/>
        </w:rPr>
        <w:t>Распоряжение</w:t>
      </w:r>
      <w:r>
        <w:rPr>
          <w:lang w:val="ru-RU"/>
        </w:rPr>
        <w:t xml:space="preserve"> </w:t>
      </w:r>
      <w:r w:rsidRPr="00D32CC3">
        <w:rPr>
          <w:lang w:val="ru-RU"/>
        </w:rPr>
        <w:t>Правительства</w:t>
      </w:r>
      <w:r>
        <w:rPr>
          <w:lang w:val="ru-RU"/>
        </w:rPr>
        <w:t xml:space="preserve"> </w:t>
      </w:r>
      <w:r w:rsidRPr="00D32CC3">
        <w:rPr>
          <w:lang w:val="ru-RU"/>
        </w:rPr>
        <w:t>РФ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20.05.2023</w:t>
      </w:r>
      <w:r>
        <w:rPr>
          <w:lang w:val="ru-RU"/>
        </w:rPr>
        <w:t xml:space="preserve"> </w:t>
      </w:r>
      <w:r w:rsidRPr="00D32CC3">
        <w:rPr>
          <w:lang w:val="ru-RU"/>
        </w:rPr>
        <w:t>N</w:t>
      </w:r>
      <w:r>
        <w:rPr>
          <w:lang w:val="ru-RU"/>
        </w:rPr>
        <w:t xml:space="preserve"> </w:t>
      </w:r>
      <w:r w:rsidRPr="00D32CC3">
        <w:rPr>
          <w:lang w:val="ru-RU"/>
        </w:rPr>
        <w:t>1315-р</w:t>
      </w:r>
      <w:r>
        <w:rPr>
          <w:lang w:val="ru-RU"/>
        </w:rPr>
        <w:t xml:space="preserve"> </w:t>
      </w:r>
      <w:r w:rsidRPr="00D32CC3">
        <w:rPr>
          <w:lang w:val="ru-RU"/>
        </w:rPr>
        <w:t>(ред.</w:t>
      </w:r>
      <w:r>
        <w:rPr>
          <w:lang w:val="ru-RU"/>
        </w:rPr>
        <w:t xml:space="preserve"> </w:t>
      </w:r>
      <w:r w:rsidRPr="00D32CC3">
        <w:rPr>
          <w:lang w:val="ru-RU"/>
        </w:rPr>
        <w:t>от</w:t>
      </w:r>
      <w:r>
        <w:rPr>
          <w:lang w:val="ru-RU"/>
        </w:rPr>
        <w:t xml:space="preserve"> </w:t>
      </w:r>
      <w:r w:rsidRPr="00D32CC3">
        <w:rPr>
          <w:lang w:val="ru-RU"/>
        </w:rPr>
        <w:t>21.10.2024)</w:t>
      </w:r>
      <w:r>
        <w:rPr>
          <w:lang w:val="ru-RU"/>
        </w:rPr>
        <w:t xml:space="preserve"> </w:t>
      </w:r>
      <w:r w:rsidRPr="00D32CC3">
        <w:rPr>
          <w:lang w:val="ru-RU"/>
        </w:rPr>
        <w:t>&lt;Об</w:t>
      </w:r>
      <w:r>
        <w:rPr>
          <w:lang w:val="ru-RU"/>
        </w:rPr>
        <w:t xml:space="preserve"> </w:t>
      </w:r>
      <w:r w:rsidRPr="00D32CC3">
        <w:rPr>
          <w:lang w:val="ru-RU"/>
        </w:rPr>
        <w:t>утверждении</w:t>
      </w:r>
      <w:r>
        <w:rPr>
          <w:lang w:val="ru-RU"/>
        </w:rPr>
        <w:t xml:space="preserve"> </w:t>
      </w:r>
      <w:r w:rsidRPr="00D32CC3">
        <w:rPr>
          <w:lang w:val="ru-RU"/>
        </w:rPr>
        <w:t>Концепции</w:t>
      </w:r>
      <w:r>
        <w:rPr>
          <w:lang w:val="ru-RU"/>
        </w:rPr>
        <w:t xml:space="preserve"> </w:t>
      </w:r>
      <w:r w:rsidRPr="00D32CC3">
        <w:rPr>
          <w:lang w:val="ru-RU"/>
        </w:rPr>
        <w:t>технологического</w:t>
      </w:r>
      <w:r>
        <w:rPr>
          <w:lang w:val="ru-RU"/>
        </w:rPr>
        <w:t xml:space="preserve"> </w:t>
      </w:r>
      <w:r w:rsidRPr="00D32CC3">
        <w:rPr>
          <w:lang w:val="ru-RU"/>
        </w:rPr>
        <w:t>развития</w:t>
      </w:r>
      <w:r>
        <w:rPr>
          <w:lang w:val="ru-RU"/>
        </w:rPr>
        <w:t xml:space="preserve"> </w:t>
      </w:r>
      <w:r w:rsidRPr="00D32CC3">
        <w:rPr>
          <w:lang w:val="ru-RU"/>
        </w:rPr>
        <w:t>на</w:t>
      </w:r>
      <w:r>
        <w:rPr>
          <w:lang w:val="ru-RU"/>
        </w:rPr>
        <w:t xml:space="preserve"> </w:t>
      </w:r>
      <w:r w:rsidRPr="00D32CC3">
        <w:rPr>
          <w:lang w:val="ru-RU"/>
        </w:rPr>
        <w:t>период</w:t>
      </w:r>
      <w:r>
        <w:rPr>
          <w:lang w:val="ru-RU"/>
        </w:rPr>
        <w:t xml:space="preserve"> </w:t>
      </w:r>
      <w:r w:rsidRPr="00D32CC3">
        <w:rPr>
          <w:lang w:val="ru-RU"/>
        </w:rPr>
        <w:t>до</w:t>
      </w:r>
      <w:r>
        <w:rPr>
          <w:lang w:val="ru-RU"/>
        </w:rPr>
        <w:t xml:space="preserve"> </w:t>
      </w:r>
      <w:r w:rsidRPr="00D32CC3">
        <w:rPr>
          <w:lang w:val="ru-RU"/>
        </w:rPr>
        <w:t>2030</w:t>
      </w:r>
      <w:r>
        <w:rPr>
          <w:lang w:val="ru-RU"/>
        </w:rPr>
        <w:t xml:space="preserve"> </w:t>
      </w:r>
      <w:r w:rsidRPr="00D32CC3">
        <w:rPr>
          <w:lang w:val="ru-RU"/>
        </w:rPr>
        <w:t>года&gt;</w:t>
      </w:r>
      <w:r>
        <w:rPr>
          <w:lang w:val="ru-RU"/>
        </w:rPr>
        <w:t xml:space="preserve"> </w:t>
      </w:r>
      <w:r w:rsidRPr="00D32CC3">
        <w:rPr>
          <w:lang w:val="ru-RU"/>
        </w:rPr>
        <w:t>(вместе</w:t>
      </w:r>
      <w:r>
        <w:rPr>
          <w:lang w:val="ru-RU"/>
        </w:rPr>
        <w:t xml:space="preserve"> </w:t>
      </w:r>
      <w:r w:rsidRPr="00D32CC3">
        <w:rPr>
          <w:lang w:val="ru-RU"/>
        </w:rPr>
        <w:t>с</w:t>
      </w:r>
      <w:r>
        <w:rPr>
          <w:lang w:val="ru-RU"/>
        </w:rPr>
        <w:t xml:space="preserve"> </w:t>
      </w:r>
      <w:r w:rsidRPr="00D32CC3">
        <w:rPr>
          <w:lang w:val="ru-RU"/>
        </w:rPr>
        <w:t>"Концепцией</w:t>
      </w:r>
      <w:r>
        <w:rPr>
          <w:lang w:val="ru-RU"/>
        </w:rPr>
        <w:t xml:space="preserve"> </w:t>
      </w:r>
      <w:r w:rsidRPr="00D32CC3">
        <w:rPr>
          <w:lang w:val="ru-RU"/>
        </w:rPr>
        <w:t>технологического</w:t>
      </w:r>
      <w:r>
        <w:rPr>
          <w:lang w:val="ru-RU"/>
        </w:rPr>
        <w:t xml:space="preserve"> </w:t>
      </w:r>
      <w:r w:rsidRPr="00D32CC3">
        <w:rPr>
          <w:lang w:val="ru-RU"/>
        </w:rPr>
        <w:t>развития</w:t>
      </w:r>
      <w:r>
        <w:rPr>
          <w:lang w:val="ru-RU"/>
        </w:rPr>
        <w:t xml:space="preserve"> </w:t>
      </w:r>
      <w:r w:rsidRPr="00D32CC3">
        <w:rPr>
          <w:lang w:val="ru-RU"/>
        </w:rPr>
        <w:t>на</w:t>
      </w:r>
      <w:r>
        <w:rPr>
          <w:lang w:val="ru-RU"/>
        </w:rPr>
        <w:t xml:space="preserve"> </w:t>
      </w:r>
      <w:r w:rsidRPr="00D32CC3">
        <w:rPr>
          <w:lang w:val="ru-RU"/>
        </w:rPr>
        <w:t>период</w:t>
      </w:r>
      <w:r>
        <w:rPr>
          <w:lang w:val="ru-RU"/>
        </w:rPr>
        <w:t xml:space="preserve"> </w:t>
      </w:r>
      <w:r w:rsidRPr="00D32CC3">
        <w:rPr>
          <w:lang w:val="ru-RU"/>
        </w:rPr>
        <w:t>до</w:t>
      </w:r>
      <w:r>
        <w:rPr>
          <w:lang w:val="ru-RU"/>
        </w:rPr>
        <w:t xml:space="preserve"> </w:t>
      </w:r>
      <w:r w:rsidRPr="00D32CC3">
        <w:rPr>
          <w:lang w:val="ru-RU"/>
        </w:rPr>
        <w:t>2030</w:t>
      </w:r>
      <w:r>
        <w:rPr>
          <w:lang w:val="ru-RU"/>
        </w:rPr>
        <w:t xml:space="preserve"> </w:t>
      </w:r>
      <w:r w:rsidRPr="00D32CC3">
        <w:rPr>
          <w:lang w:val="ru-RU"/>
        </w:rPr>
        <w:t>года")</w:t>
      </w:r>
      <w:r>
        <w:rPr>
          <w:lang w:val="ru-RU"/>
        </w:rPr>
        <w:t>.</w:t>
      </w:r>
    </w:p>
  </w:footnote>
  <w:footnote w:id="8">
    <w:p w:rsidR="00BB42D3" w:rsidRPr="000337C4" w:rsidRDefault="00BB42D3" w:rsidP="00D32CC3">
      <w:pPr>
        <w:pStyle w:val="affa"/>
        <w:ind w:firstLine="709"/>
        <w:jc w:val="both"/>
        <w:rPr>
          <w:lang w:val="ru-RU"/>
        </w:rPr>
      </w:pPr>
      <w:r w:rsidRPr="00D32CC3">
        <w:rPr>
          <w:rStyle w:val="affc"/>
        </w:rPr>
        <w:footnoteRef/>
      </w:r>
      <w:r w:rsidR="000337C4" w:rsidRPr="000337C4">
        <w:rPr>
          <w:rFonts w:cs="Times New Roman"/>
          <w:bCs/>
          <w:iCs/>
          <w:szCs w:val="24"/>
          <w:lang w:val="ru-RU"/>
        </w:rPr>
        <w:t>Источник:</w:t>
      </w:r>
      <w:r w:rsidRPr="000337C4">
        <w:rPr>
          <w:lang w:val="ru-RU"/>
        </w:rPr>
        <w:t xml:space="preserve"> Дополнительное образование взрослых в России</w:t>
      </w:r>
      <w:r w:rsidR="000337C4">
        <w:rPr>
          <w:lang w:val="ru-RU"/>
        </w:rPr>
        <w:t xml:space="preserve">. – </w:t>
      </w:r>
      <w:hyperlink r:id="rId1" w:history="1">
        <w:r w:rsidRPr="000337C4">
          <w:rPr>
            <w:rStyle w:val="aff9"/>
            <w:color w:val="auto"/>
            <w:u w:val="none"/>
            <w:lang w:val="pl-PL"/>
          </w:rPr>
          <w:t>https</w:t>
        </w:r>
        <w:r w:rsidRPr="000337C4">
          <w:rPr>
            <w:rStyle w:val="aff9"/>
            <w:color w:val="auto"/>
            <w:u w:val="none"/>
            <w:lang w:val="ru-RU"/>
          </w:rPr>
          <w:t>://</w:t>
        </w:r>
        <w:r w:rsidRPr="000337C4">
          <w:rPr>
            <w:rStyle w:val="aff9"/>
            <w:color w:val="auto"/>
            <w:u w:val="none"/>
            <w:lang w:val="pl-PL"/>
          </w:rPr>
          <w:t>blog</w:t>
        </w:r>
        <w:r w:rsidRPr="000337C4">
          <w:rPr>
            <w:rStyle w:val="aff9"/>
            <w:color w:val="auto"/>
            <w:u w:val="none"/>
            <w:lang w:val="ru-RU"/>
          </w:rPr>
          <w:t>.</w:t>
        </w:r>
        <w:r w:rsidRPr="000337C4">
          <w:rPr>
            <w:rStyle w:val="aff9"/>
            <w:color w:val="auto"/>
            <w:u w:val="none"/>
            <w:lang w:val="pl-PL"/>
          </w:rPr>
          <w:t>skillbox</w:t>
        </w:r>
        <w:r w:rsidRPr="000337C4">
          <w:rPr>
            <w:rStyle w:val="aff9"/>
            <w:color w:val="auto"/>
            <w:u w:val="none"/>
            <w:lang w:val="ru-RU"/>
          </w:rPr>
          <w:t>.</w:t>
        </w:r>
        <w:r w:rsidRPr="000337C4">
          <w:rPr>
            <w:rStyle w:val="aff9"/>
            <w:color w:val="auto"/>
            <w:u w:val="none"/>
            <w:lang w:val="pl-PL"/>
          </w:rPr>
          <w:t>by</w:t>
        </w:r>
        <w:r w:rsidRPr="000337C4">
          <w:rPr>
            <w:rStyle w:val="aff9"/>
            <w:color w:val="auto"/>
            <w:u w:val="none"/>
            <w:lang w:val="ru-RU"/>
          </w:rPr>
          <w:t>/</w:t>
        </w:r>
        <w:r w:rsidRPr="000337C4">
          <w:rPr>
            <w:rStyle w:val="aff9"/>
            <w:color w:val="auto"/>
            <w:u w:val="none"/>
            <w:lang w:val="pl-PL"/>
          </w:rPr>
          <w:t>obrazovanie</w:t>
        </w:r>
        <w:r w:rsidRPr="000337C4">
          <w:rPr>
            <w:rStyle w:val="aff9"/>
            <w:color w:val="auto"/>
            <w:u w:val="none"/>
            <w:lang w:val="ru-RU"/>
          </w:rPr>
          <w:t>/</w:t>
        </w:r>
        <w:r w:rsidRPr="000337C4">
          <w:rPr>
            <w:rStyle w:val="aff9"/>
            <w:color w:val="auto"/>
            <w:u w:val="none"/>
            <w:lang w:val="pl-PL"/>
          </w:rPr>
          <w:t>dopolnitelnoe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obrazovanie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vzroslyh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v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rossii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skillbox</w:t>
        </w:r>
        <w:r w:rsidRPr="000337C4">
          <w:rPr>
            <w:rStyle w:val="aff9"/>
            <w:color w:val="auto"/>
            <w:u w:val="none"/>
            <w:lang w:val="ru-RU"/>
          </w:rPr>
          <w:t>-</w:t>
        </w:r>
        <w:r w:rsidRPr="000337C4">
          <w:rPr>
            <w:rStyle w:val="aff9"/>
            <w:color w:val="auto"/>
            <w:u w:val="none"/>
            <w:lang w:val="pl-PL"/>
          </w:rPr>
          <w:t>media</w:t>
        </w:r>
        <w:r w:rsidRPr="000337C4">
          <w:rPr>
            <w:rStyle w:val="aff9"/>
            <w:color w:val="auto"/>
            <w:u w:val="none"/>
            <w:lang w:val="ru-RU"/>
          </w:rPr>
          <w:t>/?</w:t>
        </w:r>
        <w:r w:rsidRPr="000337C4">
          <w:rPr>
            <w:rStyle w:val="aff9"/>
            <w:color w:val="auto"/>
            <w:u w:val="none"/>
            <w:lang w:val="pl-PL"/>
          </w:rPr>
          <w:t>ysclid</w:t>
        </w:r>
        <w:r w:rsidRPr="000337C4">
          <w:rPr>
            <w:rStyle w:val="aff9"/>
            <w:color w:val="auto"/>
            <w:u w:val="none"/>
            <w:lang w:val="ru-RU"/>
          </w:rPr>
          <w:t>=</w:t>
        </w:r>
        <w:r w:rsidRPr="000337C4">
          <w:rPr>
            <w:rStyle w:val="aff9"/>
            <w:color w:val="auto"/>
            <w:u w:val="none"/>
            <w:lang w:val="pl-PL"/>
          </w:rPr>
          <w:t>mfv</w:t>
        </w:r>
        <w:r w:rsidRPr="000337C4">
          <w:rPr>
            <w:rStyle w:val="aff9"/>
            <w:color w:val="auto"/>
            <w:u w:val="none"/>
            <w:lang w:val="ru-RU"/>
          </w:rPr>
          <w:t>1</w:t>
        </w:r>
        <w:r w:rsidRPr="000337C4">
          <w:rPr>
            <w:rStyle w:val="aff9"/>
            <w:color w:val="auto"/>
            <w:u w:val="none"/>
            <w:lang w:val="pl-PL"/>
          </w:rPr>
          <w:t>yhiie</w:t>
        </w:r>
        <w:r w:rsidRPr="000337C4">
          <w:rPr>
            <w:rStyle w:val="aff9"/>
            <w:color w:val="auto"/>
            <w:u w:val="none"/>
            <w:lang w:val="ru-RU"/>
          </w:rPr>
          <w:t>6377021063/</w:t>
        </w:r>
      </w:hyperlink>
    </w:p>
  </w:footnote>
  <w:footnote w:id="9">
    <w:p w:rsidR="00A467B6" w:rsidRPr="00D32CC3" w:rsidRDefault="00A467B6" w:rsidP="00A467B6">
      <w:pPr>
        <w:pStyle w:val="affa"/>
        <w:ind w:firstLine="709"/>
        <w:jc w:val="both"/>
        <w:rPr>
          <w:lang w:val="ru-RU"/>
        </w:rPr>
      </w:pPr>
      <w:r w:rsidRPr="00A467B6">
        <w:rPr>
          <w:rStyle w:val="affc"/>
          <w:i/>
        </w:rPr>
        <w:footnoteRef/>
      </w:r>
      <w:r w:rsidRPr="00A467B6">
        <w:rPr>
          <w:i/>
          <w:lang w:val="ru-RU"/>
        </w:rPr>
        <w:t xml:space="preserve"> </w:t>
      </w:r>
      <w:r w:rsidRPr="00A467B6">
        <w:rPr>
          <w:rStyle w:val="af7"/>
          <w:rFonts w:eastAsiaTheme="majorEastAsia"/>
          <w:i w:val="0"/>
          <w:lang w:val="ru-RU"/>
        </w:rPr>
        <w:t>Источник:</w:t>
      </w:r>
      <w:r w:rsidRPr="00D32CC3">
        <w:rPr>
          <w:lang w:val="ru-RU"/>
        </w:rPr>
        <w:t xml:space="preserve"> </w:t>
      </w:r>
      <w:r w:rsidRPr="00A467B6">
        <w:rPr>
          <w:i/>
          <w:lang w:val="ru-RU"/>
        </w:rPr>
        <w:t>Корецкий М.Г., Тукаева Л.Р.</w:t>
      </w:r>
      <w:r>
        <w:rPr>
          <w:lang w:val="ru-RU"/>
        </w:rPr>
        <w:t xml:space="preserve"> </w:t>
      </w:r>
      <w:r w:rsidRPr="00D32CC3">
        <w:rPr>
          <w:lang w:val="ru-RU"/>
        </w:rPr>
        <w:t>Развитие</w:t>
      </w:r>
      <w:r>
        <w:rPr>
          <w:lang w:val="ru-RU"/>
        </w:rPr>
        <w:t xml:space="preserve"> </w:t>
      </w:r>
      <w:r w:rsidRPr="00D32CC3">
        <w:t>STEM</w:t>
      </w:r>
      <w:r>
        <w:rPr>
          <w:lang w:val="ru-RU"/>
        </w:rPr>
        <w:t>-</w:t>
      </w:r>
      <w:r w:rsidRPr="00D32CC3">
        <w:rPr>
          <w:lang w:val="ru-RU"/>
        </w:rPr>
        <w:t>подхода</w:t>
      </w:r>
      <w:r>
        <w:rPr>
          <w:lang w:val="ru-RU"/>
        </w:rPr>
        <w:t xml:space="preserve"> </w:t>
      </w:r>
      <w:r w:rsidRPr="00D32CC3">
        <w:rPr>
          <w:lang w:val="ru-RU"/>
        </w:rPr>
        <w:t>в</w:t>
      </w:r>
      <w:r>
        <w:rPr>
          <w:lang w:val="ru-RU"/>
        </w:rPr>
        <w:t xml:space="preserve"> </w:t>
      </w:r>
      <w:r w:rsidRPr="00D32CC3">
        <w:rPr>
          <w:lang w:val="ru-RU"/>
        </w:rPr>
        <w:t>России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мире</w:t>
      </w:r>
      <w:r>
        <w:rPr>
          <w:lang w:val="ru-RU"/>
        </w:rPr>
        <w:t xml:space="preserve"> // </w:t>
      </w:r>
      <w:r w:rsidRPr="00D32CC3">
        <w:rPr>
          <w:lang w:val="ru-RU"/>
        </w:rPr>
        <w:t>Гуманитарные</w:t>
      </w:r>
      <w:r>
        <w:rPr>
          <w:lang w:val="ru-RU"/>
        </w:rPr>
        <w:t xml:space="preserve"> </w:t>
      </w:r>
      <w:r w:rsidRPr="00D32CC3">
        <w:rPr>
          <w:lang w:val="ru-RU"/>
        </w:rPr>
        <w:t>и</w:t>
      </w:r>
      <w:r>
        <w:rPr>
          <w:lang w:val="ru-RU"/>
        </w:rPr>
        <w:t xml:space="preserve"> </w:t>
      </w:r>
      <w:r w:rsidRPr="00D32CC3">
        <w:rPr>
          <w:lang w:val="ru-RU"/>
        </w:rPr>
        <w:t>социальные</w:t>
      </w:r>
      <w:r>
        <w:rPr>
          <w:lang w:val="ru-RU"/>
        </w:rPr>
        <w:t xml:space="preserve"> </w:t>
      </w:r>
      <w:r w:rsidRPr="00D32CC3">
        <w:rPr>
          <w:lang w:val="ru-RU"/>
        </w:rPr>
        <w:t>науки.</w:t>
      </w:r>
      <w:r>
        <w:rPr>
          <w:lang w:val="ru-RU"/>
        </w:rPr>
        <w:t xml:space="preserve"> – </w:t>
      </w:r>
      <w:r w:rsidRPr="00D32CC3">
        <w:rPr>
          <w:lang w:val="ru-RU"/>
        </w:rPr>
        <w:t>2022.</w:t>
      </w:r>
      <w:r>
        <w:rPr>
          <w:lang w:val="ru-RU"/>
        </w:rPr>
        <w:t xml:space="preserve"> – Т</w:t>
      </w:r>
      <w:r w:rsidRPr="00D32CC3">
        <w:rPr>
          <w:lang w:val="ru-RU"/>
        </w:rPr>
        <w:t>.</w:t>
      </w:r>
      <w:r>
        <w:rPr>
          <w:lang w:val="ru-RU"/>
        </w:rPr>
        <w:t xml:space="preserve"> </w:t>
      </w:r>
      <w:r w:rsidRPr="00D32CC3">
        <w:rPr>
          <w:lang w:val="ru-RU"/>
        </w:rPr>
        <w:t>93</w:t>
      </w:r>
      <w:r>
        <w:rPr>
          <w:lang w:val="ru-RU"/>
        </w:rPr>
        <w:t xml:space="preserve">, </w:t>
      </w:r>
      <w:r w:rsidRPr="00D32CC3">
        <w:rPr>
          <w:lang w:val="ru-RU"/>
        </w:rPr>
        <w:t>№</w:t>
      </w:r>
      <w:r>
        <w:rPr>
          <w:lang w:val="ru-RU"/>
        </w:rPr>
        <w:t xml:space="preserve"> </w:t>
      </w:r>
      <w:r w:rsidRPr="00D32CC3">
        <w:rPr>
          <w:lang w:val="ru-RU"/>
        </w:rPr>
        <w:t>4.</w:t>
      </w:r>
      <w:r>
        <w:rPr>
          <w:lang w:val="ru-RU"/>
        </w:rPr>
        <w:t xml:space="preserve"> – С</w:t>
      </w:r>
      <w:r w:rsidRPr="00D32CC3">
        <w:rPr>
          <w:lang w:val="ru-RU"/>
        </w:rPr>
        <w:t>.</w:t>
      </w:r>
      <w:r>
        <w:rPr>
          <w:lang w:val="ru-RU"/>
        </w:rPr>
        <w:t xml:space="preserve"> </w:t>
      </w:r>
      <w:r w:rsidRPr="00D32CC3">
        <w:rPr>
          <w:lang w:val="ru-RU"/>
        </w:rPr>
        <w:t>1-6</w:t>
      </w:r>
      <w:r>
        <w:rPr>
          <w:lang w:val="ru-RU"/>
        </w:rPr>
        <w:t xml:space="preserve">. – </w:t>
      </w:r>
      <w:r w:rsidRPr="00A467B6">
        <w:rPr>
          <w:lang w:val="ru-RU"/>
        </w:rPr>
        <w:t>https://cyberleninka.ru/article/n/razvitie-stem-podhoda-v-rossii-i-mire</w:t>
      </w:r>
    </w:p>
  </w:footnote>
  <w:footnote w:id="10">
    <w:p w:rsidR="00C26CC1" w:rsidRPr="00C26CC1" w:rsidRDefault="00C26CC1">
      <w:pPr>
        <w:pStyle w:val="affa"/>
        <w:rPr>
          <w:lang w:val="ru-RU"/>
        </w:rPr>
      </w:pPr>
      <w:r>
        <w:rPr>
          <w:rStyle w:val="affc"/>
        </w:rPr>
        <w:footnoteRef/>
      </w:r>
      <w:r w:rsidRPr="00C26CC1">
        <w:rPr>
          <w:lang w:val="ru-RU"/>
        </w:rPr>
        <w:t xml:space="preserve"> </w:t>
      </w:r>
      <w:r w:rsidRPr="00D32CC3">
        <w:rPr>
          <w:rFonts w:cs="Times New Roman"/>
          <w:bCs/>
          <w:szCs w:val="24"/>
          <w:lang w:val="ru-RU"/>
        </w:rPr>
        <w:t xml:space="preserve">Источник: </w:t>
      </w:r>
      <w:r w:rsidRPr="00D32CC3">
        <w:rPr>
          <w:lang w:val="ru-RU"/>
        </w:rPr>
        <w:t>Агентство</w:t>
      </w:r>
      <w:r>
        <w:rPr>
          <w:lang w:val="ru-RU"/>
        </w:rPr>
        <w:t xml:space="preserve"> </w:t>
      </w:r>
      <w:r w:rsidRPr="00D32CC3">
        <w:rPr>
          <w:lang w:val="ru-RU"/>
        </w:rPr>
        <w:t>стратегических</w:t>
      </w:r>
      <w:r>
        <w:rPr>
          <w:lang w:val="ru-RU"/>
        </w:rPr>
        <w:t xml:space="preserve"> </w:t>
      </w:r>
      <w:r w:rsidRPr="00D32CC3">
        <w:rPr>
          <w:lang w:val="ru-RU"/>
        </w:rPr>
        <w:t>инициатив</w:t>
      </w:r>
      <w:r>
        <w:rPr>
          <w:lang w:val="ru-RU"/>
        </w:rPr>
        <w:t>. –</w:t>
      </w:r>
      <w:r w:rsidRPr="00C26CC1">
        <w:rPr>
          <w:lang w:val="ru-RU"/>
        </w:rPr>
        <w:t xml:space="preserve"> </w:t>
      </w:r>
      <w:r w:rsidRPr="00C26CC1">
        <w:rPr>
          <w:lang w:val="pl-PL"/>
        </w:rPr>
        <w:t>https</w:t>
      </w:r>
      <w:r w:rsidRPr="00C26CC1">
        <w:rPr>
          <w:lang w:val="ru-RU"/>
        </w:rPr>
        <w:t>://</w:t>
      </w:r>
      <w:r w:rsidRPr="00C26CC1">
        <w:rPr>
          <w:lang w:val="pl-PL"/>
        </w:rPr>
        <w:t>asi</w:t>
      </w:r>
      <w:r w:rsidRPr="00C26CC1">
        <w:rPr>
          <w:lang w:val="ru-RU"/>
        </w:rPr>
        <w:t>.</w:t>
      </w:r>
      <w:r w:rsidRPr="00C26CC1">
        <w:rPr>
          <w:lang w:val="pl-PL"/>
        </w:rPr>
        <w:t>ru</w:t>
      </w:r>
      <w:r w:rsidRPr="00C26CC1">
        <w:rPr>
          <w:lang w:val="ru-RU"/>
        </w:rPr>
        <w:t>/</w:t>
      </w:r>
      <w:r w:rsidRPr="00C26CC1">
        <w:rPr>
          <w:lang w:val="pl-PL"/>
        </w:rPr>
        <w:t>library</w:t>
      </w:r>
      <w:r w:rsidRPr="00C26CC1">
        <w:rPr>
          <w:lang w:val="ru-RU"/>
        </w:rPr>
        <w:t>/?</w:t>
      </w:r>
      <w:r w:rsidRPr="00C26CC1">
        <w:rPr>
          <w:lang w:val="pl-PL"/>
        </w:rPr>
        <w:t>tag</w:t>
      </w:r>
      <w:r w:rsidRPr="00C26CC1">
        <w:rPr>
          <w:lang w:val="ru-RU"/>
        </w:rPr>
        <w:t>=%23</w:t>
      </w:r>
      <w:r w:rsidRPr="00D32CC3">
        <w:rPr>
          <w:lang w:val="ru-RU"/>
        </w:rPr>
        <w:t>годовой</w:t>
      </w:r>
      <w:r w:rsidRPr="00C26CC1">
        <w:rPr>
          <w:lang w:val="ru-RU"/>
        </w:rPr>
        <w:t>_</w:t>
      </w:r>
      <w:r w:rsidRPr="00D32CC3">
        <w:rPr>
          <w:lang w:val="ru-RU"/>
        </w:rPr>
        <w:t>отчет</w:t>
      </w:r>
      <w:r w:rsidRPr="00C26CC1">
        <w:rPr>
          <w:lang w:val="ru-RU"/>
        </w:rPr>
        <w:t>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C4882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2A79"/>
    <w:rsid w:val="00020204"/>
    <w:rsid w:val="000337C4"/>
    <w:rsid w:val="00034616"/>
    <w:rsid w:val="000361E4"/>
    <w:rsid w:val="0006063C"/>
    <w:rsid w:val="00094A22"/>
    <w:rsid w:val="000A047A"/>
    <w:rsid w:val="000E7D62"/>
    <w:rsid w:val="000F209A"/>
    <w:rsid w:val="00112288"/>
    <w:rsid w:val="0015074B"/>
    <w:rsid w:val="00177F6C"/>
    <w:rsid w:val="001858AE"/>
    <w:rsid w:val="001A6D23"/>
    <w:rsid w:val="001C559F"/>
    <w:rsid w:val="001F3385"/>
    <w:rsid w:val="001F77CC"/>
    <w:rsid w:val="00250E05"/>
    <w:rsid w:val="0026485E"/>
    <w:rsid w:val="0029639D"/>
    <w:rsid w:val="002B402D"/>
    <w:rsid w:val="002C07C2"/>
    <w:rsid w:val="00313FC1"/>
    <w:rsid w:val="00326F90"/>
    <w:rsid w:val="0032781E"/>
    <w:rsid w:val="00400D14"/>
    <w:rsid w:val="00420588"/>
    <w:rsid w:val="00426C80"/>
    <w:rsid w:val="00445BCF"/>
    <w:rsid w:val="004829BF"/>
    <w:rsid w:val="00494CE7"/>
    <w:rsid w:val="004A177C"/>
    <w:rsid w:val="004C58B8"/>
    <w:rsid w:val="004D53B6"/>
    <w:rsid w:val="0054544C"/>
    <w:rsid w:val="005A3094"/>
    <w:rsid w:val="005F266E"/>
    <w:rsid w:val="00624A24"/>
    <w:rsid w:val="006C1E99"/>
    <w:rsid w:val="006D1E8E"/>
    <w:rsid w:val="006F564A"/>
    <w:rsid w:val="00783135"/>
    <w:rsid w:val="007C0209"/>
    <w:rsid w:val="007C43D8"/>
    <w:rsid w:val="008D131D"/>
    <w:rsid w:val="00930BE4"/>
    <w:rsid w:val="00A12113"/>
    <w:rsid w:val="00A467B6"/>
    <w:rsid w:val="00AA1D8D"/>
    <w:rsid w:val="00AA2855"/>
    <w:rsid w:val="00AB302C"/>
    <w:rsid w:val="00AC5095"/>
    <w:rsid w:val="00B47730"/>
    <w:rsid w:val="00BB42D3"/>
    <w:rsid w:val="00BC19F3"/>
    <w:rsid w:val="00BF5B57"/>
    <w:rsid w:val="00C118F6"/>
    <w:rsid w:val="00C22402"/>
    <w:rsid w:val="00C26CC1"/>
    <w:rsid w:val="00C64ECF"/>
    <w:rsid w:val="00CB0664"/>
    <w:rsid w:val="00D32CC3"/>
    <w:rsid w:val="00DD44DA"/>
    <w:rsid w:val="00E05835"/>
    <w:rsid w:val="00E91199"/>
    <w:rsid w:val="00EA4230"/>
    <w:rsid w:val="00EC0AFD"/>
    <w:rsid w:val="00EF617C"/>
    <w:rsid w:val="00FC502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5B57"/>
    <w:pPr>
      <w:spacing w:line="360" w:lineRule="auto"/>
      <w:ind w:firstLine="36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426C80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ru-RU" w:eastAsia="ru-RU"/>
    </w:rPr>
  </w:style>
  <w:style w:type="character" w:customStyle="1" w:styleId="reference-text">
    <w:name w:val="reference-text"/>
    <w:basedOn w:val="a2"/>
    <w:rsid w:val="00BC19F3"/>
  </w:style>
  <w:style w:type="character" w:styleId="aff9">
    <w:name w:val="Hyperlink"/>
    <w:basedOn w:val="a2"/>
    <w:uiPriority w:val="99"/>
    <w:unhideWhenUsed/>
    <w:rsid w:val="00BC19F3"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rsid w:val="00094A22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sid w:val="00094A22"/>
    <w:rPr>
      <w:rFonts w:ascii="Times New Roman" w:eastAsia="Times New Roman" w:hAnsi="Times New Roman"/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094A22"/>
    <w:rPr>
      <w:vertAlign w:val="superscript"/>
    </w:rPr>
  </w:style>
  <w:style w:type="paragraph" w:styleId="affd">
    <w:name w:val="Balloon Text"/>
    <w:basedOn w:val="a1"/>
    <w:link w:val="affe"/>
    <w:uiPriority w:val="99"/>
    <w:semiHidden/>
    <w:unhideWhenUsed/>
    <w:rsid w:val="003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3278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5B57"/>
    <w:pPr>
      <w:spacing w:line="360" w:lineRule="auto"/>
      <w:ind w:firstLine="36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426C80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ru-RU" w:eastAsia="ru-RU"/>
    </w:rPr>
  </w:style>
  <w:style w:type="character" w:customStyle="1" w:styleId="reference-text">
    <w:name w:val="reference-text"/>
    <w:basedOn w:val="a2"/>
    <w:rsid w:val="00BC19F3"/>
  </w:style>
  <w:style w:type="character" w:styleId="aff9">
    <w:name w:val="Hyperlink"/>
    <w:basedOn w:val="a2"/>
    <w:uiPriority w:val="99"/>
    <w:unhideWhenUsed/>
    <w:rsid w:val="00BC19F3"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rsid w:val="00094A22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sid w:val="00094A22"/>
    <w:rPr>
      <w:rFonts w:ascii="Times New Roman" w:eastAsia="Times New Roman" w:hAnsi="Times New Roman"/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094A22"/>
    <w:rPr>
      <w:vertAlign w:val="superscript"/>
    </w:rPr>
  </w:style>
  <w:style w:type="paragraph" w:styleId="affd">
    <w:name w:val="Balloon Text"/>
    <w:basedOn w:val="a1"/>
    <w:link w:val="affe"/>
    <w:uiPriority w:val="99"/>
    <w:semiHidden/>
    <w:unhideWhenUsed/>
    <w:rsid w:val="003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3278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skillbox.by/obrazovanie/dopolnitelnoe-obrazovanie-vzroslyh-v-rossii-skillbox-media/?ysclid=mfv1yhiie6377021063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6;&#1092;&#1077;&#1088;&#1077;&#1085;&#1094;&#1080;&#1103;%20&#1041;&#1056;&#1048;&#1050;&#1057;\&#1056;&#1080;&#1089;&#1091;&#1085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Доля!$C$3</c:f>
              <c:strCache>
                <c:ptCount val="1"/>
                <c:pt idx="0">
                  <c:v>Доля, %</c:v>
                </c:pt>
              </c:strCache>
            </c:strRef>
          </c:tx>
          <c:marker>
            <c:symbol val="none"/>
          </c:marker>
          <c:cat>
            <c:numRef>
              <c:f>Доля!$B$4:$B$10</c:f>
              <c:numCache>
                <c:formatCode>General</c:formatCode>
                <c:ptCount val="7"/>
                <c:pt idx="0">
                  <c:v>2023</c:v>
                </c:pt>
                <c:pt idx="1">
                  <c:v>2025</c:v>
                </c:pt>
                <c:pt idx="2">
                  <c:v>2027</c:v>
                </c:pt>
                <c:pt idx="3">
                  <c:v>2029</c:v>
                </c:pt>
                <c:pt idx="4">
                  <c:v>2031</c:v>
                </c:pt>
                <c:pt idx="5">
                  <c:v>2033</c:v>
                </c:pt>
                <c:pt idx="6">
                  <c:v>2035</c:v>
                </c:pt>
              </c:numCache>
            </c:numRef>
          </c:cat>
          <c:val>
            <c:numRef>
              <c:f>Доля!$C$4:$C$10</c:f>
              <c:numCache>
                <c:formatCode>0%</c:formatCode>
                <c:ptCount val="7"/>
                <c:pt idx="0">
                  <c:v>0.35000000000000014</c:v>
                </c:pt>
                <c:pt idx="1">
                  <c:v>0.42000000000000015</c:v>
                </c:pt>
                <c:pt idx="2">
                  <c:v>0.5</c:v>
                </c:pt>
                <c:pt idx="3">
                  <c:v>0.58000000000000029</c:v>
                </c:pt>
                <c:pt idx="4">
                  <c:v>0.62000000000000033</c:v>
                </c:pt>
                <c:pt idx="5">
                  <c:v>0.70000000000000029</c:v>
                </c:pt>
                <c:pt idx="6">
                  <c:v>0.70000000000000029</c:v>
                </c:pt>
              </c:numCache>
            </c:numRef>
          </c:val>
        </c:ser>
        <c:dropLines/>
        <c:marker val="1"/>
        <c:axId val="13246848"/>
        <c:axId val="13249152"/>
      </c:lineChart>
      <c:catAx>
        <c:axId val="13246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13249152"/>
        <c:crosses val="autoZero"/>
        <c:auto val="1"/>
        <c:lblAlgn val="ctr"/>
        <c:lblOffset val="100"/>
      </c:catAx>
      <c:valAx>
        <c:axId val="13249152"/>
        <c:scaling>
          <c:orientation val="minMax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отечественных технологий, %</a:t>
                </a:r>
              </a:p>
            </c:rich>
          </c:tx>
          <c:layout/>
        </c:title>
        <c:numFmt formatCode="0%" sourceLinked="1"/>
        <c:tickLblPos val="nextTo"/>
        <c:crossAx val="1324684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Импорт!$C$3</c:f>
              <c:strCache>
                <c:ptCount val="1"/>
                <c:pt idx="0">
                  <c:v>Доля импорта, %</c:v>
                </c:pt>
              </c:strCache>
            </c:strRef>
          </c:tx>
          <c:marker>
            <c:symbol val="none"/>
          </c:marker>
          <c:cat>
            <c:numRef>
              <c:f>Импорт!$B$4:$B$12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Импорт!$C$4:$C$12</c:f>
              <c:numCache>
                <c:formatCode>0%</c:formatCode>
                <c:ptCount val="9"/>
                <c:pt idx="0">
                  <c:v>0.70000000000000029</c:v>
                </c:pt>
                <c:pt idx="1">
                  <c:v>0.68</c:v>
                </c:pt>
                <c:pt idx="2">
                  <c:v>0.6760000000000006</c:v>
                </c:pt>
                <c:pt idx="3">
                  <c:v>0.67000000000000048</c:v>
                </c:pt>
                <c:pt idx="4">
                  <c:v>0.65200000000000036</c:v>
                </c:pt>
                <c:pt idx="5">
                  <c:v>0.65000000000000036</c:v>
                </c:pt>
                <c:pt idx="6">
                  <c:v>0.62500000000000033</c:v>
                </c:pt>
                <c:pt idx="7">
                  <c:v>0.62400000000000033</c:v>
                </c:pt>
                <c:pt idx="8">
                  <c:v>0.60000000000000031</c:v>
                </c:pt>
              </c:numCache>
            </c:numRef>
          </c:val>
        </c:ser>
        <c:dropLines/>
        <c:marker val="1"/>
        <c:axId val="13273344"/>
        <c:axId val="13279616"/>
      </c:lineChart>
      <c:catAx>
        <c:axId val="132733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13279616"/>
        <c:crosses val="autoZero"/>
        <c:auto val="1"/>
        <c:lblAlgn val="ctr"/>
        <c:lblOffset val="100"/>
      </c:catAx>
      <c:valAx>
        <c:axId val="132796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импорта, %</a:t>
                </a:r>
              </a:p>
            </c:rich>
          </c:tx>
          <c:layout/>
        </c:title>
        <c:numFmt formatCode="0%" sourceLinked="1"/>
        <c:tickLblPos val="nextTo"/>
        <c:crossAx val="1327334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Вузы!$C$4</c:f>
              <c:strCache>
                <c:ptCount val="1"/>
                <c:pt idx="0">
                  <c:v>Доля вузов, %</c:v>
                </c:pt>
              </c:strCache>
            </c:strRef>
          </c:tx>
          <c:marker>
            <c:symbol val="none"/>
          </c:marker>
          <c:cat>
            <c:numRef>
              <c:f>Вузы!$B$5:$B$8</c:f>
              <c:numCache>
                <c:formatCode>General</c:formatCode>
                <c:ptCount val="4"/>
                <c:pt idx="0">
                  <c:v>2015</c:v>
                </c:pt>
                <c:pt idx="1">
                  <c:v>2018</c:v>
                </c:pt>
                <c:pt idx="2">
                  <c:v>2020</c:v>
                </c:pt>
                <c:pt idx="3">
                  <c:v>2023</c:v>
                </c:pt>
              </c:numCache>
            </c:numRef>
          </c:cat>
          <c:val>
            <c:numRef>
              <c:f>Вузы!$C$5:$C$8</c:f>
              <c:numCache>
                <c:formatCode>0%</c:formatCode>
                <c:ptCount val="4"/>
                <c:pt idx="0">
                  <c:v>0.15000000000000008</c:v>
                </c:pt>
                <c:pt idx="1">
                  <c:v>0.28000000000000008</c:v>
                </c:pt>
                <c:pt idx="2">
                  <c:v>0.43000000000000016</c:v>
                </c:pt>
                <c:pt idx="3">
                  <c:v>0.68</c:v>
                </c:pt>
              </c:numCache>
            </c:numRef>
          </c:val>
        </c:ser>
        <c:dropLines/>
        <c:marker val="1"/>
        <c:axId val="73762688"/>
        <c:axId val="75149312"/>
      </c:lineChart>
      <c:catAx>
        <c:axId val="73762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75149312"/>
        <c:crosses val="autoZero"/>
        <c:auto val="1"/>
        <c:lblAlgn val="ctr"/>
        <c:lblOffset val="100"/>
      </c:catAx>
      <c:valAx>
        <c:axId val="75149312"/>
        <c:scaling>
          <c:orientation val="minMax"/>
          <c:max val="0.7000000000000004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вузов, %</a:t>
                </a:r>
              </a:p>
            </c:rich>
          </c:tx>
          <c:layout/>
        </c:title>
        <c:numFmt formatCode="0%" sourceLinked="1"/>
        <c:tickLblPos val="nextTo"/>
        <c:crossAx val="7376268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'Доп обр'!$C$3</c:f>
              <c:strCache>
                <c:ptCount val="1"/>
                <c:pt idx="0">
                  <c:v>Участие, %</c:v>
                </c:pt>
              </c:strCache>
            </c:strRef>
          </c:tx>
          <c:marker>
            <c:symbol val="none"/>
          </c:marker>
          <c:cat>
            <c:numRef>
              <c:f>'Доп обр'!$B$4:$B$7</c:f>
              <c:numCache>
                <c:formatCode>General</c:formatCode>
                <c:ptCount val="4"/>
                <c:pt idx="0">
                  <c:v>2015</c:v>
                </c:pt>
                <c:pt idx="1">
                  <c:v>2018</c:v>
                </c:pt>
                <c:pt idx="2">
                  <c:v>2020</c:v>
                </c:pt>
                <c:pt idx="3">
                  <c:v>2023</c:v>
                </c:pt>
              </c:numCache>
            </c:numRef>
          </c:cat>
          <c:val>
            <c:numRef>
              <c:f>'Доп обр'!$C$4:$C$7</c:f>
              <c:numCache>
                <c:formatCode>0%</c:formatCode>
                <c:ptCount val="4"/>
                <c:pt idx="0">
                  <c:v>0.22</c:v>
                </c:pt>
                <c:pt idx="1">
                  <c:v>0.25</c:v>
                </c:pt>
                <c:pt idx="2">
                  <c:v>0.28000000000000008</c:v>
                </c:pt>
                <c:pt idx="3">
                  <c:v>0.37000000000000016</c:v>
                </c:pt>
              </c:numCache>
            </c:numRef>
          </c:val>
        </c:ser>
        <c:dropLines/>
        <c:marker val="1"/>
        <c:axId val="76885376"/>
        <c:axId val="76887552"/>
      </c:lineChart>
      <c:catAx>
        <c:axId val="76885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76887552"/>
        <c:crosses val="autoZero"/>
        <c:auto val="1"/>
        <c:lblAlgn val="ctr"/>
        <c:lblOffset val="100"/>
      </c:catAx>
      <c:valAx>
        <c:axId val="76887552"/>
        <c:scaling>
          <c:orientation val="minMax"/>
          <c:min val="0.1500000000000001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Участие, %</a:t>
                </a:r>
              </a:p>
            </c:rich>
          </c:tx>
          <c:layout/>
        </c:title>
        <c:numFmt formatCode="0%" sourceLinked="1"/>
        <c:tickLblPos val="nextTo"/>
        <c:crossAx val="76885376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Выпускники!$C$3</c:f>
              <c:strCache>
                <c:ptCount val="1"/>
                <c:pt idx="0">
                  <c:v>Участие, %</c:v>
                </c:pt>
              </c:strCache>
            </c:strRef>
          </c:tx>
          <c:marker>
            <c:symbol val="none"/>
          </c:marker>
          <c:cat>
            <c:numRef>
              <c:f>Выпускники!$B$4:$B$7</c:f>
              <c:numCache>
                <c:formatCode>General</c:formatCode>
                <c:ptCount val="4"/>
                <c:pt idx="0">
                  <c:v>2015</c:v>
                </c:pt>
                <c:pt idx="1">
                  <c:v>2018</c:v>
                </c:pt>
                <c:pt idx="2">
                  <c:v>2020</c:v>
                </c:pt>
                <c:pt idx="3">
                  <c:v>2023</c:v>
                </c:pt>
              </c:numCache>
            </c:numRef>
          </c:cat>
          <c:val>
            <c:numRef>
              <c:f>Выпускники!$C$4:$C$7</c:f>
              <c:numCache>
                <c:formatCode>0%</c:formatCode>
                <c:ptCount val="4"/>
                <c:pt idx="0">
                  <c:v>0.18000000000000008</c:v>
                </c:pt>
                <c:pt idx="1">
                  <c:v>0.22</c:v>
                </c:pt>
                <c:pt idx="2">
                  <c:v>0.24000000000000007</c:v>
                </c:pt>
                <c:pt idx="3">
                  <c:v>0.27600000000000002</c:v>
                </c:pt>
              </c:numCache>
            </c:numRef>
          </c:val>
        </c:ser>
        <c:dropLines/>
        <c:marker val="1"/>
        <c:axId val="76924032"/>
        <c:axId val="76925952"/>
      </c:lineChart>
      <c:catAx>
        <c:axId val="76924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76925952"/>
        <c:crosses val="autoZero"/>
        <c:auto val="1"/>
        <c:lblAlgn val="ctr"/>
        <c:lblOffset val="100"/>
      </c:catAx>
      <c:valAx>
        <c:axId val="76925952"/>
        <c:scaling>
          <c:orientation val="minMax"/>
          <c:min val="0.1500000000000001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выпускников, %</a:t>
                </a:r>
              </a:p>
            </c:rich>
          </c:tx>
          <c:layout/>
        </c:title>
        <c:numFmt formatCode="0%" sourceLinked="1"/>
        <c:tickLblPos val="nextTo"/>
        <c:crossAx val="76924032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1"/>
          <c:order val="0"/>
          <c:tx>
            <c:strRef>
              <c:f>Участники!$C$3</c:f>
              <c:strCache>
                <c:ptCount val="1"/>
                <c:pt idx="0">
                  <c:v>Участие, %</c:v>
                </c:pt>
              </c:strCache>
            </c:strRef>
          </c:tx>
          <c:marker>
            <c:symbol val="none"/>
          </c:marker>
          <c:cat>
            <c:numRef>
              <c:f>Участники!$B$4:$B$7</c:f>
              <c:numCache>
                <c:formatCode>General</c:formatCode>
                <c:ptCount val="4"/>
                <c:pt idx="0">
                  <c:v>2015</c:v>
                </c:pt>
                <c:pt idx="1">
                  <c:v>2018</c:v>
                </c:pt>
                <c:pt idx="2">
                  <c:v>2020</c:v>
                </c:pt>
                <c:pt idx="3">
                  <c:v>2023</c:v>
                </c:pt>
              </c:numCache>
            </c:numRef>
          </c:cat>
          <c:val>
            <c:numRef>
              <c:f>Участники!$C$4:$C$7</c:f>
              <c:numCache>
                <c:formatCode>0%</c:formatCode>
                <c:ptCount val="4"/>
                <c:pt idx="0">
                  <c:v>0.43000000000000016</c:v>
                </c:pt>
                <c:pt idx="1">
                  <c:v>0.68</c:v>
                </c:pt>
                <c:pt idx="2">
                  <c:v>0.94000000000000028</c:v>
                </c:pt>
                <c:pt idx="3">
                  <c:v>1.4</c:v>
                </c:pt>
              </c:numCache>
            </c:numRef>
          </c:val>
        </c:ser>
        <c:dropLines/>
        <c:marker val="1"/>
        <c:axId val="76937856"/>
        <c:axId val="76825344"/>
      </c:lineChart>
      <c:catAx>
        <c:axId val="76937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76825344"/>
        <c:crosses val="autoZero"/>
        <c:auto val="1"/>
        <c:lblAlgn val="ctr"/>
        <c:lblOffset val="100"/>
      </c:catAx>
      <c:valAx>
        <c:axId val="76825344"/>
        <c:scaling>
          <c:orientation val="minMax"/>
          <c:min val="0.1500000000000001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Число участников конкурсов, тыс. чел</a:t>
                </a:r>
              </a:p>
            </c:rich>
          </c:tx>
          <c:layout/>
        </c:title>
        <c:numFmt formatCode="0%" sourceLinked="1"/>
        <c:tickLblPos val="nextTo"/>
        <c:crossAx val="7693785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4275D-4D7A-468C-A7EF-083A4201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21</Pages>
  <Words>5467</Words>
  <Characters>31163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Владимир</cp:lastModifiedBy>
  <cp:revision>6</cp:revision>
  <dcterms:created xsi:type="dcterms:W3CDTF">2025-09-22T13:09:00Z</dcterms:created>
  <dcterms:modified xsi:type="dcterms:W3CDTF">2025-10-13T08:57:00Z</dcterms:modified>
</cp:coreProperties>
</file>