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B8" w:rsidRPr="002C7C95" w:rsidRDefault="00305259" w:rsidP="002C7C95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C7C95">
        <w:rPr>
          <w:rFonts w:ascii="Times New Roman" w:hAnsi="Times New Roman"/>
          <w:b/>
          <w:i/>
          <w:sz w:val="24"/>
          <w:szCs w:val="24"/>
        </w:rPr>
        <w:t>Богдан</w:t>
      </w:r>
      <w:r w:rsidR="002C7C95" w:rsidRPr="002C7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C7C95">
        <w:rPr>
          <w:rFonts w:ascii="Times New Roman" w:hAnsi="Times New Roman"/>
          <w:b/>
          <w:i/>
          <w:sz w:val="24"/>
          <w:szCs w:val="24"/>
        </w:rPr>
        <w:t>Н.И.</w:t>
      </w:r>
    </w:p>
    <w:p w:rsidR="00305259" w:rsidRPr="002C7C95" w:rsidRDefault="00305259" w:rsidP="002C7C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C95">
        <w:rPr>
          <w:rFonts w:ascii="Times New Roman" w:hAnsi="Times New Roman"/>
          <w:sz w:val="24"/>
          <w:szCs w:val="24"/>
        </w:rPr>
        <w:t>д.э.н</w:t>
      </w:r>
      <w:r w:rsidR="0036641C" w:rsidRPr="002C7C95">
        <w:rPr>
          <w:rFonts w:ascii="Times New Roman" w:hAnsi="Times New Roman"/>
          <w:sz w:val="24"/>
          <w:szCs w:val="24"/>
        </w:rPr>
        <w:t>.</w:t>
      </w:r>
      <w:r w:rsidRPr="002C7C95">
        <w:rPr>
          <w:rFonts w:ascii="Times New Roman" w:hAnsi="Times New Roman"/>
          <w:sz w:val="24"/>
          <w:szCs w:val="24"/>
        </w:rPr>
        <w:t>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профессор,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Белорусский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государственный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экономический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университет</w:t>
      </w:r>
      <w:r w:rsidR="002C7C95">
        <w:rPr>
          <w:rFonts w:ascii="Times New Roman" w:hAnsi="Times New Roman"/>
          <w:sz w:val="24"/>
          <w:szCs w:val="24"/>
        </w:rPr>
        <w:t xml:space="preserve">,  </w:t>
      </w:r>
      <w:r w:rsidRPr="002C7C95">
        <w:rPr>
          <w:rFonts w:ascii="Times New Roman" w:hAnsi="Times New Roman"/>
          <w:sz w:val="24"/>
          <w:szCs w:val="24"/>
        </w:rPr>
        <w:t>Минск</w:t>
      </w:r>
    </w:p>
    <w:p w:rsidR="00305259" w:rsidRPr="002C7C95" w:rsidRDefault="00305259" w:rsidP="002C7C95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13B8" w:rsidRPr="002C7C95" w:rsidRDefault="00305259" w:rsidP="002C7C95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C7C95">
        <w:rPr>
          <w:rFonts w:ascii="Times New Roman" w:hAnsi="Times New Roman"/>
          <w:b/>
          <w:bCs/>
          <w:sz w:val="24"/>
          <w:szCs w:val="24"/>
        </w:rPr>
        <w:t>УПРАВЛЕНИЕ</w:t>
      </w:r>
      <w:r w:rsidR="002C7C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7C95">
        <w:rPr>
          <w:rFonts w:ascii="Times New Roman" w:hAnsi="Times New Roman"/>
          <w:b/>
          <w:bCs/>
          <w:sz w:val="24"/>
          <w:szCs w:val="24"/>
        </w:rPr>
        <w:t>ИННОВАЦИЯМИ</w:t>
      </w:r>
      <w:r w:rsidR="002C7C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7C95">
        <w:rPr>
          <w:rFonts w:ascii="Times New Roman" w:hAnsi="Times New Roman"/>
          <w:b/>
          <w:bCs/>
          <w:sz w:val="24"/>
          <w:szCs w:val="24"/>
        </w:rPr>
        <w:t>И</w:t>
      </w:r>
      <w:r w:rsidR="002C7C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7C95">
        <w:rPr>
          <w:rFonts w:ascii="Times New Roman" w:hAnsi="Times New Roman"/>
          <w:b/>
          <w:bCs/>
          <w:sz w:val="24"/>
          <w:szCs w:val="24"/>
        </w:rPr>
        <w:t>ТЕХНОЛОГИЯМИ</w:t>
      </w:r>
      <w:r w:rsidR="002C7C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7C95">
        <w:rPr>
          <w:rFonts w:ascii="Times New Roman" w:hAnsi="Times New Roman"/>
          <w:b/>
          <w:bCs/>
          <w:sz w:val="24"/>
          <w:szCs w:val="24"/>
        </w:rPr>
        <w:t>В</w:t>
      </w:r>
      <w:r w:rsidR="002C7C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7C95">
        <w:rPr>
          <w:rFonts w:ascii="Times New Roman" w:hAnsi="Times New Roman"/>
          <w:b/>
          <w:bCs/>
          <w:sz w:val="24"/>
          <w:szCs w:val="24"/>
        </w:rPr>
        <w:t>СОЮЗНОМ</w:t>
      </w:r>
      <w:r w:rsidR="002C7C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7C95">
        <w:rPr>
          <w:rFonts w:ascii="Times New Roman" w:hAnsi="Times New Roman"/>
          <w:b/>
          <w:bCs/>
          <w:sz w:val="24"/>
          <w:szCs w:val="24"/>
        </w:rPr>
        <w:tab/>
      </w:r>
      <w:r w:rsidRPr="002C7C95">
        <w:rPr>
          <w:rFonts w:ascii="Times New Roman" w:hAnsi="Times New Roman"/>
          <w:b/>
          <w:bCs/>
          <w:sz w:val="24"/>
          <w:szCs w:val="24"/>
        </w:rPr>
        <w:t>ГОСУДАРСТВЕ</w:t>
      </w:r>
      <w:r w:rsidR="002C7C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7C95">
        <w:rPr>
          <w:rFonts w:ascii="Times New Roman" w:hAnsi="Times New Roman"/>
          <w:b/>
          <w:bCs/>
          <w:sz w:val="24"/>
          <w:szCs w:val="24"/>
        </w:rPr>
        <w:t>В</w:t>
      </w:r>
      <w:r w:rsidR="002C7C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7C95">
        <w:rPr>
          <w:rFonts w:ascii="Times New Roman" w:hAnsi="Times New Roman"/>
          <w:b/>
          <w:bCs/>
          <w:sz w:val="24"/>
          <w:szCs w:val="24"/>
        </w:rPr>
        <w:t>УСЛОВИЯХ</w:t>
      </w:r>
      <w:r w:rsidR="002C7C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7C95">
        <w:rPr>
          <w:rFonts w:ascii="Times New Roman" w:hAnsi="Times New Roman"/>
          <w:b/>
          <w:bCs/>
          <w:sz w:val="24"/>
          <w:szCs w:val="24"/>
        </w:rPr>
        <w:t>НОВЫХ</w:t>
      </w:r>
      <w:r w:rsidR="002C7C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7C95">
        <w:rPr>
          <w:rFonts w:ascii="Times New Roman" w:hAnsi="Times New Roman"/>
          <w:b/>
          <w:bCs/>
          <w:sz w:val="24"/>
          <w:szCs w:val="24"/>
        </w:rPr>
        <w:t>ВЫЗОВОВ</w:t>
      </w:r>
      <w:r w:rsidR="002C7C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7C95">
        <w:rPr>
          <w:rFonts w:ascii="Times New Roman" w:hAnsi="Times New Roman"/>
          <w:b/>
          <w:bCs/>
          <w:sz w:val="24"/>
          <w:szCs w:val="24"/>
        </w:rPr>
        <w:t>И</w:t>
      </w:r>
      <w:r w:rsidR="002C7C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7C95">
        <w:rPr>
          <w:rFonts w:ascii="Times New Roman" w:hAnsi="Times New Roman"/>
          <w:b/>
          <w:bCs/>
          <w:sz w:val="24"/>
          <w:szCs w:val="24"/>
        </w:rPr>
        <w:t>УГРОЗ</w:t>
      </w:r>
    </w:p>
    <w:p w:rsidR="00305259" w:rsidRPr="002C7C95" w:rsidRDefault="002C7C95" w:rsidP="002C7C95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305259" w:rsidRPr="002C7C95" w:rsidRDefault="00305259" w:rsidP="002C7C95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C7C95">
        <w:rPr>
          <w:rFonts w:ascii="Times New Roman" w:hAnsi="Times New Roman"/>
          <w:b/>
          <w:i/>
          <w:iCs/>
          <w:sz w:val="24"/>
          <w:szCs w:val="24"/>
        </w:rPr>
        <w:t>Ключевые</w:t>
      </w:r>
      <w:r w:rsidR="002C7C95" w:rsidRPr="002C7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C7C95">
        <w:rPr>
          <w:rFonts w:ascii="Times New Roman" w:hAnsi="Times New Roman"/>
          <w:b/>
          <w:i/>
          <w:sz w:val="24"/>
          <w:szCs w:val="24"/>
        </w:rPr>
        <w:t>слова</w:t>
      </w:r>
      <w:r w:rsidRPr="002C7C95">
        <w:rPr>
          <w:rFonts w:ascii="Times New Roman" w:hAnsi="Times New Roman"/>
          <w:i/>
          <w:sz w:val="24"/>
          <w:szCs w:val="24"/>
        </w:rPr>
        <w:t>:</w:t>
      </w:r>
      <w:r w:rsidR="002C7C95" w:rsidRPr="002C7C95">
        <w:rPr>
          <w:rFonts w:ascii="Times New Roman" w:hAnsi="Times New Roman"/>
          <w:i/>
          <w:sz w:val="24"/>
          <w:szCs w:val="24"/>
        </w:rPr>
        <w:t xml:space="preserve"> </w:t>
      </w:r>
      <w:r w:rsidRPr="002C7C95">
        <w:rPr>
          <w:rFonts w:ascii="Times New Roman" w:hAnsi="Times New Roman"/>
          <w:i/>
          <w:sz w:val="24"/>
          <w:szCs w:val="24"/>
        </w:rPr>
        <w:t>технологии,</w:t>
      </w:r>
      <w:r w:rsidR="002C7C95" w:rsidRPr="002C7C95">
        <w:rPr>
          <w:rFonts w:ascii="Times New Roman" w:hAnsi="Times New Roman"/>
          <w:i/>
          <w:sz w:val="24"/>
          <w:szCs w:val="24"/>
        </w:rPr>
        <w:t xml:space="preserve"> </w:t>
      </w:r>
      <w:r w:rsidRPr="002C7C95">
        <w:rPr>
          <w:rFonts w:ascii="Times New Roman" w:hAnsi="Times New Roman"/>
          <w:i/>
          <w:sz w:val="24"/>
          <w:szCs w:val="24"/>
        </w:rPr>
        <w:t>искусственный</w:t>
      </w:r>
      <w:r w:rsidR="002C7C95" w:rsidRPr="002C7C95">
        <w:rPr>
          <w:rFonts w:ascii="Times New Roman" w:hAnsi="Times New Roman"/>
          <w:i/>
          <w:sz w:val="24"/>
          <w:szCs w:val="24"/>
        </w:rPr>
        <w:t xml:space="preserve"> </w:t>
      </w:r>
      <w:r w:rsidRPr="002C7C95">
        <w:rPr>
          <w:rFonts w:ascii="Times New Roman" w:hAnsi="Times New Roman"/>
          <w:i/>
          <w:sz w:val="24"/>
          <w:szCs w:val="24"/>
        </w:rPr>
        <w:t>интеллект,</w:t>
      </w:r>
      <w:r w:rsidR="002C7C95" w:rsidRPr="002C7C95">
        <w:rPr>
          <w:rFonts w:ascii="Times New Roman" w:hAnsi="Times New Roman"/>
          <w:i/>
          <w:sz w:val="24"/>
          <w:szCs w:val="24"/>
        </w:rPr>
        <w:t xml:space="preserve"> </w:t>
      </w:r>
      <w:r w:rsidRPr="002C7C95">
        <w:rPr>
          <w:rFonts w:ascii="Times New Roman" w:hAnsi="Times New Roman"/>
          <w:i/>
          <w:sz w:val="24"/>
          <w:szCs w:val="24"/>
        </w:rPr>
        <w:t>индексы,</w:t>
      </w:r>
      <w:r w:rsidR="002C7C95" w:rsidRPr="002C7C95">
        <w:rPr>
          <w:rFonts w:ascii="Times New Roman" w:hAnsi="Times New Roman"/>
          <w:i/>
          <w:sz w:val="24"/>
          <w:szCs w:val="24"/>
        </w:rPr>
        <w:t xml:space="preserve"> </w:t>
      </w:r>
      <w:r w:rsidRPr="002C7C95">
        <w:rPr>
          <w:rFonts w:ascii="Times New Roman" w:hAnsi="Times New Roman"/>
          <w:i/>
          <w:sz w:val="24"/>
          <w:szCs w:val="24"/>
        </w:rPr>
        <w:t>государственная</w:t>
      </w:r>
      <w:r w:rsidR="002C7C95" w:rsidRPr="002C7C95">
        <w:rPr>
          <w:rFonts w:ascii="Times New Roman" w:hAnsi="Times New Roman"/>
          <w:i/>
          <w:sz w:val="24"/>
          <w:szCs w:val="24"/>
        </w:rPr>
        <w:t xml:space="preserve"> </w:t>
      </w:r>
      <w:r w:rsidRPr="002C7C95">
        <w:rPr>
          <w:rFonts w:ascii="Times New Roman" w:hAnsi="Times New Roman"/>
          <w:i/>
          <w:sz w:val="24"/>
          <w:szCs w:val="24"/>
        </w:rPr>
        <w:t>политика,</w:t>
      </w:r>
      <w:r w:rsidR="002C7C95" w:rsidRPr="002C7C95">
        <w:rPr>
          <w:rFonts w:ascii="Times New Roman" w:hAnsi="Times New Roman"/>
          <w:i/>
          <w:sz w:val="24"/>
          <w:szCs w:val="24"/>
        </w:rPr>
        <w:t xml:space="preserve"> </w:t>
      </w:r>
      <w:r w:rsidR="006F0438" w:rsidRPr="002C7C95">
        <w:rPr>
          <w:rFonts w:ascii="Times New Roman" w:hAnsi="Times New Roman"/>
          <w:i/>
          <w:sz w:val="24"/>
          <w:szCs w:val="24"/>
        </w:rPr>
        <w:t>ответственные</w:t>
      </w:r>
      <w:r w:rsidR="002C7C95" w:rsidRPr="002C7C95">
        <w:rPr>
          <w:rFonts w:ascii="Times New Roman" w:hAnsi="Times New Roman"/>
          <w:i/>
          <w:sz w:val="24"/>
          <w:szCs w:val="24"/>
        </w:rPr>
        <w:t xml:space="preserve"> </w:t>
      </w:r>
      <w:r w:rsidR="006F0438" w:rsidRPr="002C7C95">
        <w:rPr>
          <w:rFonts w:ascii="Times New Roman" w:hAnsi="Times New Roman"/>
          <w:i/>
          <w:sz w:val="24"/>
          <w:szCs w:val="24"/>
        </w:rPr>
        <w:t>инновации,</w:t>
      </w:r>
      <w:r w:rsidR="002C7C95" w:rsidRPr="002C7C95">
        <w:rPr>
          <w:rFonts w:ascii="Times New Roman" w:hAnsi="Times New Roman"/>
          <w:i/>
          <w:sz w:val="24"/>
          <w:szCs w:val="24"/>
        </w:rPr>
        <w:t xml:space="preserve"> </w:t>
      </w:r>
      <w:r w:rsidRPr="002C7C95">
        <w:rPr>
          <w:rFonts w:ascii="Times New Roman" w:hAnsi="Times New Roman"/>
          <w:i/>
          <w:sz w:val="24"/>
          <w:szCs w:val="24"/>
        </w:rPr>
        <w:t>управление</w:t>
      </w:r>
      <w:r w:rsidR="006F0438" w:rsidRPr="002C7C95">
        <w:rPr>
          <w:rFonts w:ascii="Times New Roman" w:hAnsi="Times New Roman"/>
          <w:i/>
          <w:sz w:val="24"/>
          <w:szCs w:val="24"/>
        </w:rPr>
        <w:t>.</w:t>
      </w:r>
      <w:r w:rsidR="002C7C95" w:rsidRPr="002C7C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6F0438" w:rsidRPr="002C7C95" w:rsidRDefault="006F0438" w:rsidP="002C7C95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  <w:lang w:val="en-US"/>
        </w:rPr>
      </w:pPr>
      <w:r w:rsidRPr="002C7C95">
        <w:rPr>
          <w:rStyle w:val="rynqvb"/>
          <w:rFonts w:ascii="Times New Roman" w:hAnsi="Times New Roman"/>
          <w:b/>
          <w:i/>
          <w:iCs/>
          <w:sz w:val="24"/>
          <w:szCs w:val="24"/>
          <w:lang w:val="en-US"/>
        </w:rPr>
        <w:t>Keywords</w:t>
      </w:r>
      <w:r w:rsidRPr="002C7C95">
        <w:rPr>
          <w:rStyle w:val="rynqvb"/>
          <w:rFonts w:ascii="Times New Roman" w:hAnsi="Times New Roman"/>
          <w:i/>
          <w:iCs/>
          <w:sz w:val="24"/>
          <w:szCs w:val="24"/>
          <w:lang w:val="en-US"/>
        </w:rPr>
        <w:t>:</w:t>
      </w:r>
      <w:r w:rsidR="002C7C95" w:rsidRPr="002C7C95">
        <w:rPr>
          <w:rStyle w:val="rynqvb"/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C7C95">
        <w:rPr>
          <w:rStyle w:val="rynqvb"/>
          <w:rFonts w:ascii="Times New Roman" w:hAnsi="Times New Roman"/>
          <w:i/>
          <w:sz w:val="24"/>
          <w:szCs w:val="24"/>
          <w:lang w:val="en-US"/>
        </w:rPr>
        <w:t>technology,</w:t>
      </w:r>
      <w:r w:rsidR="002C7C95" w:rsidRPr="002C7C95">
        <w:rPr>
          <w:rStyle w:val="rynqvb"/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C7C95">
        <w:rPr>
          <w:rStyle w:val="rynqvb"/>
          <w:rFonts w:ascii="Times New Roman" w:hAnsi="Times New Roman"/>
          <w:i/>
          <w:sz w:val="24"/>
          <w:szCs w:val="24"/>
          <w:lang w:val="en-US"/>
        </w:rPr>
        <w:t>artificial</w:t>
      </w:r>
      <w:r w:rsidR="002C7C95" w:rsidRPr="002C7C95">
        <w:rPr>
          <w:rStyle w:val="rynqvb"/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C7C95">
        <w:rPr>
          <w:rStyle w:val="rynqvb"/>
          <w:rFonts w:ascii="Times New Roman" w:hAnsi="Times New Roman"/>
          <w:i/>
          <w:sz w:val="24"/>
          <w:szCs w:val="24"/>
          <w:lang w:val="en-US"/>
        </w:rPr>
        <w:t>intelligence,</w:t>
      </w:r>
      <w:r w:rsidR="002C7C95" w:rsidRPr="002C7C95">
        <w:rPr>
          <w:rStyle w:val="rynqvb"/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C7C95">
        <w:rPr>
          <w:rStyle w:val="rynqvb"/>
          <w:rFonts w:ascii="Times New Roman" w:hAnsi="Times New Roman"/>
          <w:i/>
          <w:sz w:val="24"/>
          <w:szCs w:val="24"/>
          <w:lang w:val="en-US"/>
        </w:rPr>
        <w:t>indices,</w:t>
      </w:r>
      <w:r w:rsidR="002C7C95" w:rsidRPr="002C7C95">
        <w:rPr>
          <w:rStyle w:val="rynqvb"/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C7C95">
        <w:rPr>
          <w:rStyle w:val="rynqvb"/>
          <w:rFonts w:ascii="Times New Roman" w:hAnsi="Times New Roman"/>
          <w:i/>
          <w:sz w:val="24"/>
          <w:szCs w:val="24"/>
          <w:lang w:val="en-US"/>
        </w:rPr>
        <w:t>public</w:t>
      </w:r>
      <w:r w:rsidR="002C7C95" w:rsidRPr="002C7C95">
        <w:rPr>
          <w:rStyle w:val="rynqvb"/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C7C95">
        <w:rPr>
          <w:rStyle w:val="rynqvb"/>
          <w:rFonts w:ascii="Times New Roman" w:hAnsi="Times New Roman"/>
          <w:i/>
          <w:sz w:val="24"/>
          <w:szCs w:val="24"/>
          <w:lang w:val="en-US"/>
        </w:rPr>
        <w:t>policy,</w:t>
      </w:r>
      <w:r w:rsidR="002C7C95" w:rsidRPr="002C7C95">
        <w:rPr>
          <w:rStyle w:val="rynqvb"/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C7C95">
        <w:rPr>
          <w:rStyle w:val="rynqvb"/>
          <w:rFonts w:ascii="Times New Roman" w:hAnsi="Times New Roman"/>
          <w:i/>
          <w:sz w:val="24"/>
          <w:szCs w:val="24"/>
          <w:lang w:val="en-US"/>
        </w:rPr>
        <w:t>responsible</w:t>
      </w:r>
      <w:r w:rsidR="002C7C95" w:rsidRPr="002C7C95">
        <w:rPr>
          <w:rStyle w:val="rynqvb"/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C7C95">
        <w:rPr>
          <w:rStyle w:val="rynqvb"/>
          <w:rFonts w:ascii="Times New Roman" w:hAnsi="Times New Roman"/>
          <w:i/>
          <w:sz w:val="24"/>
          <w:szCs w:val="24"/>
          <w:lang w:val="en-US"/>
        </w:rPr>
        <w:t>innovation,</w:t>
      </w:r>
      <w:r w:rsidR="002C7C95" w:rsidRPr="002C7C95">
        <w:rPr>
          <w:rStyle w:val="rynqvb"/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C7C95">
        <w:rPr>
          <w:rStyle w:val="rynqvb"/>
          <w:rFonts w:ascii="Times New Roman" w:hAnsi="Times New Roman"/>
          <w:i/>
          <w:sz w:val="24"/>
          <w:szCs w:val="24"/>
          <w:lang w:val="en-US"/>
        </w:rPr>
        <w:t>governance</w:t>
      </w:r>
      <w:r w:rsidR="00886240" w:rsidRPr="002C7C95">
        <w:rPr>
          <w:rStyle w:val="rynqvb"/>
          <w:rFonts w:ascii="Times New Roman" w:hAnsi="Times New Roman"/>
          <w:i/>
          <w:sz w:val="24"/>
          <w:szCs w:val="24"/>
          <w:lang w:val="en-US"/>
        </w:rPr>
        <w:t>.</w:t>
      </w:r>
    </w:p>
    <w:p w:rsidR="002C7C95" w:rsidRDefault="002C7C95" w:rsidP="002C7C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F7294" w:rsidRPr="002C7C95" w:rsidRDefault="000313B8" w:rsidP="002C7C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C95">
        <w:rPr>
          <w:rFonts w:ascii="Times New Roman" w:hAnsi="Times New Roman"/>
          <w:sz w:val="24"/>
          <w:szCs w:val="24"/>
        </w:rPr>
        <w:t>Республика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Беларусь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Российская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Федерация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являются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государствами</w:t>
      </w:r>
      <w:r w:rsidR="002C7C95">
        <w:rPr>
          <w:rFonts w:ascii="Times New Roman" w:hAnsi="Times New Roman"/>
          <w:sz w:val="24"/>
          <w:szCs w:val="24"/>
        </w:rPr>
        <w:t>-</w:t>
      </w:r>
      <w:r w:rsidRPr="002C7C95">
        <w:rPr>
          <w:rFonts w:ascii="Times New Roman" w:hAnsi="Times New Roman"/>
          <w:sz w:val="24"/>
          <w:szCs w:val="24"/>
        </w:rPr>
        <w:t>участниками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Договора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создании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Союзного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государства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8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декабря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1999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года.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886240"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886240" w:rsidRPr="002C7C95">
        <w:rPr>
          <w:rFonts w:ascii="Times New Roman" w:hAnsi="Times New Roman"/>
          <w:sz w:val="24"/>
          <w:szCs w:val="24"/>
        </w:rPr>
        <w:t>рамках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Союзного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государства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сложились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886240"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886240" w:rsidRPr="002C7C95">
        <w:rPr>
          <w:rFonts w:ascii="Times New Roman" w:hAnsi="Times New Roman"/>
          <w:sz w:val="24"/>
          <w:szCs w:val="24"/>
        </w:rPr>
        <w:t>успешно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развиваются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институты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сотрудничества,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частности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научно</w:t>
      </w:r>
      <w:r w:rsidR="002C7C95">
        <w:rPr>
          <w:rFonts w:ascii="Times New Roman" w:hAnsi="Times New Roman"/>
          <w:sz w:val="24"/>
          <w:szCs w:val="24"/>
        </w:rPr>
        <w:t>-</w:t>
      </w:r>
      <w:r w:rsidR="00684B49" w:rsidRPr="002C7C95">
        <w:rPr>
          <w:rFonts w:ascii="Times New Roman" w:hAnsi="Times New Roman"/>
          <w:sz w:val="24"/>
          <w:szCs w:val="24"/>
        </w:rPr>
        <w:t>технической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сфере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финансируются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союзные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программы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передовых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направлениях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современных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технологий.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Беларусь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Россия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активно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взаимодействуют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886240"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886240" w:rsidRPr="002C7C95">
        <w:rPr>
          <w:rFonts w:ascii="Times New Roman" w:hAnsi="Times New Roman"/>
          <w:sz w:val="24"/>
          <w:szCs w:val="24"/>
        </w:rPr>
        <w:t>рамках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Евразийского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межправительственного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совета,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что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позволило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разработать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утвердить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сентябре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2025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г</w:t>
      </w:r>
      <w:r w:rsidR="00886240" w:rsidRPr="002C7C95">
        <w:rPr>
          <w:rFonts w:ascii="Times New Roman" w:hAnsi="Times New Roman"/>
          <w:sz w:val="24"/>
          <w:szCs w:val="24"/>
        </w:rPr>
        <w:t>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Стратегию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научно-технологического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развития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на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2026-2035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годы.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Стратегия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определяет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цели,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основные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задачи,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принципы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приоритеты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сотрудничества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государств</w:t>
      </w:r>
      <w:r w:rsidR="002C7C95">
        <w:rPr>
          <w:rFonts w:ascii="Times New Roman" w:hAnsi="Times New Roman"/>
          <w:sz w:val="24"/>
          <w:szCs w:val="24"/>
        </w:rPr>
        <w:t>-</w:t>
      </w:r>
      <w:r w:rsidR="00684B49" w:rsidRPr="002C7C95">
        <w:rPr>
          <w:rFonts w:ascii="Times New Roman" w:hAnsi="Times New Roman"/>
          <w:sz w:val="24"/>
          <w:szCs w:val="24"/>
        </w:rPr>
        <w:t>участников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СНГ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сфере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научно-технологического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развития,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устанавливает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формы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механизмы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ее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84B49" w:rsidRPr="002C7C95">
        <w:rPr>
          <w:rFonts w:ascii="Times New Roman" w:hAnsi="Times New Roman"/>
          <w:sz w:val="24"/>
          <w:szCs w:val="24"/>
        </w:rPr>
        <w:t>реализации.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7F7294" w:rsidRPr="002C7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7294" w:rsidRPr="002C7C95">
        <w:rPr>
          <w:rFonts w:ascii="Times New Roman" w:eastAsia="Times New Roman" w:hAnsi="Times New Roman"/>
          <w:sz w:val="24"/>
          <w:szCs w:val="24"/>
          <w:lang w:eastAsia="ru-RU"/>
        </w:rPr>
        <w:t>региональном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7294" w:rsidRPr="002C7C95">
        <w:rPr>
          <w:rFonts w:ascii="Times New Roman" w:eastAsia="Times New Roman" w:hAnsi="Times New Roman"/>
          <w:sz w:val="24"/>
          <w:szCs w:val="24"/>
          <w:lang w:eastAsia="ru-RU"/>
        </w:rPr>
        <w:t>экономическом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5B86" w:rsidRPr="002C7C95">
        <w:rPr>
          <w:rFonts w:ascii="Times New Roman" w:eastAsia="Times New Roman" w:hAnsi="Times New Roman"/>
          <w:sz w:val="24"/>
          <w:szCs w:val="24"/>
          <w:lang w:eastAsia="ru-RU"/>
        </w:rPr>
        <w:t>сотрудничестве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5B86" w:rsidRPr="002C7C95">
        <w:rPr>
          <w:rFonts w:ascii="Times New Roman" w:eastAsia="Times New Roman" w:hAnsi="Times New Roman"/>
          <w:sz w:val="24"/>
          <w:szCs w:val="24"/>
          <w:lang w:eastAsia="ru-RU"/>
        </w:rPr>
        <w:t>важны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7294" w:rsidRPr="002C7C95">
        <w:rPr>
          <w:rFonts w:ascii="Times New Roman" w:eastAsia="Times New Roman" w:hAnsi="Times New Roman"/>
          <w:sz w:val="24"/>
          <w:szCs w:val="24"/>
          <w:lang w:eastAsia="ru-RU"/>
        </w:rPr>
        <w:t>ценностные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7294" w:rsidRPr="002C7C95">
        <w:rPr>
          <w:rFonts w:ascii="Times New Roman" w:eastAsia="Times New Roman" w:hAnsi="Times New Roman"/>
          <w:sz w:val="24"/>
          <w:szCs w:val="24"/>
          <w:lang w:eastAsia="ru-RU"/>
        </w:rPr>
        <w:t>ориентиры,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7294" w:rsidRPr="002C7C95">
        <w:rPr>
          <w:rFonts w:ascii="Times New Roman" w:eastAsia="Times New Roman" w:hAnsi="Times New Roman"/>
          <w:sz w:val="24"/>
          <w:szCs w:val="24"/>
          <w:lang w:eastAsia="ru-RU"/>
        </w:rPr>
        <w:t>интересы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7294" w:rsidRPr="002C7C95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7294"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7294" w:rsidRPr="002C7C95">
        <w:rPr>
          <w:rFonts w:ascii="Times New Roman" w:eastAsia="Times New Roman" w:hAnsi="Times New Roman"/>
          <w:sz w:val="24"/>
          <w:szCs w:val="24"/>
          <w:lang w:eastAsia="ru-RU"/>
        </w:rPr>
        <w:t>безопасности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7294" w:rsidRPr="002C7C95">
        <w:rPr>
          <w:rFonts w:ascii="Times New Roman" w:eastAsia="Times New Roman" w:hAnsi="Times New Roman"/>
          <w:sz w:val="24"/>
          <w:szCs w:val="24"/>
          <w:lang w:eastAsia="ru-RU"/>
        </w:rPr>
        <w:t>Союзного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7294" w:rsidRPr="002C7C95">
        <w:rPr>
          <w:rFonts w:ascii="Times New Roman" w:eastAsia="Times New Roman" w:hAnsi="Times New Roman"/>
          <w:sz w:val="24"/>
          <w:szCs w:val="24"/>
          <w:lang w:eastAsia="ru-RU"/>
        </w:rPr>
        <w:t>государства.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65EE"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4665EE" w:rsidRPr="002C7C95">
        <w:rPr>
          <w:rFonts w:ascii="Times New Roman" w:hAnsi="Times New Roman"/>
          <w:sz w:val="24"/>
          <w:szCs w:val="24"/>
        </w:rPr>
        <w:t>условиях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4665EE" w:rsidRPr="002C7C95">
        <w:rPr>
          <w:rFonts w:ascii="Times New Roman" w:hAnsi="Times New Roman"/>
          <w:sz w:val="24"/>
          <w:szCs w:val="24"/>
        </w:rPr>
        <w:t>новых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4665EE" w:rsidRPr="002C7C95">
        <w:rPr>
          <w:rFonts w:ascii="Times New Roman" w:hAnsi="Times New Roman"/>
          <w:sz w:val="24"/>
          <w:szCs w:val="24"/>
        </w:rPr>
        <w:t>геополитических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4665EE" w:rsidRPr="002C7C95">
        <w:rPr>
          <w:rFonts w:ascii="Times New Roman" w:hAnsi="Times New Roman"/>
          <w:sz w:val="24"/>
          <w:szCs w:val="24"/>
        </w:rPr>
        <w:t>угроз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4665EE" w:rsidRPr="002C7C95">
        <w:rPr>
          <w:rFonts w:ascii="Times New Roman" w:hAnsi="Times New Roman"/>
          <w:sz w:val="24"/>
          <w:szCs w:val="24"/>
        </w:rPr>
        <w:t>тема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4665EE" w:rsidRPr="002C7C95">
        <w:rPr>
          <w:rFonts w:ascii="Times New Roman" w:eastAsia="Times New Roman" w:hAnsi="Times New Roman"/>
          <w:sz w:val="24"/>
          <w:szCs w:val="24"/>
          <w:lang w:eastAsia="ru-RU"/>
        </w:rPr>
        <w:t>обеспечения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65EE" w:rsidRPr="002C7C95">
        <w:rPr>
          <w:rFonts w:ascii="Times New Roman" w:eastAsia="Times New Roman" w:hAnsi="Times New Roman"/>
          <w:sz w:val="24"/>
          <w:szCs w:val="24"/>
          <w:lang w:eastAsia="ru-RU"/>
        </w:rPr>
        <w:t>технологического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65EE" w:rsidRPr="002C7C95">
        <w:rPr>
          <w:rFonts w:ascii="Times New Roman" w:eastAsia="Times New Roman" w:hAnsi="Times New Roman"/>
          <w:sz w:val="24"/>
          <w:szCs w:val="24"/>
          <w:lang w:eastAsia="ru-RU"/>
        </w:rPr>
        <w:t>суверенитета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65EE" w:rsidRPr="002C7C95">
        <w:rPr>
          <w:rFonts w:ascii="Times New Roman" w:eastAsia="Times New Roman" w:hAnsi="Times New Roman"/>
          <w:sz w:val="24"/>
          <w:szCs w:val="24"/>
          <w:lang w:eastAsia="ru-RU"/>
        </w:rPr>
        <w:t>вышла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65EE" w:rsidRPr="002C7C9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65EE" w:rsidRPr="002C7C95">
        <w:rPr>
          <w:rFonts w:ascii="Times New Roman" w:eastAsia="Times New Roman" w:hAnsi="Times New Roman"/>
          <w:sz w:val="24"/>
          <w:szCs w:val="24"/>
          <w:lang w:eastAsia="ru-RU"/>
        </w:rPr>
        <w:t>качественно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65EE" w:rsidRPr="002C7C95">
        <w:rPr>
          <w:rFonts w:ascii="Times New Roman" w:eastAsia="Times New Roman" w:hAnsi="Times New Roman"/>
          <w:sz w:val="24"/>
          <w:szCs w:val="24"/>
          <w:lang w:eastAsia="ru-RU"/>
        </w:rPr>
        <w:t>иной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65EE" w:rsidRPr="002C7C95">
        <w:rPr>
          <w:rFonts w:ascii="Times New Roman" w:eastAsia="Times New Roman" w:hAnsi="Times New Roman"/>
          <w:sz w:val="24"/>
          <w:szCs w:val="24"/>
          <w:lang w:eastAsia="ru-RU"/>
        </w:rPr>
        <w:t>уровень</w:t>
      </w:r>
      <w:r w:rsidR="00F156DA" w:rsidRPr="002C7C9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F7294" w:rsidRPr="002C7C95" w:rsidRDefault="007F7294" w:rsidP="002C7C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Прорывы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генеративного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5B86" w:rsidRPr="002C7C95">
        <w:rPr>
          <w:rFonts w:ascii="Times New Roman" w:eastAsia="Times New Roman" w:hAnsi="Times New Roman"/>
          <w:sz w:val="24"/>
          <w:szCs w:val="24"/>
          <w:lang w:eastAsia="ru-RU"/>
        </w:rPr>
        <w:t>(искусственного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5B86" w:rsidRPr="002C7C95">
        <w:rPr>
          <w:rFonts w:ascii="Times New Roman" w:eastAsia="Times New Roman" w:hAnsi="Times New Roman"/>
          <w:sz w:val="24"/>
          <w:szCs w:val="24"/>
          <w:lang w:eastAsia="ru-RU"/>
        </w:rPr>
        <w:t>интеллекта)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крупные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разработки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области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регулирования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ИИ,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такие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Закон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Европейского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Союза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значительное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увеличение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числа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встреч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высшем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уровне,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связанных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всем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мире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выдвигают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эту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технологию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передний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план.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Трансформационный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потенциал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бесспорен,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правительства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всем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мире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признают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влияние.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Исследования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показывают,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что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Новейшие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(Emerging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Technologies)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характеризуются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быстрым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развитием,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новизной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неопределенностью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траектории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воздействия.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Ключевые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примеры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таких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включают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себя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новые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инструменты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генетического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редактирования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синтетическую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биологию,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нейротехнику,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новейшие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передовые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искусственного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интеллекта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(ИИ),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иммерсионные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квантовые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технологии.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Вместе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тем,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эти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многообещающие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могут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также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способствовать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социальной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дезорганизации,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экологическому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ущербу,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потере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конфиденциальности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доверия,</w:t>
      </w:r>
      <w:r w:rsidR="002C7C95">
        <w:rPr>
          <w:rFonts w:ascii="Times New Roman" w:hAnsi="Times New Roman"/>
          <w:sz w:val="24"/>
          <w:szCs w:val="24"/>
        </w:rPr>
        <w:t xml:space="preserve"> росту </w:t>
      </w:r>
      <w:r w:rsidRPr="002C7C95">
        <w:rPr>
          <w:rFonts w:ascii="Times New Roman" w:hAnsi="Times New Roman"/>
          <w:sz w:val="24"/>
          <w:szCs w:val="24"/>
        </w:rPr>
        <w:t>неравенств</w:t>
      </w:r>
      <w:r w:rsidR="002C7C95">
        <w:rPr>
          <w:rFonts w:ascii="Times New Roman" w:hAnsi="Times New Roman"/>
          <w:sz w:val="24"/>
          <w:szCs w:val="24"/>
        </w:rPr>
        <w:t xml:space="preserve">а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создавать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угрозы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безопасности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правам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человека.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F0438" w:rsidRPr="002C7C95">
        <w:rPr>
          <w:rFonts w:ascii="Times New Roman" w:hAnsi="Times New Roman"/>
          <w:sz w:val="24"/>
          <w:szCs w:val="24"/>
        </w:rPr>
        <w:t>Новые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F0438" w:rsidRPr="002C7C95">
        <w:rPr>
          <w:rFonts w:ascii="Times New Roman" w:hAnsi="Times New Roman"/>
          <w:sz w:val="24"/>
          <w:szCs w:val="24"/>
        </w:rPr>
        <w:t>вызовы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F0438"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F0438" w:rsidRPr="002C7C95">
        <w:rPr>
          <w:rFonts w:ascii="Times New Roman" w:hAnsi="Times New Roman"/>
          <w:sz w:val="24"/>
          <w:szCs w:val="24"/>
        </w:rPr>
        <w:t>угрозы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F0438" w:rsidRPr="002C7C95">
        <w:rPr>
          <w:rFonts w:ascii="Times New Roman" w:hAnsi="Times New Roman"/>
          <w:sz w:val="24"/>
          <w:szCs w:val="24"/>
        </w:rPr>
        <w:t>требуют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F0438" w:rsidRPr="002C7C95">
        <w:rPr>
          <w:rFonts w:ascii="Times New Roman" w:hAnsi="Times New Roman"/>
          <w:sz w:val="24"/>
          <w:szCs w:val="24"/>
        </w:rPr>
        <w:t>новых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F0438" w:rsidRPr="002C7C95">
        <w:rPr>
          <w:rFonts w:ascii="Times New Roman" w:hAnsi="Times New Roman"/>
          <w:sz w:val="24"/>
          <w:szCs w:val="24"/>
        </w:rPr>
        <w:t>методов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F0438" w:rsidRPr="002C7C95">
        <w:rPr>
          <w:rFonts w:ascii="Times New Roman" w:hAnsi="Times New Roman"/>
          <w:sz w:val="24"/>
          <w:szCs w:val="24"/>
        </w:rPr>
        <w:t>управления.</w:t>
      </w:r>
      <w:r w:rsidR="002C7C95">
        <w:rPr>
          <w:rFonts w:ascii="Times New Roman" w:hAnsi="Times New Roman"/>
          <w:sz w:val="24"/>
          <w:szCs w:val="24"/>
        </w:rPr>
        <w:t xml:space="preserve"> </w:t>
      </w:r>
    </w:p>
    <w:p w:rsidR="00131376" w:rsidRPr="002C7C95" w:rsidRDefault="007F7294" w:rsidP="002C7C9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7C95">
        <w:rPr>
          <w:rFonts w:ascii="Times New Roman" w:hAnsi="Times New Roman"/>
          <w:sz w:val="24"/>
          <w:szCs w:val="24"/>
        </w:rPr>
        <w:t>Российская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практика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разработки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стратегических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535B86" w:rsidRPr="002C7C95">
        <w:rPr>
          <w:rFonts w:ascii="Times New Roman" w:hAnsi="Times New Roman"/>
          <w:sz w:val="24"/>
          <w:szCs w:val="24"/>
        </w:rPr>
        <w:t>документов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535B86" w:rsidRPr="002C7C95">
        <w:rPr>
          <w:rFonts w:ascii="Times New Roman" w:hAnsi="Times New Roman"/>
          <w:sz w:val="24"/>
          <w:szCs w:val="24"/>
        </w:rPr>
        <w:t>по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основным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направлениям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развития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новейших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показывает,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что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необходимость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535B86" w:rsidRPr="002C7C95">
        <w:rPr>
          <w:rFonts w:ascii="Times New Roman" w:hAnsi="Times New Roman"/>
          <w:sz w:val="24"/>
          <w:szCs w:val="24"/>
        </w:rPr>
        <w:t>регулирования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535B86" w:rsidRPr="002C7C95">
        <w:rPr>
          <w:rFonts w:ascii="Times New Roman" w:hAnsi="Times New Roman"/>
          <w:sz w:val="24"/>
          <w:szCs w:val="24"/>
        </w:rPr>
        <w:t>освоения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новейших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осознана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131376" w:rsidRPr="002C7C95">
        <w:rPr>
          <w:rFonts w:ascii="Times New Roman" w:hAnsi="Times New Roman"/>
          <w:sz w:val="24"/>
          <w:szCs w:val="24"/>
        </w:rPr>
        <w:t>руководством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131376" w:rsidRPr="002C7C95">
        <w:rPr>
          <w:rFonts w:ascii="Times New Roman" w:hAnsi="Times New Roman"/>
          <w:sz w:val="24"/>
          <w:szCs w:val="24"/>
        </w:rPr>
        <w:t>страны</w:t>
      </w:r>
      <w:r w:rsidRPr="002C7C95">
        <w:rPr>
          <w:rFonts w:ascii="Times New Roman" w:hAnsi="Times New Roman"/>
          <w:sz w:val="24"/>
          <w:szCs w:val="24"/>
        </w:rPr>
        <w:t>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2019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г.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131376"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131376" w:rsidRPr="002C7C95">
        <w:rPr>
          <w:rFonts w:ascii="Times New Roman" w:hAnsi="Times New Roman"/>
          <w:sz w:val="24"/>
          <w:szCs w:val="24"/>
        </w:rPr>
        <w:t>России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принята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Национальная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стратегия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развития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искусственного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интеллекта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период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2030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года</w:t>
      </w:r>
      <w:r w:rsidRPr="002C7C95">
        <w:rPr>
          <w:rStyle w:val="a7"/>
          <w:rFonts w:ascii="Times New Roman" w:hAnsi="Times New Roman"/>
          <w:sz w:val="24"/>
          <w:szCs w:val="24"/>
        </w:rPr>
        <w:footnoteReference w:id="1"/>
      </w:r>
      <w:r w:rsidRPr="002C7C95">
        <w:rPr>
          <w:rFonts w:ascii="Times New Roman" w:hAnsi="Times New Roman"/>
          <w:sz w:val="24"/>
          <w:szCs w:val="24"/>
        </w:rPr>
        <w:t>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которой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определяются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цели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основные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задачи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развития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искусственного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интеллекта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Российской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Федерации,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также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меры,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направленные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его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использование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целях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обеспечения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национальных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интересов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реализации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стратегических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национальных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приоритетов.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Для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экспертно-аналитического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сопровождения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внедрения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развития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отраслях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экономики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госсекторе,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координации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работы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органов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власти,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научных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исследовательских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организаций,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бизнес-сообщества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создан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Национальный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центр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развития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искусственного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интеллекта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при</w:t>
      </w:r>
      <w:r w:rsidR="002C7C95">
        <w:rPr>
          <w:rFonts w:ascii="Times New Roman" w:hAnsi="Times New Roman"/>
          <w:sz w:val="24"/>
          <w:szCs w:val="24"/>
        </w:rPr>
        <w:t xml:space="preserve"> П</w:t>
      </w:r>
      <w:r w:rsidRPr="002C7C95">
        <w:rPr>
          <w:rFonts w:ascii="Times New Roman" w:hAnsi="Times New Roman"/>
          <w:sz w:val="24"/>
          <w:szCs w:val="24"/>
        </w:rPr>
        <w:t>равительстве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Российской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Федерации,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реализуется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Федеральный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проект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«Искусственный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интеллект».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B42969"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B42969" w:rsidRPr="002C7C95">
        <w:rPr>
          <w:rFonts w:ascii="Times New Roman" w:hAnsi="Times New Roman"/>
          <w:sz w:val="24"/>
          <w:szCs w:val="24"/>
        </w:rPr>
        <w:t>Беларуси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B42969" w:rsidRPr="002C7C95">
        <w:rPr>
          <w:rFonts w:ascii="Times New Roman" w:hAnsi="Times New Roman"/>
          <w:sz w:val="24"/>
          <w:szCs w:val="24"/>
        </w:rPr>
        <w:t>еще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не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B42969" w:rsidRPr="002C7C95">
        <w:rPr>
          <w:rFonts w:ascii="Times New Roman" w:hAnsi="Times New Roman"/>
          <w:sz w:val="24"/>
          <w:szCs w:val="24"/>
        </w:rPr>
        <w:t>разраб</w:t>
      </w:r>
      <w:r w:rsidR="00F156DA" w:rsidRPr="002C7C95">
        <w:rPr>
          <w:rFonts w:ascii="Times New Roman" w:hAnsi="Times New Roman"/>
          <w:sz w:val="24"/>
          <w:szCs w:val="24"/>
        </w:rPr>
        <w:t>отан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B42969" w:rsidRPr="002C7C95">
        <w:rPr>
          <w:rFonts w:ascii="Times New Roman" w:hAnsi="Times New Roman"/>
          <w:sz w:val="24"/>
          <w:szCs w:val="24"/>
        </w:rPr>
        <w:t>закон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B42969"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B42969" w:rsidRPr="002C7C95">
        <w:rPr>
          <w:rFonts w:ascii="Times New Roman" w:hAnsi="Times New Roman"/>
          <w:sz w:val="24"/>
          <w:szCs w:val="24"/>
        </w:rPr>
        <w:t>области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B42969" w:rsidRPr="002C7C95">
        <w:rPr>
          <w:rFonts w:ascii="Times New Roman" w:hAnsi="Times New Roman"/>
          <w:sz w:val="24"/>
          <w:szCs w:val="24"/>
        </w:rPr>
        <w:t>ИИ.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настоящее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время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формируется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национальная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экспертная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площадка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разработки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стандартов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данной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области.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Соответствующие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работы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проводит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Объединенный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институт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проблем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информатики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НАН,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который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определен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«офисом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цифровизации»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Национальной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академии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969" w:rsidRPr="002C7C95">
        <w:rPr>
          <w:rFonts w:ascii="Times New Roman" w:eastAsia="Times New Roman" w:hAnsi="Times New Roman"/>
          <w:sz w:val="24"/>
          <w:szCs w:val="24"/>
          <w:lang w:eastAsia="ru-RU"/>
        </w:rPr>
        <w:t>наук.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1E8D" w:rsidRPr="002C7C95">
        <w:rPr>
          <w:rFonts w:ascii="Times New Roman" w:eastAsia="Times New Roman" w:hAnsi="Times New Roman"/>
          <w:sz w:val="24"/>
          <w:szCs w:val="24"/>
          <w:lang w:eastAsia="ru-RU"/>
        </w:rPr>
        <w:t>Отсутствие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1E8D" w:rsidRPr="002C7C95">
        <w:rPr>
          <w:rFonts w:ascii="Times New Roman" w:eastAsia="Times New Roman" w:hAnsi="Times New Roman"/>
          <w:sz w:val="24"/>
          <w:szCs w:val="24"/>
          <w:lang w:eastAsia="ru-RU"/>
        </w:rPr>
        <w:t>законодательного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1E8D" w:rsidRPr="002C7C95">
        <w:rPr>
          <w:rFonts w:ascii="Times New Roman" w:eastAsia="Times New Roman" w:hAnsi="Times New Roman"/>
          <w:sz w:val="24"/>
          <w:szCs w:val="24"/>
          <w:lang w:eastAsia="ru-RU"/>
        </w:rPr>
        <w:t>регулирования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1E8D" w:rsidRPr="002C7C95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1E8D" w:rsidRPr="002C7C95">
        <w:rPr>
          <w:rFonts w:ascii="Times New Roman" w:eastAsia="Times New Roman" w:hAnsi="Times New Roman"/>
          <w:sz w:val="24"/>
          <w:szCs w:val="24"/>
          <w:lang w:eastAsia="ru-RU"/>
        </w:rPr>
        <w:t>новейших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1E8D" w:rsidRPr="002C7C95">
        <w:rPr>
          <w:rFonts w:ascii="Times New Roman" w:eastAsia="Times New Roman" w:hAnsi="Times New Roman"/>
          <w:sz w:val="24"/>
          <w:szCs w:val="24"/>
          <w:lang w:eastAsia="ru-RU"/>
        </w:rPr>
        <w:t>технологий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1E8D" w:rsidRPr="002C7C95">
        <w:rPr>
          <w:rFonts w:ascii="Times New Roman" w:eastAsia="Times New Roman" w:hAnsi="Times New Roman"/>
          <w:sz w:val="24"/>
          <w:szCs w:val="24"/>
          <w:lang w:eastAsia="ru-RU"/>
        </w:rPr>
        <w:t>является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1E8D" w:rsidRPr="002C7C95">
        <w:rPr>
          <w:rFonts w:ascii="Times New Roman" w:eastAsia="Times New Roman" w:hAnsi="Times New Roman"/>
          <w:sz w:val="24"/>
          <w:szCs w:val="24"/>
          <w:lang w:eastAsia="ru-RU"/>
        </w:rPr>
        <w:t>фактором,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1E8D" w:rsidRPr="002C7C95">
        <w:rPr>
          <w:rFonts w:ascii="Times New Roman" w:eastAsia="Times New Roman" w:hAnsi="Times New Roman"/>
          <w:sz w:val="24"/>
          <w:szCs w:val="24"/>
          <w:lang w:eastAsia="ru-RU"/>
        </w:rPr>
        <w:t>замедляющим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1E8D" w:rsidRPr="002C7C95">
        <w:rPr>
          <w:rFonts w:ascii="Times New Roman" w:eastAsia="Times New Roman" w:hAnsi="Times New Roman"/>
          <w:sz w:val="24"/>
          <w:szCs w:val="24"/>
          <w:lang w:eastAsia="ru-RU"/>
        </w:rPr>
        <w:t>развитие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1E8D" w:rsidRPr="002C7C95">
        <w:rPr>
          <w:rFonts w:ascii="Times New Roman" w:eastAsia="Times New Roman" w:hAnsi="Times New Roman"/>
          <w:sz w:val="24"/>
          <w:szCs w:val="24"/>
          <w:lang w:eastAsia="ru-RU"/>
        </w:rPr>
        <w:t>ИИ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1E8D" w:rsidRPr="002C7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1E8D" w:rsidRPr="002C7C95">
        <w:rPr>
          <w:rFonts w:ascii="Times New Roman" w:eastAsia="Times New Roman" w:hAnsi="Times New Roman"/>
          <w:sz w:val="24"/>
          <w:szCs w:val="24"/>
          <w:lang w:eastAsia="ru-RU"/>
        </w:rPr>
        <w:t>Беларуси</w:t>
      </w:r>
      <w:r w:rsidR="00131376" w:rsidRPr="002C7C9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D0A38" w:rsidRPr="002C7C95" w:rsidRDefault="007E1E8D" w:rsidP="002C7C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9D0F55" w:rsidRPr="002C7C95">
        <w:rPr>
          <w:rFonts w:ascii="Times New Roman" w:hAnsi="Times New Roman"/>
          <w:sz w:val="24"/>
          <w:szCs w:val="24"/>
        </w:rPr>
        <w:t>риоритетными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направлениями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научно-технического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развития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Беларуси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на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2026-2030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гг.,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B42969" w:rsidRPr="002C7C95">
        <w:rPr>
          <w:rFonts w:ascii="Times New Roman" w:hAnsi="Times New Roman"/>
          <w:sz w:val="24"/>
          <w:szCs w:val="24"/>
        </w:rPr>
        <w:t>определены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цифровые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технологии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искусственный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интеллект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013A68" w:rsidRPr="002C7C95">
        <w:rPr>
          <w:rFonts w:ascii="Times New Roman" w:hAnsi="Times New Roman"/>
          <w:sz w:val="24"/>
          <w:szCs w:val="24"/>
        </w:rPr>
        <w:t>(ИИ)</w:t>
      </w:r>
      <w:r w:rsidR="009D0F55" w:rsidRPr="002C7C95">
        <w:rPr>
          <w:rFonts w:ascii="Times New Roman" w:hAnsi="Times New Roman"/>
          <w:sz w:val="24"/>
          <w:szCs w:val="24"/>
        </w:rPr>
        <w:t>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инновационные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технологии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промышленности,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биологические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медицинские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технологии,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также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инновационные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технологии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агропромышленном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комплексе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пищевой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9D0F55" w:rsidRPr="002C7C95">
        <w:rPr>
          <w:rFonts w:ascii="Times New Roman" w:hAnsi="Times New Roman"/>
          <w:sz w:val="24"/>
          <w:szCs w:val="24"/>
        </w:rPr>
        <w:t>промышленности</w:t>
      </w:r>
      <w:r w:rsidR="00B42969" w:rsidRPr="002C7C95">
        <w:rPr>
          <w:rFonts w:ascii="Times New Roman" w:hAnsi="Times New Roman"/>
          <w:sz w:val="24"/>
          <w:szCs w:val="24"/>
        </w:rPr>
        <w:t>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6DA" w:rsidRPr="002C7C95">
        <w:rPr>
          <w:rFonts w:ascii="Times New Roman" w:eastAsia="Times New Roman" w:hAnsi="Times New Roman"/>
          <w:sz w:val="24"/>
          <w:szCs w:val="24"/>
          <w:lang w:eastAsia="ru-RU"/>
        </w:rPr>
        <w:t>Беларусь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6DA" w:rsidRPr="002C7C95">
        <w:rPr>
          <w:rFonts w:ascii="Times New Roman" w:eastAsia="Times New Roman" w:hAnsi="Times New Roman"/>
          <w:sz w:val="24"/>
          <w:szCs w:val="24"/>
          <w:lang w:eastAsia="ru-RU"/>
        </w:rPr>
        <w:t>опережает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6DA" w:rsidRPr="002C7C95">
        <w:rPr>
          <w:rFonts w:ascii="Times New Roman" w:eastAsia="Times New Roman" w:hAnsi="Times New Roman"/>
          <w:sz w:val="24"/>
          <w:szCs w:val="24"/>
          <w:lang w:eastAsia="ru-RU"/>
        </w:rPr>
        <w:t>Россию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6DA" w:rsidRPr="002C7C95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6DA" w:rsidRPr="002C7C95">
        <w:rPr>
          <w:rFonts w:ascii="Times New Roman" w:eastAsia="Times New Roman" w:hAnsi="Times New Roman"/>
          <w:sz w:val="24"/>
          <w:szCs w:val="24"/>
          <w:lang w:eastAsia="ru-RU"/>
        </w:rPr>
        <w:t>вкладу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6DA" w:rsidRPr="002C7C95">
        <w:rPr>
          <w:rFonts w:ascii="Times New Roman" w:eastAsia="Times New Roman" w:hAnsi="Times New Roman"/>
          <w:sz w:val="24"/>
          <w:szCs w:val="24"/>
          <w:lang w:eastAsia="ru-RU"/>
        </w:rPr>
        <w:t>сектора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6DA" w:rsidRPr="002C7C95">
        <w:rPr>
          <w:rFonts w:ascii="Times New Roman" w:eastAsia="Times New Roman" w:hAnsi="Times New Roman"/>
          <w:sz w:val="24"/>
          <w:szCs w:val="24"/>
          <w:lang w:eastAsia="ru-RU"/>
        </w:rPr>
        <w:t>ИКТ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1376" w:rsidRPr="002C7C95">
        <w:rPr>
          <w:rFonts w:ascii="Times New Roman" w:eastAsia="Times New Roman" w:hAnsi="Times New Roman"/>
          <w:sz w:val="24"/>
          <w:szCs w:val="24"/>
          <w:lang w:eastAsia="ru-RU"/>
        </w:rPr>
        <w:t>(информационно-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1376" w:rsidRPr="002C7C95">
        <w:rPr>
          <w:rFonts w:ascii="Times New Roman" w:eastAsia="Times New Roman" w:hAnsi="Times New Roman"/>
          <w:sz w:val="24"/>
          <w:szCs w:val="24"/>
          <w:lang w:eastAsia="ru-RU"/>
        </w:rPr>
        <w:t>коммуникационных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1376" w:rsidRPr="002C7C95">
        <w:rPr>
          <w:rFonts w:ascii="Times New Roman" w:eastAsia="Times New Roman" w:hAnsi="Times New Roman"/>
          <w:sz w:val="24"/>
          <w:szCs w:val="24"/>
          <w:lang w:eastAsia="ru-RU"/>
        </w:rPr>
        <w:t>технологи</w:t>
      </w:r>
      <w:r w:rsidR="00B02160"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31376" w:rsidRPr="002C7C9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6DA" w:rsidRPr="002C7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6DA" w:rsidRPr="002C7C95">
        <w:rPr>
          <w:rFonts w:ascii="Times New Roman" w:eastAsia="Times New Roman" w:hAnsi="Times New Roman"/>
          <w:sz w:val="24"/>
          <w:szCs w:val="24"/>
          <w:lang w:eastAsia="ru-RU"/>
        </w:rPr>
        <w:t>ВВП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6DA" w:rsidRPr="002C7C95">
        <w:rPr>
          <w:rFonts w:ascii="Times New Roman" w:eastAsia="Times New Roman" w:hAnsi="Times New Roman"/>
          <w:sz w:val="24"/>
          <w:szCs w:val="24"/>
          <w:lang w:eastAsia="ru-RU"/>
        </w:rPr>
        <w:t>страны: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6DA" w:rsidRPr="002C7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6DA" w:rsidRPr="002C7C95">
        <w:rPr>
          <w:rFonts w:ascii="Times New Roman" w:eastAsia="Times New Roman" w:hAnsi="Times New Roman"/>
          <w:sz w:val="24"/>
          <w:szCs w:val="24"/>
          <w:lang w:eastAsia="ru-RU"/>
        </w:rPr>
        <w:t>2023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6DA" w:rsidRPr="002C7C95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6DA" w:rsidRPr="002C7C95">
        <w:rPr>
          <w:rFonts w:ascii="Times New Roman" w:eastAsia="Times New Roman" w:hAnsi="Times New Roman"/>
          <w:sz w:val="24"/>
          <w:szCs w:val="24"/>
          <w:lang w:eastAsia="ru-RU"/>
        </w:rPr>
        <w:t>сектор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6DA" w:rsidRPr="002C7C95">
        <w:rPr>
          <w:rFonts w:ascii="Times New Roman" w:eastAsia="Times New Roman" w:hAnsi="Times New Roman"/>
          <w:sz w:val="24"/>
          <w:szCs w:val="24"/>
          <w:lang w:eastAsia="ru-RU"/>
        </w:rPr>
        <w:t>ИКТ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1376" w:rsidRPr="002C7C95">
        <w:rPr>
          <w:rFonts w:ascii="Times New Roman" w:eastAsia="Times New Roman" w:hAnsi="Times New Roman"/>
          <w:sz w:val="24"/>
          <w:szCs w:val="24"/>
          <w:lang w:eastAsia="ru-RU"/>
        </w:rPr>
        <w:t>Беларуси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6DA" w:rsidRPr="002C7C95">
        <w:rPr>
          <w:rFonts w:ascii="Times New Roman" w:eastAsia="Times New Roman" w:hAnsi="Times New Roman"/>
          <w:sz w:val="24"/>
          <w:szCs w:val="24"/>
          <w:lang w:eastAsia="ru-RU"/>
        </w:rPr>
        <w:t>составлял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6DA" w:rsidRPr="002C7C95">
        <w:rPr>
          <w:rFonts w:ascii="Times New Roman" w:eastAsia="Times New Roman" w:hAnsi="Times New Roman"/>
          <w:sz w:val="24"/>
          <w:szCs w:val="24"/>
          <w:lang w:eastAsia="ru-RU"/>
        </w:rPr>
        <w:t>5,4%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6DA" w:rsidRPr="002C7C95">
        <w:rPr>
          <w:rFonts w:ascii="Times New Roman" w:eastAsia="Times New Roman" w:hAnsi="Times New Roman"/>
          <w:sz w:val="24"/>
          <w:szCs w:val="24"/>
          <w:lang w:eastAsia="ru-RU"/>
        </w:rPr>
        <w:t>ВВП,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6DA" w:rsidRPr="002C7C95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6DA" w:rsidRPr="002C7C95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156DA" w:rsidRPr="002C7C95">
        <w:rPr>
          <w:rFonts w:ascii="Times New Roman" w:eastAsia="Times New Roman" w:hAnsi="Times New Roman"/>
          <w:sz w:val="24"/>
          <w:szCs w:val="24"/>
          <w:lang w:eastAsia="ru-RU"/>
        </w:rPr>
        <w:t>3,5%.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1376" w:rsidRPr="002C7C95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F156DA" w:rsidRPr="002C7C95">
        <w:rPr>
          <w:rFonts w:ascii="Times New Roman" w:hAnsi="Times New Roman"/>
          <w:sz w:val="24"/>
          <w:szCs w:val="24"/>
        </w:rPr>
        <w:t>актором,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актуализирующим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проблему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управления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новейшими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технологиями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Беларуси,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является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отставание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страны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освоении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искусственного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интеллекта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(ИИ)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предпринимательском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секторе.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Если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России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удельный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вес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организаций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предпринимательского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сектора,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использующих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технологии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ИИ</w:t>
      </w:r>
      <w:r w:rsidR="002C7C95">
        <w:rPr>
          <w:rFonts w:ascii="Times New Roman" w:hAnsi="Times New Roman"/>
          <w:sz w:val="24"/>
          <w:szCs w:val="24"/>
        </w:rPr>
        <w:t xml:space="preserve">, </w:t>
      </w:r>
      <w:r w:rsidR="00F156DA"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2023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г.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составил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6</w:t>
      </w:r>
      <w:r w:rsidR="00DD0A38" w:rsidRPr="002C7C95">
        <w:rPr>
          <w:rFonts w:ascii="Times New Roman" w:hAnsi="Times New Roman"/>
          <w:sz w:val="24"/>
          <w:szCs w:val="24"/>
        </w:rPr>
        <w:t>,</w:t>
      </w:r>
      <w:r w:rsidR="00F156DA" w:rsidRPr="002C7C95">
        <w:rPr>
          <w:rFonts w:ascii="Times New Roman" w:hAnsi="Times New Roman"/>
          <w:sz w:val="24"/>
          <w:szCs w:val="24"/>
        </w:rPr>
        <w:t>3%,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что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лишь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на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1,7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п.п.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ниже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среднего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значения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по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странам</w:t>
      </w:r>
      <w:r w:rsidR="002C7C95">
        <w:rPr>
          <w:rFonts w:ascii="Times New Roman" w:hAnsi="Times New Roman"/>
          <w:sz w:val="24"/>
          <w:szCs w:val="24"/>
        </w:rPr>
        <w:t>-</w:t>
      </w:r>
      <w:r w:rsidR="00F156DA" w:rsidRPr="002C7C95">
        <w:rPr>
          <w:rFonts w:ascii="Times New Roman" w:hAnsi="Times New Roman"/>
          <w:sz w:val="24"/>
          <w:szCs w:val="24"/>
        </w:rPr>
        <w:t>членам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ЕС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(рис.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1),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то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Беларуси,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по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данным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Белстат,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удельный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вес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организаций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использующих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ИИ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2023г.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F156DA" w:rsidRPr="002C7C95">
        <w:rPr>
          <w:rFonts w:ascii="Times New Roman" w:hAnsi="Times New Roman"/>
          <w:sz w:val="24"/>
          <w:szCs w:val="24"/>
        </w:rPr>
        <w:t>составляет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5,8</w:t>
      </w:r>
      <w:r w:rsidR="00F156DA" w:rsidRPr="002C7C95">
        <w:rPr>
          <w:rFonts w:ascii="Times New Roman" w:hAnsi="Times New Roman"/>
          <w:sz w:val="24"/>
          <w:szCs w:val="24"/>
        </w:rPr>
        <w:t>%.</w:t>
      </w:r>
    </w:p>
    <w:p w:rsidR="00DD0A38" w:rsidRPr="002C7C95" w:rsidRDefault="007E1E8D" w:rsidP="002C7C9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7C95">
        <w:rPr>
          <w:rFonts w:ascii="Times New Roman" w:hAnsi="Times New Roman"/>
          <w:sz w:val="24"/>
          <w:szCs w:val="24"/>
        </w:rPr>
        <w:t>Следует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отметить,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что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международные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организации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настоящее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время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уделяют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значительное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внимание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темпам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развития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искусственного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интеллекта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международном</w:t>
      </w:r>
      <w:r w:rsidR="002C7C95">
        <w:rPr>
          <w:rFonts w:ascii="Times New Roman" w:hAnsi="Times New Roman"/>
          <w:sz w:val="24"/>
          <w:szCs w:val="24"/>
        </w:rPr>
        <w:t xml:space="preserve"> сопоставлении</w:t>
      </w:r>
      <w:r w:rsidRPr="002C7C95">
        <w:rPr>
          <w:rFonts w:ascii="Times New Roman" w:hAnsi="Times New Roman"/>
          <w:sz w:val="24"/>
          <w:szCs w:val="24"/>
        </w:rPr>
        <w:t>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Индекс</w:t>
      </w:r>
      <w:r w:rsidR="002C7C9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готовности</w:t>
      </w:r>
      <w:r w:rsidR="002C7C9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6F0438" w:rsidRPr="002C7C9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страны</w:t>
      </w:r>
      <w:r w:rsidR="002C7C9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</w:t>
      </w:r>
      <w:r w:rsidR="002C7C9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1F79" w:rsidRPr="002C7C95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C81F79" w:rsidRPr="002C7C95">
        <w:rPr>
          <w:rFonts w:ascii="Times New Roman" w:eastAsia="Times New Roman" w:hAnsi="Times New Roman"/>
          <w:sz w:val="24"/>
          <w:szCs w:val="24"/>
          <w:lang w:val="en-US" w:eastAsia="ru-RU"/>
        </w:rPr>
        <w:t>AI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1F79" w:rsidRPr="002C7C95">
        <w:rPr>
          <w:rFonts w:ascii="Times New Roman" w:eastAsia="Times New Roman" w:hAnsi="Times New Roman"/>
          <w:sz w:val="24"/>
          <w:szCs w:val="24"/>
          <w:lang w:val="en-US" w:eastAsia="ru-RU"/>
        </w:rPr>
        <w:t>Preparedness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1F79" w:rsidRPr="002C7C95">
        <w:rPr>
          <w:rFonts w:ascii="Times New Roman" w:eastAsia="Times New Roman" w:hAnsi="Times New Roman"/>
          <w:sz w:val="24"/>
          <w:szCs w:val="24"/>
          <w:lang w:val="en-US" w:eastAsia="ru-RU"/>
        </w:rPr>
        <w:t>Index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1F79" w:rsidRPr="002C7C95">
        <w:rPr>
          <w:rFonts w:ascii="Times New Roman" w:eastAsia="Times New Roman" w:hAnsi="Times New Roman"/>
          <w:sz w:val="24"/>
          <w:szCs w:val="24"/>
          <w:lang w:eastAsia="ru-RU"/>
        </w:rPr>
        <w:t>2023</w:t>
      </w:r>
      <w:r w:rsidR="006F0438" w:rsidRPr="002C7C95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535B86" w:rsidRPr="002C7C9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МВФ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включает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себя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такие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показатели,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развитие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цифровой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инфраструктуры,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инвестиции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человеческий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капитал,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технологические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инновации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правовые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рамки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использования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ИИ.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Оценка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готовности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стран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внедрению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основывается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данных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восьми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организаций,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включая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Международную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организацию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т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руда,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Всемирный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банк,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Всемирный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экономический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форум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другие.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0A38" w:rsidRPr="002C7C95">
        <w:rPr>
          <w:rFonts w:ascii="Times New Roman" w:eastAsia="Times New Roman" w:hAnsi="Times New Roman"/>
          <w:sz w:val="24"/>
          <w:szCs w:val="24"/>
          <w:lang w:eastAsia="ru-RU"/>
        </w:rPr>
        <w:t>Беларусь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0A38" w:rsidRPr="002C7C95">
        <w:rPr>
          <w:rFonts w:ascii="Times New Roman" w:eastAsia="Times New Roman" w:hAnsi="Times New Roman"/>
          <w:sz w:val="24"/>
          <w:szCs w:val="24"/>
          <w:lang w:eastAsia="ru-RU"/>
        </w:rPr>
        <w:t>находится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0A38" w:rsidRPr="002C7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0A38" w:rsidRPr="002C7C95">
        <w:rPr>
          <w:rFonts w:ascii="Times New Roman" w:eastAsia="Times New Roman" w:hAnsi="Times New Roman"/>
          <w:sz w:val="24"/>
          <w:szCs w:val="24"/>
          <w:lang w:eastAsia="ru-RU"/>
        </w:rPr>
        <w:t>Индексе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0A38" w:rsidRPr="002C7C95">
        <w:rPr>
          <w:rFonts w:ascii="Times New Roman" w:eastAsia="Times New Roman" w:hAnsi="Times New Roman"/>
          <w:sz w:val="24"/>
          <w:szCs w:val="24"/>
          <w:lang w:eastAsia="ru-RU"/>
        </w:rPr>
        <w:t>готовности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0A38" w:rsidRPr="002C7C95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0A38" w:rsidRPr="002C7C95">
        <w:rPr>
          <w:rFonts w:ascii="Times New Roman" w:eastAsia="Times New Roman" w:hAnsi="Times New Roman"/>
          <w:sz w:val="24"/>
          <w:szCs w:val="24"/>
          <w:lang w:eastAsia="ru-RU"/>
        </w:rPr>
        <w:t>ИИ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0A38" w:rsidRPr="002C7C95">
        <w:rPr>
          <w:rFonts w:ascii="Times New Roman" w:eastAsia="Times New Roman" w:hAnsi="Times New Roman"/>
          <w:sz w:val="24"/>
          <w:szCs w:val="24"/>
          <w:lang w:eastAsia="ru-RU"/>
        </w:rPr>
        <w:t>среди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0A38" w:rsidRPr="002C7C95">
        <w:rPr>
          <w:rFonts w:ascii="Times New Roman" w:eastAsia="Times New Roman" w:hAnsi="Times New Roman"/>
          <w:sz w:val="24"/>
          <w:szCs w:val="24"/>
          <w:lang w:eastAsia="ru-RU"/>
        </w:rPr>
        <w:t>174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0A38" w:rsidRPr="002C7C95">
        <w:rPr>
          <w:rFonts w:ascii="Times New Roman" w:eastAsia="Times New Roman" w:hAnsi="Times New Roman"/>
          <w:sz w:val="24"/>
          <w:szCs w:val="24"/>
          <w:lang w:eastAsia="ru-RU"/>
        </w:rPr>
        <w:t>стран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0A38" w:rsidRPr="002C7C9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0A38" w:rsidRPr="002C7C95">
        <w:rPr>
          <w:rFonts w:ascii="Times New Roman" w:eastAsia="Times New Roman" w:hAnsi="Times New Roman"/>
          <w:sz w:val="24"/>
          <w:szCs w:val="24"/>
          <w:lang w:eastAsia="ru-RU"/>
        </w:rPr>
        <w:t>82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0A38" w:rsidRPr="002C7C95">
        <w:rPr>
          <w:rFonts w:ascii="Times New Roman" w:eastAsia="Times New Roman" w:hAnsi="Times New Roman"/>
          <w:sz w:val="24"/>
          <w:szCs w:val="24"/>
          <w:lang w:eastAsia="ru-RU"/>
        </w:rPr>
        <w:t>месте,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0A38" w:rsidRPr="002C7C95">
        <w:rPr>
          <w:rFonts w:ascii="Times New Roman" w:eastAsia="Times New Roman" w:hAnsi="Times New Roman"/>
          <w:sz w:val="24"/>
          <w:szCs w:val="24"/>
          <w:lang w:eastAsia="ru-RU"/>
        </w:rPr>
        <w:t>набрав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0A38" w:rsidRPr="002C7C95">
        <w:rPr>
          <w:rFonts w:ascii="Times New Roman" w:eastAsia="Times New Roman" w:hAnsi="Times New Roman"/>
          <w:sz w:val="24"/>
          <w:szCs w:val="24"/>
          <w:lang w:eastAsia="ru-RU"/>
        </w:rPr>
        <w:t>0,47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0A38" w:rsidRPr="002C7C95">
        <w:rPr>
          <w:rFonts w:ascii="Times New Roman" w:eastAsia="Times New Roman" w:hAnsi="Times New Roman"/>
          <w:sz w:val="24"/>
          <w:szCs w:val="24"/>
          <w:lang w:eastAsia="ru-RU"/>
        </w:rPr>
        <w:t>балла,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0A38" w:rsidRPr="002C7C95">
        <w:rPr>
          <w:rFonts w:ascii="Times New Roman" w:eastAsia="Times New Roman" w:hAnsi="Times New Roman"/>
          <w:sz w:val="24"/>
          <w:szCs w:val="24"/>
          <w:lang w:eastAsia="ru-RU"/>
        </w:rPr>
        <w:t>Россия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0A38" w:rsidRPr="002C7C9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0A38" w:rsidRPr="002C7C95">
        <w:rPr>
          <w:rFonts w:ascii="Times New Roman" w:eastAsia="Times New Roman" w:hAnsi="Times New Roman"/>
          <w:sz w:val="24"/>
          <w:szCs w:val="24"/>
          <w:lang w:eastAsia="ru-RU"/>
        </w:rPr>
        <w:t>47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0A38" w:rsidRPr="002C7C95">
        <w:rPr>
          <w:rFonts w:ascii="Times New Roman" w:eastAsia="Times New Roman" w:hAnsi="Times New Roman"/>
          <w:sz w:val="24"/>
          <w:szCs w:val="24"/>
          <w:lang w:eastAsia="ru-RU"/>
        </w:rPr>
        <w:t>месте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0A38" w:rsidRPr="002C7C95">
        <w:rPr>
          <w:rFonts w:ascii="Times New Roman" w:eastAsia="Times New Roman" w:hAnsi="Times New Roman"/>
          <w:sz w:val="24"/>
          <w:szCs w:val="24"/>
          <w:lang w:eastAsia="ru-RU"/>
        </w:rPr>
        <w:t>(0,56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0A38" w:rsidRPr="002C7C95">
        <w:rPr>
          <w:rFonts w:ascii="Times New Roman" w:eastAsia="Times New Roman" w:hAnsi="Times New Roman"/>
          <w:sz w:val="24"/>
          <w:szCs w:val="24"/>
          <w:lang w:eastAsia="ru-RU"/>
        </w:rPr>
        <w:t>балла).</w:t>
      </w:r>
    </w:p>
    <w:p w:rsidR="007E1E8D" w:rsidRDefault="00F67466" w:rsidP="00F6746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6746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59450" cy="2267409"/>
            <wp:effectExtent l="19050" t="0" r="1270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67466" w:rsidRPr="00F67466" w:rsidRDefault="00F67466" w:rsidP="00F67466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F67466">
        <w:rPr>
          <w:rFonts w:ascii="Times New Roman" w:hAnsi="Times New Roman"/>
        </w:rPr>
        <w:t>Источник: данные ИСИЭЗ НИУ ВШЭ (</w:t>
      </w:r>
      <w:r w:rsidRPr="00F67466">
        <w:rPr>
          <w:rFonts w:ascii="Times New Roman" w:hAnsi="Times New Roman"/>
          <w:lang w:val="en-US"/>
        </w:rPr>
        <w:t>issek</w:t>
      </w:r>
      <w:r w:rsidRPr="00F67466">
        <w:rPr>
          <w:rFonts w:ascii="Times New Roman" w:hAnsi="Times New Roman"/>
        </w:rPr>
        <w:t>.</w:t>
      </w:r>
      <w:r w:rsidRPr="00F67466">
        <w:rPr>
          <w:rFonts w:ascii="Times New Roman" w:hAnsi="Times New Roman"/>
          <w:lang w:val="en-US"/>
        </w:rPr>
        <w:t>hse</w:t>
      </w:r>
      <w:r w:rsidRPr="00F67466">
        <w:rPr>
          <w:rFonts w:ascii="Times New Roman" w:hAnsi="Times New Roman"/>
        </w:rPr>
        <w:t>.</w:t>
      </w:r>
      <w:r w:rsidRPr="00F67466">
        <w:rPr>
          <w:rFonts w:ascii="Times New Roman" w:hAnsi="Times New Roman"/>
          <w:lang w:val="en-US"/>
        </w:rPr>
        <w:t>ru</w:t>
      </w:r>
      <w:r w:rsidRPr="00F67466">
        <w:rPr>
          <w:rFonts w:ascii="Times New Roman" w:hAnsi="Times New Roman"/>
        </w:rPr>
        <w:t>)</w:t>
      </w:r>
    </w:p>
    <w:p w:rsidR="007E1E8D" w:rsidRPr="00F67466" w:rsidRDefault="007E1E8D" w:rsidP="00F6746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7466">
        <w:rPr>
          <w:rFonts w:ascii="Times New Roman" w:hAnsi="Times New Roman"/>
          <w:b/>
          <w:sz w:val="24"/>
          <w:szCs w:val="24"/>
        </w:rPr>
        <w:t>Рис</w:t>
      </w:r>
      <w:r w:rsidR="00F67466" w:rsidRPr="00F67466">
        <w:rPr>
          <w:rFonts w:ascii="Times New Roman" w:hAnsi="Times New Roman"/>
          <w:b/>
          <w:sz w:val="24"/>
          <w:szCs w:val="24"/>
        </w:rPr>
        <w:t>унок</w:t>
      </w:r>
      <w:r w:rsidR="002C7C95" w:rsidRPr="00F67466">
        <w:rPr>
          <w:rFonts w:ascii="Times New Roman" w:hAnsi="Times New Roman"/>
          <w:b/>
          <w:sz w:val="24"/>
          <w:szCs w:val="24"/>
        </w:rPr>
        <w:t xml:space="preserve"> </w:t>
      </w:r>
      <w:r w:rsidRPr="00F67466">
        <w:rPr>
          <w:rFonts w:ascii="Times New Roman" w:hAnsi="Times New Roman"/>
          <w:b/>
          <w:sz w:val="24"/>
          <w:szCs w:val="24"/>
        </w:rPr>
        <w:t>1.</w:t>
      </w:r>
      <w:r w:rsidR="00F67466">
        <w:rPr>
          <w:rFonts w:ascii="Times New Roman" w:hAnsi="Times New Roman"/>
          <w:b/>
          <w:sz w:val="24"/>
          <w:szCs w:val="24"/>
        </w:rPr>
        <w:br/>
      </w:r>
      <w:r w:rsidRPr="00F67466">
        <w:rPr>
          <w:rFonts w:ascii="Times New Roman" w:hAnsi="Times New Roman"/>
          <w:b/>
          <w:sz w:val="24"/>
          <w:szCs w:val="24"/>
        </w:rPr>
        <w:t>Использование</w:t>
      </w:r>
      <w:r w:rsidR="002C7C95" w:rsidRPr="00F67466">
        <w:rPr>
          <w:rFonts w:ascii="Times New Roman" w:hAnsi="Times New Roman"/>
          <w:b/>
          <w:sz w:val="24"/>
          <w:szCs w:val="24"/>
        </w:rPr>
        <w:t xml:space="preserve"> </w:t>
      </w:r>
      <w:r w:rsidRPr="00F67466">
        <w:rPr>
          <w:rFonts w:ascii="Times New Roman" w:hAnsi="Times New Roman"/>
          <w:b/>
          <w:sz w:val="24"/>
          <w:szCs w:val="24"/>
        </w:rPr>
        <w:t>технологий</w:t>
      </w:r>
      <w:r w:rsidR="002C7C95" w:rsidRPr="00F67466">
        <w:rPr>
          <w:rFonts w:ascii="Times New Roman" w:hAnsi="Times New Roman"/>
          <w:b/>
          <w:sz w:val="24"/>
          <w:szCs w:val="24"/>
        </w:rPr>
        <w:t xml:space="preserve"> </w:t>
      </w:r>
      <w:r w:rsidRPr="00F67466">
        <w:rPr>
          <w:rFonts w:ascii="Times New Roman" w:hAnsi="Times New Roman"/>
          <w:b/>
          <w:sz w:val="24"/>
          <w:szCs w:val="24"/>
        </w:rPr>
        <w:t>искусственного</w:t>
      </w:r>
      <w:r w:rsidR="002C7C95" w:rsidRPr="00F67466">
        <w:rPr>
          <w:rFonts w:ascii="Times New Roman" w:hAnsi="Times New Roman"/>
          <w:b/>
          <w:sz w:val="24"/>
          <w:szCs w:val="24"/>
        </w:rPr>
        <w:t xml:space="preserve"> </w:t>
      </w:r>
      <w:r w:rsidRPr="00F67466">
        <w:rPr>
          <w:rFonts w:ascii="Times New Roman" w:hAnsi="Times New Roman"/>
          <w:b/>
          <w:sz w:val="24"/>
          <w:szCs w:val="24"/>
        </w:rPr>
        <w:t>интеллекта</w:t>
      </w:r>
      <w:r w:rsidR="002C7C95" w:rsidRPr="00F67466">
        <w:rPr>
          <w:rFonts w:ascii="Times New Roman" w:hAnsi="Times New Roman"/>
          <w:b/>
          <w:sz w:val="24"/>
          <w:szCs w:val="24"/>
        </w:rPr>
        <w:t xml:space="preserve"> </w:t>
      </w:r>
      <w:r w:rsidRPr="00F67466">
        <w:rPr>
          <w:rFonts w:ascii="Times New Roman" w:hAnsi="Times New Roman"/>
          <w:b/>
          <w:sz w:val="24"/>
          <w:szCs w:val="24"/>
        </w:rPr>
        <w:t>в</w:t>
      </w:r>
      <w:r w:rsidR="002C7C95" w:rsidRPr="00F67466">
        <w:rPr>
          <w:rFonts w:ascii="Times New Roman" w:hAnsi="Times New Roman"/>
          <w:b/>
          <w:sz w:val="24"/>
          <w:szCs w:val="24"/>
        </w:rPr>
        <w:t xml:space="preserve"> </w:t>
      </w:r>
      <w:r w:rsidRPr="00F67466">
        <w:rPr>
          <w:rFonts w:ascii="Times New Roman" w:hAnsi="Times New Roman"/>
          <w:b/>
          <w:sz w:val="24"/>
          <w:szCs w:val="24"/>
        </w:rPr>
        <w:t>предпринимательском</w:t>
      </w:r>
      <w:r w:rsidR="002C7C95" w:rsidRPr="00F67466">
        <w:rPr>
          <w:rFonts w:ascii="Times New Roman" w:hAnsi="Times New Roman"/>
          <w:b/>
          <w:sz w:val="24"/>
          <w:szCs w:val="24"/>
        </w:rPr>
        <w:t xml:space="preserve"> </w:t>
      </w:r>
      <w:r w:rsidRPr="00F67466">
        <w:rPr>
          <w:rFonts w:ascii="Times New Roman" w:hAnsi="Times New Roman"/>
          <w:b/>
          <w:sz w:val="24"/>
          <w:szCs w:val="24"/>
        </w:rPr>
        <w:t>секторе:</w:t>
      </w:r>
      <w:r w:rsidR="002C7C95" w:rsidRPr="00F67466">
        <w:rPr>
          <w:rFonts w:ascii="Times New Roman" w:hAnsi="Times New Roman"/>
          <w:b/>
          <w:sz w:val="24"/>
          <w:szCs w:val="24"/>
        </w:rPr>
        <w:t xml:space="preserve"> </w:t>
      </w:r>
      <w:r w:rsidRPr="00F67466">
        <w:rPr>
          <w:rFonts w:ascii="Times New Roman" w:hAnsi="Times New Roman"/>
          <w:b/>
          <w:sz w:val="24"/>
          <w:szCs w:val="24"/>
        </w:rPr>
        <w:t>2023</w:t>
      </w:r>
      <w:r w:rsidR="002C7C95" w:rsidRPr="00F67466">
        <w:rPr>
          <w:rFonts w:ascii="Times New Roman" w:hAnsi="Times New Roman"/>
          <w:b/>
          <w:sz w:val="24"/>
          <w:szCs w:val="24"/>
        </w:rPr>
        <w:t xml:space="preserve"> </w:t>
      </w:r>
      <w:r w:rsidRPr="00F67466">
        <w:rPr>
          <w:rFonts w:ascii="Times New Roman" w:hAnsi="Times New Roman"/>
          <w:b/>
          <w:sz w:val="24"/>
          <w:szCs w:val="24"/>
        </w:rPr>
        <w:t>(в</w:t>
      </w:r>
      <w:r w:rsidR="002C7C95" w:rsidRPr="00F67466">
        <w:rPr>
          <w:rFonts w:ascii="Times New Roman" w:hAnsi="Times New Roman"/>
          <w:b/>
          <w:sz w:val="24"/>
          <w:szCs w:val="24"/>
        </w:rPr>
        <w:t xml:space="preserve"> </w:t>
      </w:r>
      <w:r w:rsidRPr="00F67466">
        <w:rPr>
          <w:rFonts w:ascii="Times New Roman" w:hAnsi="Times New Roman"/>
          <w:b/>
          <w:sz w:val="24"/>
          <w:szCs w:val="24"/>
        </w:rPr>
        <w:t>процентах</w:t>
      </w:r>
      <w:r w:rsidR="002C7C95" w:rsidRPr="00F67466">
        <w:rPr>
          <w:rFonts w:ascii="Times New Roman" w:hAnsi="Times New Roman"/>
          <w:b/>
          <w:sz w:val="24"/>
          <w:szCs w:val="24"/>
        </w:rPr>
        <w:t xml:space="preserve"> </w:t>
      </w:r>
      <w:r w:rsidRPr="00F67466">
        <w:rPr>
          <w:rFonts w:ascii="Times New Roman" w:hAnsi="Times New Roman"/>
          <w:b/>
          <w:sz w:val="24"/>
          <w:szCs w:val="24"/>
        </w:rPr>
        <w:t>от</w:t>
      </w:r>
      <w:r w:rsidR="002C7C95" w:rsidRPr="00F67466">
        <w:rPr>
          <w:rFonts w:ascii="Times New Roman" w:hAnsi="Times New Roman"/>
          <w:b/>
          <w:sz w:val="24"/>
          <w:szCs w:val="24"/>
        </w:rPr>
        <w:t xml:space="preserve"> </w:t>
      </w:r>
      <w:r w:rsidRPr="00F67466">
        <w:rPr>
          <w:rFonts w:ascii="Times New Roman" w:hAnsi="Times New Roman"/>
          <w:b/>
          <w:sz w:val="24"/>
          <w:szCs w:val="24"/>
        </w:rPr>
        <w:t>общего</w:t>
      </w:r>
      <w:r w:rsidR="002C7C95" w:rsidRPr="00F67466">
        <w:rPr>
          <w:rFonts w:ascii="Times New Roman" w:hAnsi="Times New Roman"/>
          <w:b/>
          <w:sz w:val="24"/>
          <w:szCs w:val="24"/>
        </w:rPr>
        <w:t xml:space="preserve"> </w:t>
      </w:r>
      <w:r w:rsidRPr="00F67466">
        <w:rPr>
          <w:rFonts w:ascii="Times New Roman" w:hAnsi="Times New Roman"/>
          <w:b/>
          <w:sz w:val="24"/>
          <w:szCs w:val="24"/>
        </w:rPr>
        <w:t>числа</w:t>
      </w:r>
      <w:r w:rsidR="002C7C95" w:rsidRPr="00F67466">
        <w:rPr>
          <w:rFonts w:ascii="Times New Roman" w:hAnsi="Times New Roman"/>
          <w:b/>
          <w:sz w:val="24"/>
          <w:szCs w:val="24"/>
        </w:rPr>
        <w:t xml:space="preserve"> </w:t>
      </w:r>
      <w:r w:rsidRPr="00F67466">
        <w:rPr>
          <w:rFonts w:ascii="Times New Roman" w:hAnsi="Times New Roman"/>
          <w:b/>
          <w:sz w:val="24"/>
          <w:szCs w:val="24"/>
        </w:rPr>
        <w:t>организаций</w:t>
      </w:r>
      <w:r w:rsidR="002C7C95" w:rsidRPr="00F67466">
        <w:rPr>
          <w:rFonts w:ascii="Times New Roman" w:hAnsi="Times New Roman"/>
          <w:b/>
          <w:sz w:val="24"/>
          <w:szCs w:val="24"/>
        </w:rPr>
        <w:t xml:space="preserve"> </w:t>
      </w:r>
      <w:r w:rsidRPr="00F67466">
        <w:rPr>
          <w:rFonts w:ascii="Times New Roman" w:hAnsi="Times New Roman"/>
          <w:b/>
          <w:sz w:val="24"/>
          <w:szCs w:val="24"/>
        </w:rPr>
        <w:t>предпринимательского</w:t>
      </w:r>
      <w:r w:rsidR="002C7C95" w:rsidRPr="00F67466">
        <w:rPr>
          <w:rFonts w:ascii="Times New Roman" w:hAnsi="Times New Roman"/>
          <w:b/>
          <w:sz w:val="24"/>
          <w:szCs w:val="24"/>
        </w:rPr>
        <w:t xml:space="preserve"> </w:t>
      </w:r>
      <w:r w:rsidRPr="00F67466">
        <w:rPr>
          <w:rFonts w:ascii="Times New Roman" w:hAnsi="Times New Roman"/>
          <w:b/>
          <w:sz w:val="24"/>
          <w:szCs w:val="24"/>
        </w:rPr>
        <w:t>сектора)</w:t>
      </w:r>
    </w:p>
    <w:p w:rsidR="000032E9" w:rsidRPr="002C7C95" w:rsidRDefault="00C75647" w:rsidP="002C7C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C95">
        <w:rPr>
          <w:rFonts w:ascii="Times New Roman" w:hAnsi="Times New Roman"/>
          <w:sz w:val="24"/>
          <w:szCs w:val="24"/>
        </w:rPr>
        <w:t>Литва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Польша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заняли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соответственно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26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38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место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рейтинге,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лидером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был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Сингапур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(0,80),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США</w:t>
      </w:r>
      <w:r w:rsidR="00F67466">
        <w:rPr>
          <w:rFonts w:ascii="Times New Roman" w:hAnsi="Times New Roman"/>
          <w:sz w:val="24"/>
          <w:szCs w:val="24"/>
        </w:rPr>
        <w:t xml:space="preserve"> –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втором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месте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(0,78).</w:t>
      </w:r>
      <w:r w:rsidR="002C7C95">
        <w:rPr>
          <w:rFonts w:ascii="Times New Roman" w:hAnsi="Times New Roman"/>
          <w:sz w:val="24"/>
          <w:szCs w:val="24"/>
        </w:rPr>
        <w:t xml:space="preserve"> </w:t>
      </w:r>
    </w:p>
    <w:p w:rsidR="000032E9" w:rsidRPr="002C7C95" w:rsidRDefault="00C81F79" w:rsidP="002C7C9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7C95">
        <w:rPr>
          <w:rFonts w:ascii="Times New Roman" w:hAnsi="Times New Roman"/>
          <w:sz w:val="24"/>
          <w:szCs w:val="24"/>
        </w:rPr>
        <w:t>Другим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комплексным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индикатором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является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Индекс</w:t>
      </w:r>
      <w:r w:rsidR="002C7C9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готовности</w:t>
      </w:r>
      <w:r w:rsidR="002C7C9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правительств</w:t>
      </w:r>
      <w:r w:rsidR="002C7C9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к</w:t>
      </w:r>
      <w:r w:rsidR="002C7C9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ИИ</w:t>
      </w:r>
      <w:r w:rsid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(The</w:t>
      </w:r>
      <w:r w:rsid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Government</w:t>
      </w:r>
      <w:r w:rsid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AI</w:t>
      </w:r>
      <w:r w:rsid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Readiness</w:t>
      </w:r>
      <w:r w:rsid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Index</w:t>
      </w:r>
      <w:r w:rsid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</w:t>
      </w:r>
      <w:r w:rsidR="00374406"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),</w:t>
      </w:r>
      <w:r w:rsidR="00C90CEB" w:rsidRPr="002C7C95">
        <w:rPr>
          <w:rStyle w:val="a7"/>
          <w:rFonts w:ascii="Times New Roman" w:hAnsi="Times New Roman"/>
          <w:color w:val="000000"/>
          <w:sz w:val="24"/>
          <w:szCs w:val="24"/>
          <w:shd w:val="clear" w:color="auto" w:fill="FFFFFF"/>
        </w:rPr>
        <w:footnoteReference w:id="2"/>
      </w:r>
      <w:r w:rsid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опубликованный</w:t>
      </w:r>
      <w:r w:rsid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компанией</w:t>
      </w:r>
      <w:r w:rsid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Oxford</w:t>
      </w:r>
      <w:r w:rsid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Insights.</w:t>
      </w:r>
      <w:r w:rsid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Исследование</w:t>
      </w:r>
      <w:r w:rsid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охватывает</w:t>
      </w:r>
      <w:r w:rsid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74406"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193</w:t>
      </w:r>
      <w:r w:rsid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стран</w:t>
      </w:r>
      <w:r w:rsidR="00374406"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</w:t>
      </w:r>
      <w:r w:rsid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оценивает</w:t>
      </w:r>
      <w:r w:rsid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их</w:t>
      </w:r>
      <w:r w:rsid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способности</w:t>
      </w:r>
      <w:r w:rsid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внедрять</w:t>
      </w:r>
      <w:r w:rsid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ИИ</w:t>
      </w:r>
      <w:r w:rsid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сферу</w:t>
      </w:r>
      <w:r w:rsid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государственного</w:t>
      </w:r>
      <w:r w:rsid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7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управления.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406" w:rsidRPr="002C7C95">
        <w:rPr>
          <w:rFonts w:ascii="Times New Roman" w:eastAsia="Times New Roman" w:hAnsi="Times New Roman"/>
          <w:sz w:val="24"/>
          <w:szCs w:val="24"/>
          <w:lang w:eastAsia="ru-RU"/>
        </w:rPr>
        <w:t>Индекс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406" w:rsidRPr="002C7C95">
        <w:rPr>
          <w:rFonts w:ascii="Times New Roman" w:eastAsia="Times New Roman" w:hAnsi="Times New Roman"/>
          <w:sz w:val="24"/>
          <w:szCs w:val="24"/>
          <w:lang w:eastAsia="ru-RU"/>
        </w:rPr>
        <w:t>ранжирует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406" w:rsidRPr="002C7C95">
        <w:rPr>
          <w:rFonts w:ascii="Times New Roman" w:eastAsia="Times New Roman" w:hAnsi="Times New Roman"/>
          <w:sz w:val="24"/>
          <w:szCs w:val="24"/>
          <w:lang w:eastAsia="ru-RU"/>
        </w:rPr>
        <w:t>страны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406" w:rsidRPr="002C7C9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406" w:rsidRPr="002C7C95">
        <w:rPr>
          <w:rFonts w:ascii="Times New Roman" w:eastAsia="Times New Roman" w:hAnsi="Times New Roman"/>
          <w:sz w:val="24"/>
          <w:szCs w:val="24"/>
          <w:lang w:eastAsia="ru-RU"/>
        </w:rPr>
        <w:t>основе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406" w:rsidRPr="002C7C95">
        <w:rPr>
          <w:rFonts w:ascii="Times New Roman" w:eastAsia="Times New Roman" w:hAnsi="Times New Roman"/>
          <w:sz w:val="24"/>
          <w:szCs w:val="24"/>
          <w:lang w:eastAsia="ru-RU"/>
        </w:rPr>
        <w:t>39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406" w:rsidRPr="002C7C95">
        <w:rPr>
          <w:rFonts w:ascii="Times New Roman" w:eastAsia="Times New Roman" w:hAnsi="Times New Roman"/>
          <w:sz w:val="24"/>
          <w:szCs w:val="24"/>
          <w:lang w:eastAsia="ru-RU"/>
        </w:rPr>
        <w:t>показателей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406" w:rsidRPr="002C7C95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406" w:rsidRPr="002C7C9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406" w:rsidRPr="002C7C95">
        <w:rPr>
          <w:rFonts w:ascii="Times New Roman" w:eastAsia="Times New Roman" w:hAnsi="Times New Roman"/>
          <w:sz w:val="24"/>
          <w:szCs w:val="24"/>
          <w:lang w:eastAsia="ru-RU"/>
        </w:rPr>
        <w:t>измерениям,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406" w:rsidRPr="002C7C95">
        <w:rPr>
          <w:rFonts w:ascii="Times New Roman" w:eastAsia="Times New Roman" w:hAnsi="Times New Roman"/>
          <w:sz w:val="24"/>
          <w:szCs w:val="24"/>
          <w:lang w:eastAsia="ru-RU"/>
        </w:rPr>
        <w:t>которые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406" w:rsidRPr="002C7C95">
        <w:rPr>
          <w:rFonts w:ascii="Times New Roman" w:eastAsia="Times New Roman" w:hAnsi="Times New Roman"/>
          <w:sz w:val="24"/>
          <w:szCs w:val="24"/>
          <w:lang w:eastAsia="ru-RU"/>
        </w:rPr>
        <w:t>объединяются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406" w:rsidRPr="002C7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406" w:rsidRPr="002C7C95">
        <w:rPr>
          <w:rFonts w:ascii="Times New Roman" w:eastAsia="Times New Roman" w:hAnsi="Times New Roman"/>
          <w:sz w:val="24"/>
          <w:szCs w:val="24"/>
          <w:lang w:eastAsia="ru-RU"/>
        </w:rPr>
        <w:t>три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406" w:rsidRPr="002C7C95">
        <w:rPr>
          <w:rFonts w:ascii="Times New Roman" w:eastAsia="Times New Roman" w:hAnsi="Times New Roman"/>
          <w:sz w:val="24"/>
          <w:szCs w:val="24"/>
          <w:lang w:eastAsia="ru-RU"/>
        </w:rPr>
        <w:t>основных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406" w:rsidRPr="002C7C95">
        <w:rPr>
          <w:rFonts w:ascii="Times New Roman" w:eastAsia="Times New Roman" w:hAnsi="Times New Roman"/>
          <w:sz w:val="24"/>
          <w:szCs w:val="24"/>
          <w:lang w:eastAsia="ru-RU"/>
        </w:rPr>
        <w:t>направления: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406" w:rsidRPr="002C7C95">
        <w:rPr>
          <w:rFonts w:ascii="Times New Roman" w:eastAsia="Times New Roman" w:hAnsi="Times New Roman"/>
          <w:sz w:val="24"/>
          <w:szCs w:val="24"/>
          <w:lang w:eastAsia="ru-RU"/>
        </w:rPr>
        <w:t>правительственный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406" w:rsidRPr="002C7C95">
        <w:rPr>
          <w:rFonts w:ascii="Times New Roman" w:eastAsia="Times New Roman" w:hAnsi="Times New Roman"/>
          <w:sz w:val="24"/>
          <w:szCs w:val="24"/>
          <w:lang w:eastAsia="ru-RU"/>
        </w:rPr>
        <w:t>сектор,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406" w:rsidRPr="002C7C95">
        <w:rPr>
          <w:rFonts w:ascii="Times New Roman" w:eastAsia="Times New Roman" w:hAnsi="Times New Roman"/>
          <w:sz w:val="24"/>
          <w:szCs w:val="24"/>
          <w:lang w:eastAsia="ru-RU"/>
        </w:rPr>
        <w:t>технологический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406" w:rsidRPr="002C7C95">
        <w:rPr>
          <w:rFonts w:ascii="Times New Roman" w:eastAsia="Times New Roman" w:hAnsi="Times New Roman"/>
          <w:sz w:val="24"/>
          <w:szCs w:val="24"/>
          <w:lang w:eastAsia="ru-RU"/>
        </w:rPr>
        <w:t>сектор,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406" w:rsidRPr="002C7C95">
        <w:rPr>
          <w:rFonts w:ascii="Times New Roman" w:eastAsia="Times New Roman" w:hAnsi="Times New Roman"/>
          <w:sz w:val="24"/>
          <w:szCs w:val="24"/>
          <w:lang w:eastAsia="ru-RU"/>
        </w:rPr>
        <w:t>сектор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406" w:rsidRPr="002C7C95">
        <w:rPr>
          <w:rFonts w:ascii="Times New Roman" w:eastAsia="Times New Roman" w:hAnsi="Times New Roman"/>
          <w:sz w:val="24"/>
          <w:szCs w:val="24"/>
          <w:lang w:eastAsia="ru-RU"/>
        </w:rPr>
        <w:t>данных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406"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406" w:rsidRPr="002C7C95">
        <w:rPr>
          <w:rFonts w:ascii="Times New Roman" w:eastAsia="Times New Roman" w:hAnsi="Times New Roman"/>
          <w:sz w:val="24"/>
          <w:szCs w:val="24"/>
          <w:lang w:eastAsia="ru-RU"/>
        </w:rPr>
        <w:t>инфраструктуры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Россия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этом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рейтинге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занимает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38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место,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Беларусь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7466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107.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Существенное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отставание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Беларуси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обусловлено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слабыми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институтами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государственного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5B86" w:rsidRPr="002C7C95">
        <w:rPr>
          <w:rFonts w:ascii="Times New Roman" w:eastAsia="Times New Roman" w:hAnsi="Times New Roman"/>
          <w:sz w:val="24"/>
          <w:szCs w:val="24"/>
          <w:lang w:eastAsia="ru-RU"/>
        </w:rPr>
        <w:t>управления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5B86" w:rsidRPr="002C7C95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искусственного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интеллекта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5B86" w:rsidRPr="002C7C95">
        <w:rPr>
          <w:rFonts w:ascii="Times New Roman" w:eastAsia="Times New Roman" w:hAnsi="Times New Roman"/>
          <w:sz w:val="24"/>
          <w:szCs w:val="24"/>
          <w:lang w:eastAsia="ru-RU"/>
        </w:rPr>
        <w:t>(правительственный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сектор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7466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30,95;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технологический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7466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32,23;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сектор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инфраструктуры</w:t>
      </w:r>
      <w:r w:rsidR="00F67466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54,38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CEB" w:rsidRPr="002C7C95">
        <w:rPr>
          <w:rFonts w:ascii="Times New Roman" w:eastAsia="Times New Roman" w:hAnsi="Times New Roman"/>
          <w:sz w:val="24"/>
          <w:szCs w:val="24"/>
          <w:lang w:eastAsia="ru-RU"/>
        </w:rPr>
        <w:t>балла).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376" w:rsidRPr="002C7C95" w:rsidRDefault="00C90CEB" w:rsidP="002C7C9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Таким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образом,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проведенный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заключить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проблема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управления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новейшими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технологиями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является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актуальной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задачей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стран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Союзного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государства.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Беларусь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может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использовать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опыт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рамках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реализации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программ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Союзного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государства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сфере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новейших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технологий.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Кроме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того</w:t>
      </w:r>
      <w:r w:rsidR="00535B86" w:rsidRPr="002C7C9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страны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могут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оценить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опыт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стран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ОЭСР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разработке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новых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методов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управления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новейшими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технологиями.</w:t>
      </w:r>
    </w:p>
    <w:p w:rsidR="00131376" w:rsidRPr="002C7C95" w:rsidRDefault="00131376" w:rsidP="002C7C9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7C95">
        <w:rPr>
          <w:rFonts w:ascii="Times New Roman" w:hAnsi="Times New Roman"/>
          <w:sz w:val="24"/>
          <w:szCs w:val="24"/>
        </w:rPr>
        <w:t>Исследование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показывает,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что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создание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долгосрочного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потенциала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для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более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эффективного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инновационного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125DD7" w:rsidRPr="002C7C95">
        <w:rPr>
          <w:rFonts w:ascii="Times New Roman" w:hAnsi="Times New Roman"/>
          <w:sz w:val="24"/>
          <w:szCs w:val="24"/>
        </w:rPr>
        <w:t>развития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125DD7" w:rsidRPr="002C7C95">
        <w:rPr>
          <w:rFonts w:ascii="Times New Roman" w:hAnsi="Times New Roman"/>
          <w:sz w:val="24"/>
          <w:szCs w:val="24"/>
        </w:rPr>
        <w:t>стран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125DD7" w:rsidRPr="002C7C95">
        <w:rPr>
          <w:rFonts w:ascii="Times New Roman" w:hAnsi="Times New Roman"/>
          <w:sz w:val="24"/>
          <w:szCs w:val="24"/>
        </w:rPr>
        <w:t>ОЭСР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125DD7" w:rsidRPr="002C7C95">
        <w:rPr>
          <w:rFonts w:ascii="Times New Roman" w:hAnsi="Times New Roman"/>
          <w:sz w:val="24"/>
          <w:szCs w:val="24"/>
        </w:rPr>
        <w:t>основано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принципах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"упреждающего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управления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технологиями"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(anticipatory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technology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governance).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Этот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подход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современном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управлении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новейшими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технологиями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определен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новой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Рамочной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программой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упреждающего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управления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(Framework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for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Anticipatory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Governance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of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Emerging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Technologies).</w:t>
      </w:r>
      <w:r w:rsidRPr="002C7C95">
        <w:rPr>
          <w:rStyle w:val="a7"/>
          <w:rFonts w:ascii="Times New Roman" w:hAnsi="Times New Roman"/>
          <w:sz w:val="24"/>
          <w:szCs w:val="24"/>
        </w:rPr>
        <w:footnoteReference w:id="3"/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Рамочная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программа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для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упреждающего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управления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новыми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технологиями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активно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продвигает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т.н.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«ответственные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инновации»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(</w:t>
      </w:r>
      <w:r w:rsidRPr="002C7C95">
        <w:rPr>
          <w:rFonts w:ascii="Times New Roman" w:hAnsi="Times New Roman"/>
          <w:sz w:val="24"/>
          <w:szCs w:val="24"/>
          <w:lang w:val="en-US"/>
        </w:rPr>
        <w:t>re</w:t>
      </w:r>
      <w:r w:rsidRPr="002C7C95">
        <w:rPr>
          <w:rFonts w:ascii="Times New Roman" w:hAnsi="Times New Roman"/>
          <w:sz w:val="24"/>
          <w:szCs w:val="24"/>
        </w:rPr>
        <w:t>sponsible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innovation)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всех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областях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политики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акцентом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общие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ценности,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гибкое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управление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международное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сотрудничество.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этом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под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«ответственными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инновациями»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понимаются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инновации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A53E3"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6A53E3" w:rsidRPr="002C7C95">
        <w:rPr>
          <w:rFonts w:ascii="Times New Roman" w:hAnsi="Times New Roman"/>
          <w:sz w:val="24"/>
          <w:szCs w:val="24"/>
        </w:rPr>
        <w:t>технологические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решения</w:t>
      </w:r>
      <w:r w:rsidR="00F67466">
        <w:rPr>
          <w:rFonts w:ascii="Times New Roman" w:hAnsi="Times New Roman"/>
          <w:sz w:val="24"/>
          <w:szCs w:val="24"/>
        </w:rPr>
        <w:t>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заслуживающие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доверия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(от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установления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повестки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дня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прикладных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исследований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разработок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этапов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коммерциализации),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основанные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демократических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ценностях,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чутко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реагирующее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социальные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потребности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подотчетные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перед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обществом.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i/>
          <w:iCs/>
          <w:sz w:val="24"/>
          <w:szCs w:val="24"/>
        </w:rPr>
        <w:t>Упреждающее</w:t>
      </w:r>
      <w:r w:rsidR="002C7C9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i/>
          <w:iCs/>
          <w:sz w:val="24"/>
          <w:szCs w:val="24"/>
        </w:rPr>
        <w:t>управление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технологиями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нацелено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на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использование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новейших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технологий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интересах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общества;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прогнозирование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решение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проблем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управления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новых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будущих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технологических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контекстах;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создание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долгосрочного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потенциала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управления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для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более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эффективного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решения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возникающих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проблем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как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для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стимулирования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инноваций,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так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для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управления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305259" w:rsidRPr="002C7C95">
        <w:rPr>
          <w:rFonts w:ascii="Times New Roman" w:hAnsi="Times New Roman"/>
          <w:sz w:val="24"/>
          <w:szCs w:val="24"/>
        </w:rPr>
        <w:t>рисками.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032E9" w:rsidRPr="002C7C95" w:rsidRDefault="00F67466" w:rsidP="002C7C9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оэволюция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управления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новейших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технологий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привела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формированию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новых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механизмов,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призванных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обеспечить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развитие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ответственных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инноваций.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Чтобы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гибкое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управление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могло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работать,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политики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должны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принять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мышление,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больше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похожее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технологическое,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т.е.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более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проактивное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быстрое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движение</w:t>
      </w:r>
      <w:r w:rsidR="006A53E3" w:rsidRPr="002C7C9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итерации,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то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время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новаторы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призваны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взять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себя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результаты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влияния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новейших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технологий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общественность.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Гибкое</w:t>
      </w:r>
      <w:r w:rsidR="002C7C9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управление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основано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шести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принципах,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позволяющих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осуществлять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ответственные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2E9" w:rsidRPr="002C7C95">
        <w:rPr>
          <w:rFonts w:ascii="Times New Roman" w:eastAsia="Times New Roman" w:hAnsi="Times New Roman"/>
          <w:sz w:val="24"/>
          <w:szCs w:val="24"/>
          <w:lang w:eastAsia="ru-RU"/>
        </w:rPr>
        <w:t>инновации:</w:t>
      </w:r>
    </w:p>
    <w:p w:rsidR="000032E9" w:rsidRPr="002C7C95" w:rsidRDefault="000032E9" w:rsidP="002C7C9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итеративные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подходы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управлению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мере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технологий</w:t>
      </w:r>
      <w:r w:rsidRPr="002C7C9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r w:rsidR="00F67466" w:rsidRPr="00F6746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Сложно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разработать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идеальное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самого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начала,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может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замедлить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инновации,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так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регулирование;</w:t>
      </w:r>
    </w:p>
    <w:p w:rsidR="000032E9" w:rsidRPr="002C7C95" w:rsidRDefault="000032E9" w:rsidP="002C7C9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7C9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</w:t>
      </w:r>
      <w:r w:rsidR="002C7C9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использование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экспериментов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стратегического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мышления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понимания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будущих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проблем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управления;</w:t>
      </w:r>
    </w:p>
    <w:p w:rsidR="000032E9" w:rsidRPr="002C7C95" w:rsidRDefault="000032E9" w:rsidP="002C7C95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создание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циклов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обратной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связи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передачи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знаний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между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политиками,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новаторами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гражданским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обществом;</w:t>
      </w:r>
    </w:p>
    <w:p w:rsidR="000032E9" w:rsidRPr="002C7C95" w:rsidRDefault="000032E9" w:rsidP="002C7C9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7C9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</w:t>
      </w:r>
      <w:r w:rsidR="002C7C9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внедрение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принципов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управления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F67466" w:rsidRPr="00F674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протяжении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всего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инновационного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цикла,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начиная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более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гибких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подходов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ранних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стадиях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инноваций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учет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более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формализованных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процессов</w:t>
      </w:r>
      <w:r w:rsidR="006A53E3" w:rsidRPr="002C7C9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таких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«нормативные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песочницы»</w:t>
      </w:r>
      <w:r w:rsidR="006A53E3" w:rsidRPr="002C7C9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C7C95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footnoteReference w:id="4"/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более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поздних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стадиях;</w:t>
      </w:r>
    </w:p>
    <w:p w:rsidR="000032E9" w:rsidRPr="002C7C95" w:rsidRDefault="000032E9" w:rsidP="002C7C9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1E37" w:rsidRPr="002C7C95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чет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отраслевых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особенностей,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таких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разработка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отраслевых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кодексов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поведения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стандартов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технологий,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поддержка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обмена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информацией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разработок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передовой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практики;</w:t>
      </w:r>
    </w:p>
    <w:p w:rsidR="000032E9" w:rsidRPr="002C7C95" w:rsidRDefault="000032E9" w:rsidP="002C7C9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7C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</w:t>
      </w:r>
      <w:r w:rsidR="002C7C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совместное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создание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норм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управления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широким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кругом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заинтересованных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сторон,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обеспечивая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различные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формы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взаимодействия,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является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важным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вкладом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разработку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политики.</w:t>
      </w:r>
    </w:p>
    <w:p w:rsidR="000032E9" w:rsidRPr="002C7C95" w:rsidRDefault="000032E9" w:rsidP="002C7C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Применение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этих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принципов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практике,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поможет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политикам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новаторам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сформировать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более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адаптивный,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инклюзивный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ландшафт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управления,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который,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стороны,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7466">
        <w:rPr>
          <w:rFonts w:ascii="Times New Roman" w:eastAsia="Times New Roman" w:hAnsi="Times New Roman"/>
          <w:sz w:val="24"/>
          <w:szCs w:val="24"/>
          <w:lang w:eastAsia="ru-RU"/>
        </w:rPr>
        <w:t>поддерживает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инновации,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другой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остается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укорененным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социальных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ценностях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общественном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доверии.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Можно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выделить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пять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элементов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системе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государственного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управления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новейшими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технологиями</w:t>
      </w:r>
      <w:r w:rsidRPr="002C7C95">
        <w:rPr>
          <w:rStyle w:val="a7"/>
          <w:rFonts w:ascii="Times New Roman" w:hAnsi="Times New Roman"/>
          <w:sz w:val="24"/>
          <w:szCs w:val="24"/>
        </w:rPr>
        <w:footnoteReference w:id="5"/>
      </w:r>
      <w:r w:rsidRPr="002C7C95">
        <w:rPr>
          <w:rFonts w:ascii="Times New Roman" w:hAnsi="Times New Roman"/>
          <w:sz w:val="24"/>
          <w:szCs w:val="24"/>
        </w:rPr>
        <w:t>:</w:t>
      </w:r>
    </w:p>
    <w:p w:rsidR="000032E9" w:rsidRPr="002C7C95" w:rsidRDefault="000032E9" w:rsidP="002C7C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C95">
        <w:rPr>
          <w:rFonts w:ascii="Times New Roman" w:hAnsi="Times New Roman"/>
          <w:i/>
          <w:iCs/>
          <w:sz w:val="24"/>
          <w:szCs w:val="24"/>
        </w:rPr>
        <w:t>Руководящие</w:t>
      </w:r>
      <w:r w:rsidR="002C7C9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C7C95">
        <w:rPr>
          <w:rFonts w:ascii="Times New Roman" w:hAnsi="Times New Roman"/>
          <w:i/>
          <w:iCs/>
          <w:sz w:val="24"/>
          <w:szCs w:val="24"/>
        </w:rPr>
        <w:t>ценности</w:t>
      </w:r>
      <w:r w:rsidRPr="002C7C95">
        <w:rPr>
          <w:rFonts w:ascii="Times New Roman" w:hAnsi="Times New Roman"/>
          <w:sz w:val="24"/>
          <w:szCs w:val="24"/>
        </w:rPr>
        <w:t>: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технологическое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развитие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должно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основываться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руководящих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ценностях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как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фундаментальных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(охватывающих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общие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этические,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политические,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экономические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культурные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идеалы),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так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технологических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(адаптированных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к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решениям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политики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области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технологий).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Эти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ценности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необходимо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обсуждать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конкретных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технологических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контекстах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для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того,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чтобы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управление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технологиями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согласовывалось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правами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человека,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демократическими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принципами,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устойчивостью,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равенством,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инклюзивностью,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безопасностью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общественным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благом.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Этический,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социальный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политический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диалог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может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подпитывать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развивать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инновационную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культуру.</w:t>
      </w:r>
      <w:r w:rsidR="002C7C95">
        <w:rPr>
          <w:rFonts w:ascii="Times New Roman" w:hAnsi="Times New Roman"/>
          <w:sz w:val="24"/>
          <w:szCs w:val="24"/>
        </w:rPr>
        <w:t xml:space="preserve"> </w:t>
      </w:r>
    </w:p>
    <w:p w:rsidR="000032E9" w:rsidRPr="002C7C95" w:rsidRDefault="000032E9" w:rsidP="002C7C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C95">
        <w:rPr>
          <w:rFonts w:ascii="Times New Roman" w:hAnsi="Times New Roman"/>
          <w:i/>
          <w:iCs/>
          <w:sz w:val="24"/>
          <w:szCs w:val="24"/>
        </w:rPr>
        <w:t>Стратегическая</w:t>
      </w:r>
      <w:r w:rsidR="002C7C9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C7C95">
        <w:rPr>
          <w:rFonts w:ascii="Times New Roman" w:hAnsi="Times New Roman"/>
          <w:i/>
          <w:iCs/>
          <w:sz w:val="24"/>
          <w:szCs w:val="24"/>
        </w:rPr>
        <w:t>разведка</w:t>
      </w:r>
      <w:r w:rsidRPr="002C7C95">
        <w:rPr>
          <w:rFonts w:ascii="Times New Roman" w:hAnsi="Times New Roman"/>
          <w:sz w:val="24"/>
          <w:szCs w:val="24"/>
        </w:rPr>
        <w:t>: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признавая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непредсказуемый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характер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возникающих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технологий,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политика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должна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стимулировать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формы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стратегической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разведки,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включая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всесторонний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анализ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потенциальных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направлений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технологии,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экономические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интересы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социальные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последствия.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Для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предвидения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будущих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проблем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обоснования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стратегий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управления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могут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использоваться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такие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инструменты,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как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сканирование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горизонта,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анализ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данных,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прогнозирование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оценка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технологий.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Этот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упреждающий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подход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помогает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разработке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стратегических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видений,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планов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дорожных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карт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для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новых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технологий.</w:t>
      </w:r>
    </w:p>
    <w:p w:rsidR="000032E9" w:rsidRPr="002C7C95" w:rsidRDefault="000032E9" w:rsidP="002C7C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C95">
        <w:rPr>
          <w:rFonts w:ascii="Times New Roman" w:hAnsi="Times New Roman"/>
          <w:i/>
          <w:iCs/>
          <w:sz w:val="24"/>
          <w:szCs w:val="24"/>
        </w:rPr>
        <w:t>Привлечение</w:t>
      </w:r>
      <w:r w:rsidR="002C7C9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C7C95">
        <w:rPr>
          <w:rFonts w:ascii="Times New Roman" w:hAnsi="Times New Roman"/>
          <w:i/>
          <w:iCs/>
          <w:sz w:val="24"/>
          <w:szCs w:val="24"/>
        </w:rPr>
        <w:t>заинтересованных</w:t>
      </w:r>
      <w:r w:rsidR="002C7C9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C7C95">
        <w:rPr>
          <w:rFonts w:ascii="Times New Roman" w:hAnsi="Times New Roman"/>
          <w:i/>
          <w:iCs/>
          <w:sz w:val="24"/>
          <w:szCs w:val="24"/>
        </w:rPr>
        <w:t>сторон</w:t>
      </w:r>
      <w:r w:rsidRPr="002C7C95">
        <w:rPr>
          <w:rFonts w:ascii="Times New Roman" w:hAnsi="Times New Roman"/>
          <w:sz w:val="24"/>
          <w:szCs w:val="24"/>
        </w:rPr>
        <w:t>: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рамках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политики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следует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уделять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первоочередное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внимание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активному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вовлечению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заинтересованных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сторон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обществ</w:t>
      </w:r>
      <w:r w:rsidR="007872D8">
        <w:rPr>
          <w:rFonts w:ascii="Times New Roman" w:hAnsi="Times New Roman"/>
          <w:sz w:val="24"/>
          <w:szCs w:val="24"/>
        </w:rPr>
        <w:t>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целом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цикл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разработки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политики.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Вовлечение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различных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субъектов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ранних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этапах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цикла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разработки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обогащает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понимание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проблем,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способствует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укреплению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доверия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увязывает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технологические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инновации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социальными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потребностями.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же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время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необходимо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проявлять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осторожность,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чтобы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сбалансировать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широкий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круг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интересов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допустить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того,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чтобы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волевые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интересы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доминировали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этом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процессе.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Для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обеспечения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широкого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участия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могут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быть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использованы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такие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инструменты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для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вовлечения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общества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как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коммуникации,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консультации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совместное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обсуждение,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что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позволит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согласовать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достижения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научной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мысли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разработку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технологических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стратегий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управления.</w:t>
      </w:r>
    </w:p>
    <w:p w:rsidR="000032E9" w:rsidRPr="002C7C95" w:rsidRDefault="000032E9" w:rsidP="002C7C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C95">
        <w:rPr>
          <w:rFonts w:ascii="Times New Roman" w:hAnsi="Times New Roman"/>
          <w:i/>
          <w:iCs/>
          <w:sz w:val="24"/>
          <w:szCs w:val="24"/>
        </w:rPr>
        <w:t>Гибкое</w:t>
      </w:r>
      <w:r w:rsidR="002C7C9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C7C95">
        <w:rPr>
          <w:rFonts w:ascii="Times New Roman" w:hAnsi="Times New Roman"/>
          <w:i/>
          <w:iCs/>
          <w:sz w:val="24"/>
          <w:szCs w:val="24"/>
        </w:rPr>
        <w:t>регулирование</w:t>
      </w:r>
      <w:r w:rsidRPr="002C7C95">
        <w:rPr>
          <w:rFonts w:ascii="Times New Roman" w:hAnsi="Times New Roman"/>
          <w:sz w:val="24"/>
          <w:szCs w:val="24"/>
        </w:rPr>
        <w:t>: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учитывая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быстрые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темпы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эволюционный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характер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новых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технологий,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системы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управления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должны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стремиться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к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гибкости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упреждаемости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путем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адаптации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инструментов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регулирования,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содействия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межведомственному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сотрудничеству,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разработки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перспективных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рамок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управления,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обеспечения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реагирования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проблемы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заинтересованных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сторон.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Экспериментирование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тестирование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под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контролем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регулятивных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органов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следует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поощрять,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чтобы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стимулировать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инновации,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уменьшить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неопределенность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="007872D8">
        <w:rPr>
          <w:rFonts w:ascii="Times New Roman" w:hAnsi="Times New Roman"/>
          <w:sz w:val="24"/>
          <w:szCs w:val="24"/>
        </w:rPr>
        <w:t>обеспечить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актуальность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эффективность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системы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управления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</w:p>
    <w:p w:rsidR="000032E9" w:rsidRPr="002C7C95" w:rsidRDefault="000032E9" w:rsidP="002C7C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C95">
        <w:rPr>
          <w:rFonts w:ascii="Times New Roman" w:hAnsi="Times New Roman"/>
          <w:i/>
          <w:iCs/>
          <w:sz w:val="24"/>
          <w:szCs w:val="24"/>
        </w:rPr>
        <w:t>Международное</w:t>
      </w:r>
      <w:r w:rsidR="002C7C9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C7C95">
        <w:rPr>
          <w:rFonts w:ascii="Times New Roman" w:hAnsi="Times New Roman"/>
          <w:i/>
          <w:iCs/>
          <w:sz w:val="24"/>
          <w:szCs w:val="24"/>
        </w:rPr>
        <w:t>сотрудничество: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признавая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трансграничный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характер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технологий,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политика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должна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способствовать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международному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сотрудничеству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условиях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меняющегося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геополитического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ландшафта.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Скоординированные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подходы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диалог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инклюзивных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форумах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облегчат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управление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новейшими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технологиями,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обмен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опытом,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углубление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понимания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проблем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создадут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основы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для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коллективной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нормотворческой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деятельности.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Разработка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технических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стандартов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принципов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основе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консенсуса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участием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многих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заинтересованных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сторон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обеспечивает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эксплуатационную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совместимость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новых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технологий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создание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рынков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для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технологических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продуктов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услуг.</w:t>
      </w:r>
    </w:p>
    <w:p w:rsidR="000032E9" w:rsidRPr="002C7C95" w:rsidRDefault="000032E9" w:rsidP="002C7C9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7C95">
        <w:rPr>
          <w:rFonts w:ascii="Times New Roman" w:hAnsi="Times New Roman"/>
          <w:sz w:val="24"/>
          <w:szCs w:val="24"/>
        </w:rPr>
        <w:t>Перечисленные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элементы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связанные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с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ними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действия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должны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быть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взаимозависимыми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взаимодействующими.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Гибкое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управление</w:t>
      </w:r>
      <w:r w:rsidR="002C7C95">
        <w:rPr>
          <w:rFonts w:ascii="Times New Roman" w:hAnsi="Times New Roman"/>
          <w:sz w:val="24"/>
          <w:szCs w:val="24"/>
        </w:rPr>
        <w:t xml:space="preserve"> </w:t>
      </w:r>
      <w:r w:rsidRPr="002C7C95">
        <w:rPr>
          <w:rFonts w:ascii="Times New Roman" w:hAnsi="Times New Roman"/>
          <w:sz w:val="24"/>
          <w:szCs w:val="24"/>
        </w:rPr>
        <w:t>инновациями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основано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адаптивности,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сотрудничестве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обучении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процессе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инновационной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деятельности.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Этот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подход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направлен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содействие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ответственным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инновациям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путем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снижения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неопределенности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регулирования,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проведение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экспериментов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содействие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сотрудничеству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между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политиками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инноваторами.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отличие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традиционных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моделей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управления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технологиями,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гибкое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управление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объединяет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различные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схемы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управления,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такие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эксперименты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(например,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нормативные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песочницы),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прогнозирование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политику,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53E3" w:rsidRPr="002C7C95">
        <w:rPr>
          <w:rFonts w:ascii="Times New Roman" w:eastAsia="Times New Roman" w:hAnsi="Times New Roman"/>
          <w:sz w:val="24"/>
          <w:szCs w:val="24"/>
          <w:lang w:eastAsia="ru-RU"/>
        </w:rPr>
        <w:t>основанную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53E3" w:rsidRPr="002C7C9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результатах.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Сосредоточение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внимания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предвосхищении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53E3" w:rsidRPr="002C7C95">
        <w:rPr>
          <w:rFonts w:ascii="Times New Roman" w:eastAsia="Times New Roman" w:hAnsi="Times New Roman"/>
          <w:sz w:val="24"/>
          <w:szCs w:val="24"/>
          <w:lang w:eastAsia="ru-RU"/>
        </w:rPr>
        <w:t>совместных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53E3" w:rsidRPr="002C7C95">
        <w:rPr>
          <w:rFonts w:ascii="Times New Roman" w:eastAsia="Times New Roman" w:hAnsi="Times New Roman"/>
          <w:sz w:val="24"/>
          <w:szCs w:val="24"/>
          <w:lang w:eastAsia="ru-RU"/>
        </w:rPr>
        <w:t>действиях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поддерживать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53E3" w:rsidRPr="002C7C95">
        <w:rPr>
          <w:rFonts w:ascii="Times New Roman" w:eastAsia="Times New Roman" w:hAnsi="Times New Roman"/>
          <w:sz w:val="24"/>
          <w:szCs w:val="24"/>
          <w:lang w:eastAsia="ru-RU"/>
        </w:rPr>
        <w:t>управлять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53E3" w:rsidRPr="002C7C95">
        <w:rPr>
          <w:rFonts w:ascii="Times New Roman" w:eastAsia="Times New Roman" w:hAnsi="Times New Roman"/>
          <w:sz w:val="24"/>
          <w:szCs w:val="24"/>
          <w:lang w:eastAsia="ru-RU"/>
        </w:rPr>
        <w:t>новейшими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технологиями,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просто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реагировать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них.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032E9" w:rsidRPr="002C7C95" w:rsidRDefault="000032E9" w:rsidP="002C7C9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7C9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Заключение.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Возникающие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научно-технические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достижения,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новейшие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технологии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быстро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меняются,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создает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72D8">
        <w:rPr>
          <w:rFonts w:ascii="Times New Roman" w:eastAsia="Times New Roman" w:hAnsi="Times New Roman"/>
          <w:sz w:val="24"/>
          <w:szCs w:val="24"/>
          <w:lang w:eastAsia="ru-RU"/>
        </w:rPr>
        <w:t>немало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проблем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53E3" w:rsidRPr="002C7C95">
        <w:rPr>
          <w:rFonts w:ascii="Times New Roman" w:eastAsia="Times New Roman" w:hAnsi="Times New Roman"/>
          <w:sz w:val="24"/>
          <w:szCs w:val="24"/>
          <w:lang w:eastAsia="ru-RU"/>
        </w:rPr>
        <w:t>управления,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измерения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мониторинга.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Работа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этой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области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формирует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дополнительные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подходы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измерению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новейших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технологий.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Примеры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источников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данных,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которые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дают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представление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различных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аспектах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технологий,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включают: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научные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библиометрические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данные,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хранилища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финансируемых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правительством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научно-исследовательских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проектов,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данные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патентах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отчеты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компаний.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Освещение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соответствующих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явлений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формируется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стимулами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раскрытию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информации.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Страны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ОЭСР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53E3" w:rsidRPr="002C7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53E3" w:rsidRPr="002C7C95">
        <w:rPr>
          <w:rFonts w:ascii="Times New Roman" w:eastAsia="Times New Roman" w:hAnsi="Times New Roman"/>
          <w:sz w:val="24"/>
          <w:szCs w:val="24"/>
          <w:lang w:eastAsia="ru-RU"/>
        </w:rPr>
        <w:t>управлении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используют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статистически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репрезентативные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методы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проведения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обследований</w:t>
      </w:r>
      <w:r w:rsidRPr="002C7C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разработанные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целью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подготовки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показателей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контроля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вовлечением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компаний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других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субъектов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разработку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внедрение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конкретных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новейших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технологий.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Содействие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надежному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технологическому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развитию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требует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53E3" w:rsidRPr="002C7C95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53E3" w:rsidRPr="002C7C95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государственного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управления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разработки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деловой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практики,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которая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способствуют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подотчетности,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прозрачности,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честности,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надежности,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отзывчивости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безопасности,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определения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возможных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решений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путем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диалога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между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регулирующими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органами,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частным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сектором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общественностью,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поддержки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новаторских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подходов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социальной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ответственности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путем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разработки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механизмов</w:t>
      </w:r>
      <w:r w:rsidR="002C7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7C95">
        <w:rPr>
          <w:rFonts w:ascii="Times New Roman" w:eastAsia="Times New Roman" w:hAnsi="Times New Roman"/>
          <w:sz w:val="24"/>
          <w:szCs w:val="24"/>
          <w:lang w:eastAsia="ru-RU"/>
        </w:rPr>
        <w:t>подотчетности.</w:t>
      </w:r>
    </w:p>
    <w:sectPr w:rsidR="000032E9" w:rsidRPr="002C7C95" w:rsidSect="002C7C95">
      <w:headerReference w:type="default" r:id="rId9"/>
      <w:footerReference w:type="default" r:id="rId10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466" w:rsidRDefault="00F67466" w:rsidP="00013A68">
      <w:pPr>
        <w:spacing w:after="0" w:line="240" w:lineRule="auto"/>
      </w:pPr>
      <w:r>
        <w:separator/>
      </w:r>
    </w:p>
  </w:endnote>
  <w:endnote w:type="continuationSeparator" w:id="0">
    <w:p w:rsidR="00F67466" w:rsidRDefault="00F67466" w:rsidP="0001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881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67466" w:rsidRPr="002C7C95" w:rsidRDefault="00F67466" w:rsidP="002C7C95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2C7C95">
          <w:rPr>
            <w:rFonts w:ascii="Times New Roman" w:hAnsi="Times New Roman"/>
            <w:sz w:val="24"/>
            <w:szCs w:val="24"/>
          </w:rPr>
          <w:fldChar w:fldCharType="begin"/>
        </w:r>
        <w:r w:rsidRPr="002C7C9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C7C95">
          <w:rPr>
            <w:rFonts w:ascii="Times New Roman" w:hAnsi="Times New Roman"/>
            <w:sz w:val="24"/>
            <w:szCs w:val="24"/>
          </w:rPr>
          <w:fldChar w:fldCharType="separate"/>
        </w:r>
        <w:r w:rsidR="00520C81">
          <w:rPr>
            <w:rFonts w:ascii="Times New Roman" w:hAnsi="Times New Roman"/>
            <w:noProof/>
            <w:sz w:val="24"/>
            <w:szCs w:val="24"/>
          </w:rPr>
          <w:t>1</w:t>
        </w:r>
        <w:r w:rsidRPr="002C7C9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466" w:rsidRDefault="00F67466" w:rsidP="00013A68">
      <w:pPr>
        <w:spacing w:after="0" w:line="240" w:lineRule="auto"/>
      </w:pPr>
      <w:r>
        <w:separator/>
      </w:r>
    </w:p>
  </w:footnote>
  <w:footnote w:type="continuationSeparator" w:id="0">
    <w:p w:rsidR="00F67466" w:rsidRDefault="00F67466" w:rsidP="00013A68">
      <w:pPr>
        <w:spacing w:after="0" w:line="240" w:lineRule="auto"/>
      </w:pPr>
      <w:r>
        <w:continuationSeparator/>
      </w:r>
    </w:p>
  </w:footnote>
  <w:footnote w:id="1">
    <w:p w:rsidR="00F67466" w:rsidRPr="002C7C95" w:rsidRDefault="00F67466" w:rsidP="002C7C95">
      <w:pPr>
        <w:pStyle w:val="a5"/>
        <w:ind w:firstLine="709"/>
        <w:jc w:val="both"/>
        <w:rPr>
          <w:rFonts w:ascii="Times New Roman" w:hAnsi="Times New Roman"/>
        </w:rPr>
      </w:pPr>
      <w:r w:rsidRPr="002C7C9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Национальная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стратегия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развития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ИИ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период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до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2030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года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утверждена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Указом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Президента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РФ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10.10.2019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490.</w:t>
      </w:r>
    </w:p>
  </w:footnote>
  <w:footnote w:id="2">
    <w:p w:rsidR="00F67466" w:rsidRPr="002C7C95" w:rsidRDefault="00F67466" w:rsidP="002C7C95">
      <w:pPr>
        <w:pStyle w:val="a5"/>
        <w:ind w:firstLine="709"/>
        <w:jc w:val="both"/>
        <w:rPr>
          <w:rFonts w:ascii="Times New Roman" w:hAnsi="Times New Roman"/>
        </w:rPr>
      </w:pPr>
      <w:r w:rsidRPr="002C7C9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https://oxfordinsights.com/wp-content/uploads/2023/12/2023-Government-AI-Readiness-Index-1.pdf</w:t>
      </w:r>
    </w:p>
  </w:footnote>
  <w:footnote w:id="3">
    <w:p w:rsidR="00F67466" w:rsidRPr="002C7C95" w:rsidRDefault="00F67466" w:rsidP="002C7C95">
      <w:pPr>
        <w:pStyle w:val="a5"/>
        <w:ind w:firstLine="709"/>
        <w:jc w:val="both"/>
        <w:rPr>
          <w:rFonts w:ascii="Times New Roman" w:hAnsi="Times New Roman"/>
          <w:lang w:val="en-US"/>
        </w:rPr>
      </w:pPr>
      <w:r w:rsidRPr="002C7C9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  <w:lang w:val="en-US"/>
        </w:rPr>
        <w:t xml:space="preserve"> </w:t>
      </w:r>
      <w:r w:rsidRPr="002C7C95">
        <w:rPr>
          <w:rFonts w:ascii="Times New Roman" w:hAnsi="Times New Roman"/>
          <w:lang w:val="en-US"/>
        </w:rPr>
        <w:t>Framework</w:t>
      </w:r>
      <w:r>
        <w:rPr>
          <w:rFonts w:ascii="Times New Roman" w:hAnsi="Times New Roman"/>
          <w:lang w:val="en-US"/>
        </w:rPr>
        <w:t xml:space="preserve"> </w:t>
      </w:r>
      <w:r w:rsidRPr="002C7C95">
        <w:rPr>
          <w:rFonts w:ascii="Times New Roman" w:hAnsi="Times New Roman"/>
          <w:lang w:val="en-US"/>
        </w:rPr>
        <w:t>for</w:t>
      </w:r>
      <w:r>
        <w:rPr>
          <w:rFonts w:ascii="Times New Roman" w:hAnsi="Times New Roman"/>
          <w:lang w:val="en-US"/>
        </w:rPr>
        <w:t xml:space="preserve"> </w:t>
      </w:r>
      <w:r w:rsidRPr="002C7C95">
        <w:rPr>
          <w:rFonts w:ascii="Times New Roman" w:hAnsi="Times New Roman"/>
          <w:lang w:val="en-US"/>
        </w:rPr>
        <w:t>Anticipatory</w:t>
      </w:r>
      <w:r>
        <w:rPr>
          <w:rFonts w:ascii="Times New Roman" w:hAnsi="Times New Roman"/>
          <w:lang w:val="en-US"/>
        </w:rPr>
        <w:t xml:space="preserve"> </w:t>
      </w:r>
      <w:r w:rsidRPr="002C7C95">
        <w:rPr>
          <w:rFonts w:ascii="Times New Roman" w:hAnsi="Times New Roman"/>
          <w:lang w:val="en-US"/>
        </w:rPr>
        <w:t>Governance</w:t>
      </w:r>
      <w:r>
        <w:rPr>
          <w:rFonts w:ascii="Times New Roman" w:hAnsi="Times New Roman"/>
          <w:lang w:val="en-US"/>
        </w:rPr>
        <w:t xml:space="preserve"> </w:t>
      </w:r>
      <w:r w:rsidRPr="002C7C95">
        <w:rPr>
          <w:rFonts w:ascii="Times New Roman" w:hAnsi="Times New Roman"/>
          <w:lang w:val="en-US"/>
        </w:rPr>
        <w:t>of</w:t>
      </w:r>
      <w:r>
        <w:rPr>
          <w:rFonts w:ascii="Times New Roman" w:hAnsi="Times New Roman"/>
          <w:lang w:val="en-US"/>
        </w:rPr>
        <w:t xml:space="preserve"> </w:t>
      </w:r>
      <w:r w:rsidRPr="002C7C95">
        <w:rPr>
          <w:rFonts w:ascii="Times New Roman" w:hAnsi="Times New Roman"/>
          <w:lang w:val="en-US"/>
        </w:rPr>
        <w:t>Emerging</w:t>
      </w:r>
      <w:r>
        <w:rPr>
          <w:rFonts w:ascii="Times New Roman" w:hAnsi="Times New Roman"/>
          <w:lang w:val="en-US"/>
        </w:rPr>
        <w:t xml:space="preserve"> </w:t>
      </w:r>
      <w:r w:rsidRPr="002C7C95">
        <w:rPr>
          <w:rFonts w:ascii="Times New Roman" w:hAnsi="Times New Roman"/>
          <w:lang w:val="en-US"/>
        </w:rPr>
        <w:t>Technologies</w:t>
      </w:r>
      <w:r w:rsidRPr="00F67466">
        <w:rPr>
          <w:rFonts w:ascii="Times New Roman" w:hAnsi="Times New Roman"/>
          <w:lang w:val="en-US"/>
        </w:rPr>
        <w:t xml:space="preserve"> /</w:t>
      </w:r>
      <w:r>
        <w:rPr>
          <w:rFonts w:ascii="Times New Roman" w:hAnsi="Times New Roman"/>
          <w:lang w:val="en-US"/>
        </w:rPr>
        <w:t xml:space="preserve"> </w:t>
      </w:r>
      <w:r w:rsidRPr="002C7C95">
        <w:rPr>
          <w:rFonts w:ascii="Times New Roman" w:hAnsi="Times New Roman"/>
          <w:lang w:val="en-US"/>
        </w:rPr>
        <w:t>OECD</w:t>
      </w:r>
      <w:r>
        <w:rPr>
          <w:rFonts w:ascii="Times New Roman" w:hAnsi="Times New Roman"/>
          <w:lang w:val="en-US"/>
        </w:rPr>
        <w:t xml:space="preserve"> </w:t>
      </w:r>
      <w:r w:rsidRPr="002C7C95">
        <w:rPr>
          <w:rFonts w:ascii="Times New Roman" w:hAnsi="Times New Roman"/>
          <w:lang w:val="en-US"/>
        </w:rPr>
        <w:t>Science,</w:t>
      </w:r>
      <w:r>
        <w:rPr>
          <w:rFonts w:ascii="Times New Roman" w:hAnsi="Times New Roman"/>
          <w:lang w:val="en-US"/>
        </w:rPr>
        <w:t xml:space="preserve"> </w:t>
      </w:r>
      <w:r w:rsidRPr="002C7C95">
        <w:rPr>
          <w:rFonts w:ascii="Times New Roman" w:hAnsi="Times New Roman"/>
          <w:lang w:val="en-US"/>
        </w:rPr>
        <w:t>Technology</w:t>
      </w:r>
      <w:r>
        <w:rPr>
          <w:rFonts w:ascii="Times New Roman" w:hAnsi="Times New Roman"/>
          <w:lang w:val="en-US"/>
        </w:rPr>
        <w:t xml:space="preserve"> </w:t>
      </w:r>
      <w:r w:rsidRPr="002C7C95">
        <w:rPr>
          <w:rFonts w:ascii="Times New Roman" w:hAnsi="Times New Roman"/>
          <w:lang w:val="en-US"/>
        </w:rPr>
        <w:t>and</w:t>
      </w:r>
      <w:r>
        <w:rPr>
          <w:rFonts w:ascii="Times New Roman" w:hAnsi="Times New Roman"/>
          <w:lang w:val="en-US"/>
        </w:rPr>
        <w:t xml:space="preserve"> </w:t>
      </w:r>
      <w:r w:rsidRPr="002C7C95">
        <w:rPr>
          <w:rFonts w:ascii="Times New Roman" w:hAnsi="Times New Roman"/>
          <w:lang w:val="en-US"/>
        </w:rPr>
        <w:t>Industry</w:t>
      </w:r>
      <w:r>
        <w:rPr>
          <w:rFonts w:ascii="Times New Roman" w:hAnsi="Times New Roman"/>
          <w:lang w:val="en-US"/>
        </w:rPr>
        <w:t xml:space="preserve"> </w:t>
      </w:r>
      <w:r w:rsidRPr="002C7C95">
        <w:rPr>
          <w:rFonts w:ascii="Times New Roman" w:hAnsi="Times New Roman"/>
          <w:lang w:val="en-US"/>
        </w:rPr>
        <w:t>Policy</w:t>
      </w:r>
      <w:r>
        <w:rPr>
          <w:rFonts w:ascii="Times New Roman" w:hAnsi="Times New Roman"/>
          <w:lang w:val="en-US"/>
        </w:rPr>
        <w:t xml:space="preserve"> </w:t>
      </w:r>
      <w:r w:rsidRPr="002C7C95">
        <w:rPr>
          <w:rFonts w:ascii="Times New Roman" w:hAnsi="Times New Roman"/>
          <w:lang w:val="en-US"/>
        </w:rPr>
        <w:t>Papers,</w:t>
      </w:r>
      <w:r>
        <w:rPr>
          <w:rFonts w:ascii="Times New Roman" w:hAnsi="Times New Roman"/>
          <w:lang w:val="en-US"/>
        </w:rPr>
        <w:t xml:space="preserve"> </w:t>
      </w:r>
      <w:r w:rsidRPr="002C7C95">
        <w:rPr>
          <w:rFonts w:ascii="Times New Roman" w:hAnsi="Times New Roman"/>
          <w:lang w:val="en-US"/>
        </w:rPr>
        <w:t>OECD</w:t>
      </w:r>
      <w:r>
        <w:rPr>
          <w:rFonts w:ascii="Times New Roman" w:hAnsi="Times New Roman"/>
          <w:lang w:val="en-US"/>
        </w:rPr>
        <w:t xml:space="preserve"> </w:t>
      </w:r>
      <w:r w:rsidRPr="002C7C95">
        <w:rPr>
          <w:rFonts w:ascii="Times New Roman" w:hAnsi="Times New Roman"/>
          <w:lang w:val="en-US"/>
        </w:rPr>
        <w:t>Publishing</w:t>
      </w:r>
      <w:r>
        <w:rPr>
          <w:rFonts w:ascii="Times New Roman" w:hAnsi="Times New Roman"/>
          <w:lang w:val="en-US"/>
        </w:rPr>
        <w:t xml:space="preserve">. – </w:t>
      </w:r>
      <w:r w:rsidRPr="002C7C95">
        <w:rPr>
          <w:rFonts w:ascii="Times New Roman" w:hAnsi="Times New Roman"/>
          <w:lang w:val="en-US"/>
        </w:rPr>
        <w:t>Paris,</w:t>
      </w:r>
      <w:r>
        <w:rPr>
          <w:rFonts w:ascii="Times New Roman" w:hAnsi="Times New Roman"/>
          <w:lang w:val="en-US"/>
        </w:rPr>
        <w:t xml:space="preserve"> 2024. </w:t>
      </w:r>
      <w:r w:rsidRPr="002C7C95">
        <w:rPr>
          <w:rFonts w:ascii="Times New Roman" w:hAnsi="Times New Roman"/>
          <w:lang w:val="en-US"/>
        </w:rPr>
        <w:t>https://doi.org/10.1787/0248ead5-en.</w:t>
      </w:r>
    </w:p>
  </w:footnote>
  <w:footnote w:id="4">
    <w:p w:rsidR="00F67466" w:rsidRPr="002C7C95" w:rsidRDefault="00F67466" w:rsidP="002C7C95">
      <w:pPr>
        <w:pStyle w:val="a5"/>
        <w:ind w:firstLine="709"/>
        <w:jc w:val="both"/>
        <w:rPr>
          <w:rFonts w:ascii="Times New Roman" w:hAnsi="Times New Roman"/>
        </w:rPr>
      </w:pPr>
      <w:r w:rsidRPr="002C7C9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"Нормативные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песочницы"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или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регуляторные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песочницы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(regulatory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sandbox)</w:t>
      </w:r>
      <w:r>
        <w:rPr>
          <w:rFonts w:ascii="Times New Roman" w:hAnsi="Times New Roman"/>
        </w:rPr>
        <w:t xml:space="preserve"> </w:t>
      </w:r>
      <w:r w:rsidR="00520C81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это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специальные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правовые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режимы,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позволяющие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компаниям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тестировать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новые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продукты,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услуги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или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технологии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ограниченной,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контролируемой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среде,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без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риска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нарушения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действующего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законодательства.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Цель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таких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"песочниц"</w:t>
      </w:r>
      <w:r>
        <w:rPr>
          <w:rFonts w:ascii="Times New Roman" w:hAnsi="Times New Roman"/>
        </w:rPr>
        <w:t xml:space="preserve"> </w:t>
      </w:r>
      <w:r w:rsidR="00520C81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дать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возможность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инноваторам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экспериментировать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идеями,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которые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опережают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законодательство,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помочь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регуляторам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разработать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новое,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соответствующее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правовое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регулирование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основе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полученного</w:t>
      </w:r>
      <w:r>
        <w:rPr>
          <w:rFonts w:ascii="Times New Roman" w:hAnsi="Times New Roman"/>
        </w:rPr>
        <w:t xml:space="preserve"> </w:t>
      </w:r>
      <w:r w:rsidRPr="002C7C95">
        <w:rPr>
          <w:rFonts w:ascii="Times New Roman" w:hAnsi="Times New Roman"/>
        </w:rPr>
        <w:t>опыта</w:t>
      </w:r>
    </w:p>
  </w:footnote>
  <w:footnote w:id="5">
    <w:p w:rsidR="00F67466" w:rsidRPr="00F67466" w:rsidRDefault="00F67466" w:rsidP="002C7C95">
      <w:pPr>
        <w:pStyle w:val="a5"/>
        <w:ind w:firstLine="709"/>
        <w:jc w:val="both"/>
        <w:rPr>
          <w:rFonts w:ascii="Times New Roman" w:hAnsi="Times New Roman"/>
          <w:lang w:val="en-US"/>
        </w:rPr>
      </w:pPr>
      <w:r w:rsidRPr="002C7C9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  <w:lang w:val="en-US"/>
        </w:rPr>
        <w:t xml:space="preserve"> </w:t>
      </w:r>
      <w:r w:rsidRPr="002C7C95">
        <w:rPr>
          <w:rFonts w:ascii="Times New Roman" w:hAnsi="Times New Roman"/>
          <w:lang w:val="en-US"/>
        </w:rPr>
        <w:t>Agile</w:t>
      </w:r>
      <w:r>
        <w:rPr>
          <w:rFonts w:ascii="Times New Roman" w:hAnsi="Times New Roman"/>
          <w:lang w:val="en-US"/>
        </w:rPr>
        <w:t xml:space="preserve"> </w:t>
      </w:r>
      <w:r w:rsidRPr="002C7C95">
        <w:rPr>
          <w:rFonts w:ascii="Times New Roman" w:hAnsi="Times New Roman"/>
          <w:lang w:val="en-US"/>
        </w:rPr>
        <w:t>mechanisms</w:t>
      </w:r>
      <w:r>
        <w:rPr>
          <w:rFonts w:ascii="Times New Roman" w:hAnsi="Times New Roman"/>
          <w:lang w:val="en-US"/>
        </w:rPr>
        <w:t xml:space="preserve"> </w:t>
      </w:r>
      <w:r w:rsidRPr="002C7C95">
        <w:rPr>
          <w:rFonts w:ascii="Times New Roman" w:hAnsi="Times New Roman"/>
          <w:lang w:val="en-US"/>
        </w:rPr>
        <w:t>for</w:t>
      </w:r>
      <w:r>
        <w:rPr>
          <w:rFonts w:ascii="Times New Roman" w:hAnsi="Times New Roman"/>
          <w:lang w:val="en-US"/>
        </w:rPr>
        <w:t xml:space="preserve"> </w:t>
      </w:r>
      <w:r w:rsidRPr="002C7C95">
        <w:rPr>
          <w:rFonts w:ascii="Times New Roman" w:hAnsi="Times New Roman"/>
          <w:lang w:val="en-US"/>
        </w:rPr>
        <w:t>responsible</w:t>
      </w:r>
      <w:r>
        <w:rPr>
          <w:rFonts w:ascii="Times New Roman" w:hAnsi="Times New Roman"/>
          <w:lang w:val="en-US"/>
        </w:rPr>
        <w:t xml:space="preserve"> </w:t>
      </w:r>
      <w:r w:rsidRPr="002C7C95">
        <w:rPr>
          <w:rFonts w:ascii="Times New Roman" w:hAnsi="Times New Roman"/>
          <w:lang w:val="en-US"/>
        </w:rPr>
        <w:t>technology</w:t>
      </w:r>
      <w:r>
        <w:rPr>
          <w:rFonts w:ascii="Times New Roman" w:hAnsi="Times New Roman"/>
          <w:lang w:val="en-US"/>
        </w:rPr>
        <w:t xml:space="preserve"> </w:t>
      </w:r>
      <w:r w:rsidRPr="002C7C95">
        <w:rPr>
          <w:rFonts w:ascii="Times New Roman" w:hAnsi="Times New Roman"/>
          <w:lang w:val="en-US"/>
        </w:rPr>
        <w:t>development</w:t>
      </w:r>
      <w:r>
        <w:rPr>
          <w:rFonts w:ascii="Times New Roman" w:hAnsi="Times New Roman"/>
          <w:lang w:val="en-US"/>
        </w:rPr>
        <w:t xml:space="preserve"> </w:t>
      </w:r>
      <w:r w:rsidRPr="00F67466">
        <w:rPr>
          <w:rFonts w:ascii="Times New Roman" w:hAnsi="Times New Roman"/>
          <w:lang w:val="en-US"/>
        </w:rPr>
        <w:t xml:space="preserve">/ </w:t>
      </w:r>
      <w:r w:rsidRPr="00F67466">
        <w:rPr>
          <w:rFonts w:ascii="Times New Roman" w:hAnsi="Times New Roman"/>
          <w:iCs/>
          <w:lang w:val="en-US"/>
        </w:rPr>
        <w:t>OECD Science, Technology and Industry Policy Papers</w:t>
      </w:r>
      <w:r w:rsidRPr="00F67466">
        <w:rPr>
          <w:rFonts w:ascii="Times New Roman" w:hAnsi="Times New Roman"/>
          <w:lang w:val="en-US"/>
        </w:rPr>
        <w:t>, N 176, OECD Publishing.</w:t>
      </w:r>
      <w:r>
        <w:rPr>
          <w:rFonts w:ascii="Times New Roman" w:hAnsi="Times New Roman"/>
          <w:lang w:val="en-US"/>
        </w:rPr>
        <w:t xml:space="preserve"> – </w:t>
      </w:r>
      <w:r w:rsidRPr="002C7C95">
        <w:rPr>
          <w:rFonts w:ascii="Times New Roman" w:hAnsi="Times New Roman"/>
          <w:lang w:val="en-US"/>
        </w:rPr>
        <w:t>Paris,</w:t>
      </w:r>
      <w:r>
        <w:rPr>
          <w:rFonts w:ascii="Times New Roman" w:hAnsi="Times New Roman"/>
          <w:lang w:val="en-US"/>
        </w:rPr>
        <w:t xml:space="preserve"> 2025. </w:t>
      </w:r>
      <w:hyperlink r:id="rId1" w:history="1">
        <w:r w:rsidRPr="00F67466">
          <w:rPr>
            <w:rStyle w:val="a4"/>
            <w:rFonts w:ascii="Times New Roman" w:hAnsi="Times New Roman"/>
            <w:color w:val="auto"/>
            <w:u w:val="none"/>
            <w:lang w:val="en-US"/>
          </w:rPr>
          <w:t>https://doi.org/10.1787/2a35358e-en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66" w:rsidRPr="002C7C95" w:rsidRDefault="00F67466" w:rsidP="002C7C95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26546"/>
    <w:multiLevelType w:val="multilevel"/>
    <w:tmpl w:val="0EC0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3B8"/>
    <w:rsid w:val="000032E9"/>
    <w:rsid w:val="00013A68"/>
    <w:rsid w:val="000313B8"/>
    <w:rsid w:val="00125DD7"/>
    <w:rsid w:val="001305B4"/>
    <w:rsid w:val="00131376"/>
    <w:rsid w:val="002C7C95"/>
    <w:rsid w:val="00305259"/>
    <w:rsid w:val="0036641C"/>
    <w:rsid w:val="00374406"/>
    <w:rsid w:val="004665EE"/>
    <w:rsid w:val="00520C81"/>
    <w:rsid w:val="00535B86"/>
    <w:rsid w:val="00684B49"/>
    <w:rsid w:val="006A53E3"/>
    <w:rsid w:val="006F0438"/>
    <w:rsid w:val="007872D8"/>
    <w:rsid w:val="007E1E8D"/>
    <w:rsid w:val="007F7294"/>
    <w:rsid w:val="00886240"/>
    <w:rsid w:val="00921E37"/>
    <w:rsid w:val="009650DC"/>
    <w:rsid w:val="009D0F55"/>
    <w:rsid w:val="00B02160"/>
    <w:rsid w:val="00B42969"/>
    <w:rsid w:val="00B93C53"/>
    <w:rsid w:val="00C75647"/>
    <w:rsid w:val="00C81F79"/>
    <w:rsid w:val="00C90CEB"/>
    <w:rsid w:val="00CA7C1C"/>
    <w:rsid w:val="00DD0A38"/>
    <w:rsid w:val="00F156DA"/>
    <w:rsid w:val="00F67466"/>
    <w:rsid w:val="00F9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65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65EE"/>
    <w:rPr>
      <w:color w:val="0000FF"/>
      <w:u w:val="single"/>
    </w:rPr>
  </w:style>
  <w:style w:type="paragraph" w:styleId="a5">
    <w:name w:val="footnote text"/>
    <w:basedOn w:val="a"/>
    <w:link w:val="a6"/>
    <w:uiPriority w:val="99"/>
    <w:unhideWhenUsed/>
    <w:rsid w:val="00013A6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013A68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13A68"/>
    <w:rPr>
      <w:vertAlign w:val="superscript"/>
    </w:rPr>
  </w:style>
  <w:style w:type="character" w:customStyle="1" w:styleId="rynqvb">
    <w:name w:val="rynqvb"/>
    <w:basedOn w:val="a0"/>
    <w:rsid w:val="006F0438"/>
  </w:style>
  <w:style w:type="paragraph" w:styleId="a8">
    <w:name w:val="header"/>
    <w:basedOn w:val="a"/>
    <w:link w:val="a9"/>
    <w:uiPriority w:val="99"/>
    <w:semiHidden/>
    <w:unhideWhenUsed/>
    <w:rsid w:val="002C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C7C9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C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C95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2C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C7C9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0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787/2a35358e-en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dPt>
            <c:idx val="16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B8D-42F6-8D67-031D0A69869E}"/>
              </c:ext>
            </c:extLst>
          </c:dPt>
          <c:dLbls>
            <c:dLbl>
              <c:idx val="1"/>
              <c:layout>
                <c:manualLayout>
                  <c:x val="4.3126684636118672E-3"/>
                  <c:y val="1.1904761904761915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B8D-42F6-8D67-031D0A69869E}"/>
                </c:ext>
              </c:extLst>
            </c:dLbl>
            <c:dLbl>
              <c:idx val="2"/>
              <c:layout>
                <c:manualLayout>
                  <c:x val="2.156334231805934E-3"/>
                  <c:y val="1.5873015873015879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B8D-42F6-8D67-031D0A69869E}"/>
                </c:ext>
              </c:extLst>
            </c:dLbl>
            <c:dLbl>
              <c:idx val="3"/>
              <c:layout>
                <c:manualLayout>
                  <c:x val="4.3126684636118481E-3"/>
                  <c:y val="1.1904761904761915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B8D-42F6-8D67-031D0A69869E}"/>
                </c:ext>
              </c:extLst>
            </c:dLbl>
            <c:dLbl>
              <c:idx val="4"/>
              <c:layout>
                <c:manualLayout>
                  <c:x val="1.2938005390835589E-2"/>
                  <c:y val="2.3809523809523826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B8D-42F6-8D67-031D0A69869E}"/>
                </c:ext>
              </c:extLst>
            </c:dLbl>
            <c:dLbl>
              <c:idx val="5"/>
              <c:layout>
                <c:manualLayout>
                  <c:x val="-2.156334231805934E-3"/>
                  <c:y val="1.1904761904761915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B8D-42F6-8D67-031D0A69869E}"/>
                </c:ext>
              </c:extLst>
            </c:dLbl>
            <c:dLbl>
              <c:idx val="6"/>
              <c:layout>
                <c:manualLayout>
                  <c:x val="2.156334231805934E-3"/>
                  <c:y val="1.5873015873015841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B8D-42F6-8D67-031D0A69869E}"/>
                </c:ext>
              </c:extLst>
            </c:dLbl>
            <c:dLbl>
              <c:idx val="7"/>
              <c:layout>
                <c:manualLayout>
                  <c:x val="0"/>
                  <c:y val="1.1904761904761876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B8D-42F6-8D67-031D0A69869E}"/>
                </c:ext>
              </c:extLst>
            </c:dLbl>
            <c:dLbl>
              <c:idx val="8"/>
              <c:layout>
                <c:manualLayout>
                  <c:x val="2.156334231805934E-3"/>
                  <c:y val="1.1904761904761915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B8D-42F6-8D67-031D0A69869E}"/>
                </c:ext>
              </c:extLst>
            </c:dLbl>
            <c:dLbl>
              <c:idx val="9"/>
              <c:layout>
                <c:manualLayout>
                  <c:x val="3.953233756883852E-17"/>
                  <c:y val="7.9365079365079014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B8D-42F6-8D67-031D0A69869E}"/>
                </c:ext>
              </c:extLst>
            </c:dLbl>
            <c:dLbl>
              <c:idx val="10"/>
              <c:layout>
                <c:manualLayout>
                  <c:x val="6.4690026954177986E-3"/>
                  <c:y val="1.1904761904761876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B8D-42F6-8D67-031D0A69869E}"/>
                </c:ext>
              </c:extLst>
            </c:dLbl>
            <c:dLbl>
              <c:idx val="11"/>
              <c:layout>
                <c:manualLayout>
                  <c:x val="-7.9064675137677064E-17"/>
                  <c:y val="1.5873015873015879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B8D-42F6-8D67-031D0A69869E}"/>
                </c:ext>
              </c:extLst>
            </c:dLbl>
            <c:dLbl>
              <c:idx val="12"/>
              <c:layout>
                <c:manualLayout>
                  <c:x val="0"/>
                  <c:y val="1.5873015873015879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B8D-42F6-8D67-031D0A69869E}"/>
                </c:ext>
              </c:extLst>
            </c:dLbl>
            <c:dLbl>
              <c:idx val="13"/>
              <c:layout>
                <c:manualLayout>
                  <c:x val="-7.9064675137677064E-17"/>
                  <c:y val="7.9365079365079413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B8D-42F6-8D67-031D0A69869E}"/>
                </c:ext>
              </c:extLst>
            </c:dLbl>
            <c:dLbl>
              <c:idx val="14"/>
              <c:layout>
                <c:manualLayout>
                  <c:x val="4.3126684636117839E-3"/>
                  <c:y val="1.9841269841269854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B8D-42F6-8D67-031D0A69869E}"/>
                </c:ext>
              </c:extLst>
            </c:dLbl>
            <c:dLbl>
              <c:idx val="15"/>
              <c:layout>
                <c:manualLayout>
                  <c:x val="0"/>
                  <c:y val="1.9841269841269785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B8D-42F6-8D67-031D0A69869E}"/>
                </c:ext>
              </c:extLst>
            </c:dLbl>
            <c:dLbl>
              <c:idx val="16"/>
              <c:layout>
                <c:manualLayout>
                  <c:x val="-7.9064675137677064E-17"/>
                  <c:y val="1.5873015873015803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B8D-42F6-8D67-031D0A69869E}"/>
                </c:ext>
              </c:extLst>
            </c:dLbl>
            <c:dLbl>
              <c:idx val="17"/>
              <c:layout>
                <c:manualLayout>
                  <c:x val="0"/>
                  <c:y val="1.9841269841269854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B8D-42F6-8D67-031D0A69869E}"/>
                </c:ext>
              </c:extLst>
            </c:dLbl>
            <c:dLbl>
              <c:idx val="18"/>
              <c:layout>
                <c:manualLayout>
                  <c:x val="-2.156334231805934E-3"/>
                  <c:y val="1.5873015873015879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B8D-42F6-8D67-031D0A69869E}"/>
                </c:ext>
              </c:extLst>
            </c:dLbl>
            <c:dLbl>
              <c:idx val="19"/>
              <c:layout>
                <c:manualLayout>
                  <c:x val="0"/>
                  <c:y val="1.1904761904761915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B8D-42F6-8D67-031D0A69869E}"/>
                </c:ext>
              </c:extLst>
            </c:dLbl>
            <c:dLbl>
              <c:idx val="20"/>
              <c:layout>
                <c:manualLayout>
                  <c:x val="0"/>
                  <c:y val="1.1904761904761915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B8D-42F6-8D67-031D0A69869E}"/>
                </c:ext>
              </c:extLst>
            </c:dLbl>
            <c:dLbl>
              <c:idx val="21"/>
              <c:layout>
                <c:manualLayout>
                  <c:x val="0"/>
                  <c:y val="1.5873015873015879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B8D-42F6-8D67-031D0A69869E}"/>
                </c:ext>
              </c:extLst>
            </c:dLbl>
            <c:dLbl>
              <c:idx val="22"/>
              <c:layout>
                <c:manualLayout>
                  <c:x val="-2.1563342318060915E-3"/>
                  <c:y val="7.9365079365078719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B8D-42F6-8D67-031D0A69869E}"/>
                </c:ext>
              </c:extLst>
            </c:dLbl>
            <c:dLbl>
              <c:idx val="23"/>
              <c:layout>
                <c:manualLayout>
                  <c:x val="0"/>
                  <c:y val="7.9365079365079413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B8D-42F6-8D67-031D0A6986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Лист1!$A$2:$A$30</c:f>
              <c:strCache>
                <c:ptCount val="29"/>
                <c:pt idx="0">
                  <c:v>Дания</c:v>
                </c:pt>
                <c:pt idx="1">
                  <c:v>Финляндия</c:v>
                </c:pt>
                <c:pt idx="2">
                  <c:v>Люксембург</c:v>
                </c:pt>
                <c:pt idx="3">
                  <c:v>Бельгия</c:v>
                </c:pt>
                <c:pt idx="4">
                  <c:v>Нидерланды</c:v>
                </c:pt>
                <c:pt idx="5">
                  <c:v>Германия</c:v>
                </c:pt>
                <c:pt idx="6">
                  <c:v>Словения</c:v>
                </c:pt>
                <c:pt idx="7">
                  <c:v>Австрия</c:v>
                </c:pt>
                <c:pt idx="8">
                  <c:v>Швеция</c:v>
                </c:pt>
                <c:pt idx="9">
                  <c:v>Испания</c:v>
                </c:pt>
                <c:pt idx="10">
                  <c:v>Норвегия</c:v>
                </c:pt>
                <c:pt idx="11">
                  <c:v>ЕС-27</c:v>
                </c:pt>
                <c:pt idx="12">
                  <c:v>Ирландия</c:v>
                </c:pt>
                <c:pt idx="13">
                  <c:v>Хорватия</c:v>
                </c:pt>
                <c:pt idx="14">
                  <c:v>Португалия</c:v>
                </c:pt>
                <c:pt idx="15">
                  <c:v>Словакия</c:v>
                </c:pt>
                <c:pt idx="16">
                  <c:v>Россия</c:v>
                </c:pt>
                <c:pt idx="17">
                  <c:v>Чехия</c:v>
                </c:pt>
                <c:pt idx="18">
                  <c:v>Франция</c:v>
                </c:pt>
                <c:pt idx="19">
                  <c:v>Турция</c:v>
                </c:pt>
                <c:pt idx="20">
                  <c:v>Эстония</c:v>
                </c:pt>
                <c:pt idx="21">
                  <c:v>Италия</c:v>
                </c:pt>
                <c:pt idx="22">
                  <c:v>Литва</c:v>
                </c:pt>
                <c:pt idx="23">
                  <c:v>Латвия</c:v>
                </c:pt>
                <c:pt idx="24">
                  <c:v>Греция</c:v>
                </c:pt>
                <c:pt idx="25">
                  <c:v>Венгрия</c:v>
                </c:pt>
                <c:pt idx="26">
                  <c:v>Польша</c:v>
                </c:pt>
                <c:pt idx="27">
                  <c:v>Болгария</c:v>
                </c:pt>
                <c:pt idx="28">
                  <c:v>Румыния</c:v>
                </c:pt>
              </c:strCache>
            </c:strRef>
          </c:cat>
          <c:val>
            <c:numRef>
              <c:f>Лист1!$B$2:$B$30</c:f>
              <c:numCache>
                <c:formatCode>General</c:formatCode>
                <c:ptCount val="29"/>
                <c:pt idx="0">
                  <c:v>15.2</c:v>
                </c:pt>
                <c:pt idx="1">
                  <c:v>15.1</c:v>
                </c:pt>
                <c:pt idx="2">
                  <c:v>14.5</c:v>
                </c:pt>
                <c:pt idx="3">
                  <c:v>13.8</c:v>
                </c:pt>
                <c:pt idx="4">
                  <c:v>13.4</c:v>
                </c:pt>
                <c:pt idx="5">
                  <c:v>11.6</c:v>
                </c:pt>
                <c:pt idx="6">
                  <c:v>11.4</c:v>
                </c:pt>
                <c:pt idx="7">
                  <c:v>10.8</c:v>
                </c:pt>
                <c:pt idx="8">
                  <c:v>10.4</c:v>
                </c:pt>
                <c:pt idx="9">
                  <c:v>9.2000000000000011</c:v>
                </c:pt>
                <c:pt idx="10">
                  <c:v>9.2000000000000011</c:v>
                </c:pt>
                <c:pt idx="11">
                  <c:v>8</c:v>
                </c:pt>
                <c:pt idx="12">
                  <c:v>8</c:v>
                </c:pt>
                <c:pt idx="13">
                  <c:v>7.9</c:v>
                </c:pt>
                <c:pt idx="14">
                  <c:v>7.9</c:v>
                </c:pt>
                <c:pt idx="15">
                  <c:v>7</c:v>
                </c:pt>
                <c:pt idx="16">
                  <c:v>6.3</c:v>
                </c:pt>
                <c:pt idx="17">
                  <c:v>5.9</c:v>
                </c:pt>
                <c:pt idx="18">
                  <c:v>5.9</c:v>
                </c:pt>
                <c:pt idx="19">
                  <c:v>5.5</c:v>
                </c:pt>
                <c:pt idx="20">
                  <c:v>5.2</c:v>
                </c:pt>
                <c:pt idx="21">
                  <c:v>5</c:v>
                </c:pt>
                <c:pt idx="22">
                  <c:v>4.9000000000000004</c:v>
                </c:pt>
                <c:pt idx="23">
                  <c:v>4.5</c:v>
                </c:pt>
                <c:pt idx="24">
                  <c:v>4</c:v>
                </c:pt>
                <c:pt idx="25">
                  <c:v>3.7</c:v>
                </c:pt>
                <c:pt idx="26">
                  <c:v>3.7</c:v>
                </c:pt>
                <c:pt idx="27">
                  <c:v>3.6</c:v>
                </c:pt>
                <c:pt idx="28">
                  <c:v>1.5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8-BB8D-42F6-8D67-031D0A69869E}"/>
            </c:ext>
          </c:extLst>
        </c:ser>
        <c:dLbls>
          <c:showVal val="1"/>
        </c:dLbls>
        <c:gapWidth val="219"/>
        <c:overlap val="-27"/>
        <c:axId val="71818240"/>
        <c:axId val="71821952"/>
      </c:barChart>
      <c:catAx>
        <c:axId val="718182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821952"/>
        <c:crosses val="autoZero"/>
        <c:auto val="1"/>
        <c:lblAlgn val="ctr"/>
        <c:lblOffset val="100"/>
      </c:catAx>
      <c:valAx>
        <c:axId val="718219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818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1CFB0-DCCA-4A2F-98D0-5B764203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BOHDANNINA BOHDANNINA</dc:creator>
  <cp:lastModifiedBy>Владимир</cp:lastModifiedBy>
  <cp:revision>4</cp:revision>
  <dcterms:created xsi:type="dcterms:W3CDTF">2025-10-02T08:45:00Z</dcterms:created>
  <dcterms:modified xsi:type="dcterms:W3CDTF">2025-10-13T15:37:00Z</dcterms:modified>
</cp:coreProperties>
</file>