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4E" w:rsidRPr="00093D4E" w:rsidRDefault="00093D4E" w:rsidP="00093D4E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93D4E">
        <w:rPr>
          <w:rFonts w:ascii="Times New Roman" w:hAnsi="Times New Roman" w:cs="Times New Roman"/>
          <w:b/>
          <w:i/>
          <w:sz w:val="24"/>
          <w:szCs w:val="24"/>
          <w:lang w:val="hy-AM"/>
        </w:rPr>
        <w:t>Khachatryan</w:t>
      </w:r>
      <w:r w:rsidRPr="00093D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L.</w:t>
      </w:r>
    </w:p>
    <w:p w:rsidR="00093D4E" w:rsidRPr="00093D4E" w:rsidRDefault="00093D4E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Candidate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Economics,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Associate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Professor,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Deputy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Director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Science,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Institute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Economics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Academy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Sciences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Armenia,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Style w:val="ezkurwreuab5ozgtqnkl"/>
          <w:rFonts w:ascii="Times New Roman" w:hAnsi="Times New Roman" w:cs="Times New Roman"/>
          <w:sz w:val="24"/>
          <w:szCs w:val="24"/>
        </w:rPr>
        <w:t>Yerevan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93D4E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lianakhachatryanforjob@gmail.com</w:t>
        </w:r>
      </w:hyperlink>
    </w:p>
    <w:p w:rsidR="00093D4E" w:rsidRDefault="00093D4E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628A" w:rsidRDefault="00093D4E" w:rsidP="00093D4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D4E">
        <w:rPr>
          <w:rFonts w:ascii="Times New Roman" w:hAnsi="Times New Roman" w:cs="Times New Roman"/>
          <w:b/>
          <w:sz w:val="24"/>
          <w:szCs w:val="24"/>
        </w:rPr>
        <w:t>THE RELATIONSHIP BETWEEN EDUCATION AND POVERTY: ANALYSIS IN THE REPUBLIC OF ARMENIA</w:t>
      </w:r>
    </w:p>
    <w:p w:rsidR="00093D4E" w:rsidRPr="00093D4E" w:rsidRDefault="00093D4E" w:rsidP="00093D4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D4E">
        <w:rPr>
          <w:rFonts w:ascii="Times New Roman" w:hAnsi="Times New Roman" w:cs="Times New Roman"/>
          <w:b/>
          <w:bCs/>
          <w:i/>
          <w:sz w:val="24"/>
          <w:szCs w:val="24"/>
        </w:rPr>
        <w:t>Keywords</w:t>
      </w:r>
      <w:r w:rsidRPr="00093D4E">
        <w:rPr>
          <w:rFonts w:ascii="Times New Roman" w:hAnsi="Times New Roman" w:cs="Times New Roman"/>
          <w:i/>
          <w:sz w:val="24"/>
          <w:szCs w:val="24"/>
        </w:rPr>
        <w:t>: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Pr="00093D4E">
        <w:rPr>
          <w:rFonts w:ascii="Times New Roman" w:hAnsi="Times New Roman" w:cs="Times New Roman"/>
          <w:i/>
          <w:sz w:val="24"/>
          <w:szCs w:val="24"/>
        </w:rPr>
        <w:t>ducation,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poverty,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factors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hindering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education,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professional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orientation,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education-business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connection,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professional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target</w:t>
      </w:r>
      <w:r w:rsidR="00093D4E" w:rsidRPr="00093D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i/>
          <w:sz w:val="24"/>
          <w:szCs w:val="24"/>
        </w:rPr>
        <w:t>locations.</w:t>
      </w:r>
    </w:p>
    <w:p w:rsidR="00093D4E" w:rsidRDefault="00093D4E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D4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level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considered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key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indicator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assess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well-being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standard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living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population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countries,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well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stability.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identified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those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consumption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adult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equivalent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below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average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line,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average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lower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upper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lines;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whereas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extremely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undernourished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defined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those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consumption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adult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equivalent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below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food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line</w:t>
      </w:r>
      <w:r w:rsidRPr="00093D4E">
        <w:rPr>
          <w:rFonts w:ascii="Times New Roman" w:eastAsia="GHEA Grapalat" w:hAnsi="Times New Roman" w:cs="Times New Roman"/>
          <w:sz w:val="24"/>
          <w:szCs w:val="24"/>
          <w:vertAlign w:val="superscript"/>
        </w:rPr>
        <w:footnoteReference w:id="1"/>
      </w:r>
      <w:r w:rsidR="00093D4E">
        <w:rPr>
          <w:rFonts w:ascii="Times New Roman" w:hAnsi="Times New Roman" w:cs="Times New Roman"/>
          <w:sz w:val="24"/>
          <w:szCs w:val="24"/>
        </w:rPr>
        <w:t xml:space="preserve">. </w:t>
      </w:r>
      <w:r w:rsidRPr="00093D4E">
        <w:rPr>
          <w:rFonts w:ascii="Times New Roman" w:hAnsi="Times New Roman" w:cs="Times New Roman"/>
          <w:sz w:val="24"/>
          <w:szCs w:val="24"/>
        </w:rPr>
        <w:t>Poverty,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multifaceted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indicator,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including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cultural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dimensions,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directly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determines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limited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access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healthcare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other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services.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turn,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plays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key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role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improving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living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standards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well-being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population,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affecting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various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aspects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people's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lives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society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whole.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93D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D4E" w:rsidRPr="00093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="00093D4E" w:rsidRPr="00093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93D4E" w:rsidRPr="00093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D4E" w:rsidRPr="00093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093D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identify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relationship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between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education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poverty,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which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number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questions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were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studied.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particular: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how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does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education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affect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level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poverty,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conversely,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does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poverty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hinder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person's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educational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opportunities?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Can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expanding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education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help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improve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people's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economic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status?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How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difficult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it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children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poor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families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receive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education,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result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which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persistent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low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standard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living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across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generations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poor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families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093D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93D4E">
        <w:rPr>
          <w:rFonts w:ascii="Times New Roman" w:hAnsi="Times New Roman" w:cs="Times New Roman"/>
          <w:bCs/>
          <w:sz w:val="24"/>
          <w:szCs w:val="24"/>
          <w:lang w:val="en-US"/>
        </w:rPr>
        <w:t>maintained?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main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goal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also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find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ways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mitigate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impact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hinders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result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research.</w:t>
      </w:r>
    </w:p>
    <w:p w:rsid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D4E">
        <w:rPr>
          <w:rFonts w:ascii="Times New Roman" w:hAnsi="Times New Roman" w:cs="Times New Roman"/>
          <w:b/>
          <w:sz w:val="24"/>
          <w:szCs w:val="24"/>
        </w:rPr>
        <w:t>Methodology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theoretical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methodological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basis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research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works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researchers,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articles,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conference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proceedings,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number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theories.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relationship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between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status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studied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basics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human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capital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theory.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706F37" w:rsidRPr="00093D4E">
        <w:rPr>
          <w:rFonts w:ascii="Times New Roman" w:hAnsi="Times New Roman" w:cs="Times New Roman"/>
          <w:sz w:val="24"/>
          <w:szCs w:val="24"/>
        </w:rPr>
        <w:t>Signalling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theory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also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adopted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basis,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according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provides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employers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idea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future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technological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progress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signal.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aspects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human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capital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development,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conditioned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achievements,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studied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based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Capital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theory.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Statistical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data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collection,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well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comparative,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analytical,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descriptive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methods,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used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during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relationship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between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research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database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based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publications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Statistical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Committee.</w:t>
      </w:r>
    </w:p>
    <w:p w:rsid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D4E">
        <w:rPr>
          <w:rFonts w:ascii="Times New Roman" w:hAnsi="Times New Roman" w:cs="Times New Roman"/>
          <w:b/>
          <w:bCs/>
          <w:sz w:val="24"/>
          <w:szCs w:val="24"/>
        </w:rPr>
        <w:t>Analysis</w:t>
      </w:r>
    </w:p>
    <w:p w:rsidR="0038628A" w:rsidRPr="00093D4E" w:rsidRDefault="00A052E5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8628A" w:rsidRPr="00093D4E">
        <w:rPr>
          <w:rFonts w:ascii="Times New Roman" w:hAnsi="Times New Roman" w:cs="Times New Roman"/>
          <w:sz w:val="24"/>
          <w:szCs w:val="24"/>
        </w:rPr>
        <w:t>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1990s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Italian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economist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Daniele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Cecchin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German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sociologist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Jutta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Allmendinger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introduced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concept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educational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38628A" w:rsidRPr="00093D4E">
        <w:rPr>
          <w:rFonts w:ascii="Times New Roman" w:hAnsi="Times New Roman" w:cs="Times New Roman"/>
          <w:sz w:val="24"/>
          <w:szCs w:val="24"/>
        </w:rPr>
        <w:t>poverty.</w:t>
      </w:r>
      <w:r w:rsidR="0038628A" w:rsidRPr="00093D4E">
        <w:rPr>
          <w:rFonts w:ascii="Times New Roman" w:eastAsia="GHEA Grapalat" w:hAnsi="Times New Roman" w:cs="Times New Roman"/>
          <w:sz w:val="24"/>
          <w:szCs w:val="24"/>
          <w:highlight w:val="white"/>
          <w:vertAlign w:val="superscript"/>
        </w:rPr>
        <w:footnoteReference w:id="2"/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problem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connection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restrictions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access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services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exists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worldwide.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reason,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both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international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organizations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governments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propose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strategies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aimed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solving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problem.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well-known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income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inequality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remains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clear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indicator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inequality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opportunities,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including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opportunities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general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particular.</w:t>
      </w:r>
      <w:r w:rsidRPr="00093D4E">
        <w:rPr>
          <w:rFonts w:ascii="Times New Roman" w:eastAsia="GHEA Grapalat" w:hAnsi="Times New Roman" w:cs="Times New Roman"/>
          <w:sz w:val="24"/>
          <w:szCs w:val="24"/>
          <w:highlight w:val="white"/>
          <w:vertAlign w:val="superscript"/>
        </w:rPr>
        <w:footnoteReference w:id="3"/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There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general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agreement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responsible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common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good.</w:t>
      </w:r>
      <w:r w:rsidRPr="00093D4E">
        <w:rPr>
          <w:rFonts w:ascii="Times New Roman" w:eastAsia="GHEA Grapalat" w:hAnsi="Times New Roman" w:cs="Times New Roman"/>
          <w:sz w:val="24"/>
          <w:szCs w:val="24"/>
          <w:highlight w:val="white"/>
          <w:vertAlign w:val="superscript"/>
        </w:rPr>
        <w:footnoteReference w:id="4"/>
      </w:r>
      <w:r w:rsidR="00093D4E">
        <w:rPr>
          <w:rFonts w:ascii="Times New Roman" w:eastAsia="GHEA Grapalat" w:hAnsi="Times New Roman" w:cs="Times New Roman"/>
          <w:sz w:val="24"/>
          <w:szCs w:val="24"/>
          <w:highlight w:val="white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inevitably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linked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low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levels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work,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inadequate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design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policies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income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redistribution.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vicious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circle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created,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links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include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income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low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wages,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unstable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poor-quality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poor-quality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health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care,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etc.</w:t>
      </w:r>
      <w:r w:rsidRPr="00093D4E">
        <w:rPr>
          <w:rFonts w:ascii="Times New Roman" w:eastAsia="GHEA Grapalat" w:hAnsi="Times New Roman" w:cs="Times New Roman"/>
          <w:sz w:val="24"/>
          <w:szCs w:val="24"/>
          <w:highlight w:val="white"/>
          <w:vertAlign w:val="superscript"/>
        </w:rPr>
        <w:footnoteReference w:id="5"/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human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capital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most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often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measured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terms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number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years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spent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global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average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return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10%,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meaning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each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additional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year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increases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person's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future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earnings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10%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average,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figure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typically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developing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countries.</w:t>
      </w:r>
      <w:r w:rsidRPr="00093D4E">
        <w:rPr>
          <w:rFonts w:ascii="Times New Roman" w:eastAsia="GHEA Grapalat" w:hAnsi="Times New Roman" w:cs="Times New Roman"/>
          <w:sz w:val="24"/>
          <w:szCs w:val="24"/>
          <w:highlight w:val="white"/>
          <w:vertAlign w:val="superscript"/>
        </w:rPr>
        <w:footnoteReference w:id="6"/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inequality,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measures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should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aimed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ensuring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fair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conditions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all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groups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receive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equalizing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starting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conditions.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elimination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should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stem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logic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policy,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measures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aimed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those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individuals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whose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below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minimum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level.</w:t>
      </w:r>
      <w:r w:rsidR="00093D4E">
        <w:rPr>
          <w:rFonts w:ascii="Times New Roman" w:eastAsia="GHEA Grapalat" w:hAnsi="Times New Roman" w:cs="Times New Roman"/>
          <w:sz w:val="24"/>
          <w:szCs w:val="24"/>
          <w:vertAlign w:val="superscript"/>
        </w:rPr>
        <w:t xml:space="preserve"> </w:t>
      </w:r>
      <w:r w:rsidRPr="00093D4E">
        <w:rPr>
          <w:rFonts w:ascii="Times New Roman" w:eastAsia="GHEA Grapalat" w:hAnsi="Times New Roman" w:cs="Times New Roman"/>
          <w:sz w:val="24"/>
          <w:szCs w:val="24"/>
          <w:vertAlign w:val="superscript"/>
        </w:rPr>
        <w:footnoteReference w:id="7"/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main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contributing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socio-economic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development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society.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impact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covers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many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aspects,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individual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well-being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changes.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turn,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socio-economic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level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country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determines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opportunity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receive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provided.</w:t>
      </w:r>
    </w:p>
    <w:p w:rsidR="0038628A" w:rsidRPr="00093D4E" w:rsidRDefault="0038628A" w:rsidP="009C54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eastAsia="GHEA Grapalat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732728" cy="3076575"/>
            <wp:effectExtent l="0" t="0" r="190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1000" cy="3081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C54C0">
        <w:rPr>
          <w:rFonts w:ascii="Times New Roman" w:hAnsi="Times New Roman" w:cs="Times New Roman"/>
          <w:b/>
          <w:sz w:val="24"/>
          <w:szCs w:val="24"/>
        </w:rPr>
        <w:t>Figure</w:t>
      </w:r>
      <w:r w:rsidR="00093D4E" w:rsidRPr="009C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4C0">
        <w:rPr>
          <w:rFonts w:ascii="Times New Roman" w:hAnsi="Times New Roman" w:cs="Times New Roman"/>
          <w:b/>
          <w:sz w:val="24"/>
          <w:szCs w:val="24"/>
        </w:rPr>
        <w:t>1.</w:t>
      </w:r>
      <w:r w:rsidR="009C54C0">
        <w:rPr>
          <w:rFonts w:ascii="Times New Roman" w:hAnsi="Times New Roman" w:cs="Times New Roman"/>
          <w:b/>
          <w:sz w:val="24"/>
          <w:szCs w:val="24"/>
        </w:rPr>
        <w:br/>
      </w:r>
      <w:r w:rsidRPr="009C54C0">
        <w:rPr>
          <w:rFonts w:ascii="Times New Roman" w:hAnsi="Times New Roman" w:cs="Times New Roman"/>
          <w:b/>
          <w:sz w:val="24"/>
          <w:szCs w:val="24"/>
        </w:rPr>
        <w:t>Socio-economic</w:t>
      </w:r>
      <w:r w:rsidR="00093D4E" w:rsidRPr="009C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4C0">
        <w:rPr>
          <w:rFonts w:ascii="Times New Roman" w:hAnsi="Times New Roman" w:cs="Times New Roman"/>
          <w:b/>
          <w:sz w:val="24"/>
          <w:szCs w:val="24"/>
        </w:rPr>
        <w:t>correlation</w:t>
      </w:r>
      <w:r w:rsidR="00093D4E" w:rsidRPr="009C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4C0">
        <w:rPr>
          <w:rFonts w:ascii="Times New Roman" w:hAnsi="Times New Roman" w:cs="Times New Roman"/>
          <w:b/>
          <w:sz w:val="24"/>
          <w:szCs w:val="24"/>
        </w:rPr>
        <w:t>between</w:t>
      </w:r>
      <w:r w:rsidR="00093D4E" w:rsidRPr="009C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4C0">
        <w:rPr>
          <w:rFonts w:ascii="Times New Roman" w:hAnsi="Times New Roman" w:cs="Times New Roman"/>
          <w:b/>
          <w:sz w:val="24"/>
          <w:szCs w:val="24"/>
        </w:rPr>
        <w:t>education</w:t>
      </w:r>
      <w:r w:rsidR="00093D4E" w:rsidRPr="009C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4C0">
        <w:rPr>
          <w:rFonts w:ascii="Times New Roman" w:hAnsi="Times New Roman" w:cs="Times New Roman"/>
          <w:b/>
          <w:sz w:val="24"/>
          <w:szCs w:val="24"/>
        </w:rPr>
        <w:t>and</w:t>
      </w:r>
      <w:r w:rsidR="00093D4E" w:rsidRPr="009C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4C0">
        <w:rPr>
          <w:rFonts w:ascii="Times New Roman" w:hAnsi="Times New Roman" w:cs="Times New Roman"/>
          <w:b/>
          <w:sz w:val="24"/>
          <w:szCs w:val="24"/>
        </w:rPr>
        <w:t>poverty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Obtaining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first-level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directly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determined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well-being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family,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living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number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obstacles.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result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research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conducted,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affecting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access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presented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following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classification: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1.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Financial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–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Providing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child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requires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significant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capital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investment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parents,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especially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HEI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located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place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residence,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requiring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tuition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fees,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transportation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expenses,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daily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expenses,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sometimes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even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rented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accommodation.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Depending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specialization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degree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recognition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diploma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awarded,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annual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tuition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fees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operating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HEIs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range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400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thousand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drams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2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million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drams</w:t>
      </w:r>
      <w:r w:rsidRPr="00093D4E">
        <w:rPr>
          <w:rFonts w:ascii="Times New Roman" w:eastAsia="GHEA Grapalat" w:hAnsi="Times New Roman" w:cs="Times New Roman"/>
          <w:sz w:val="24"/>
          <w:szCs w:val="24"/>
          <w:vertAlign w:val="superscript"/>
        </w:rPr>
        <w:footnoteReference w:id="8"/>
      </w:r>
      <w:r w:rsidRPr="00093D4E">
        <w:rPr>
          <w:rFonts w:ascii="Times New Roman" w:hAnsi="Times New Roman" w:cs="Times New Roman"/>
          <w:sz w:val="24"/>
          <w:szCs w:val="24"/>
        </w:rPr>
        <w:t>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Compared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European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universities,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tuition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fees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Armenia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not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but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unemployment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rate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9C54C0">
        <w:rPr>
          <w:rFonts w:ascii="Times New Roman" w:hAnsi="Times New Roman" w:cs="Times New Roman"/>
          <w:sz w:val="24"/>
          <w:szCs w:val="24"/>
        </w:rPr>
        <w:t>R</w:t>
      </w:r>
      <w:r w:rsidRPr="00093D4E">
        <w:rPr>
          <w:rFonts w:ascii="Times New Roman" w:hAnsi="Times New Roman" w:cs="Times New Roman"/>
          <w:sz w:val="24"/>
          <w:szCs w:val="24"/>
        </w:rPr>
        <w:t>epublic,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average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monthly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salary,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cost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food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consumer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basket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should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taken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account.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monthly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tuition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fee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universities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offering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medical,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legal,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information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technology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specialties,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have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demand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recent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years,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80-200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thousand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drams,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minimum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consumer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basket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calculated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75,529.3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drams.</w:t>
      </w:r>
    </w:p>
    <w:p w:rsidR="009C54C0" w:rsidRPr="009C54C0" w:rsidRDefault="0038628A" w:rsidP="009C54C0">
      <w:pPr>
        <w:pStyle w:val="a4"/>
        <w:spacing w:before="0" w:beforeAutospacing="0" w:after="0" w:afterAutospacing="0" w:line="360" w:lineRule="auto"/>
        <w:ind w:firstLine="709"/>
        <w:contextualSpacing/>
        <w:jc w:val="right"/>
      </w:pPr>
      <w:r w:rsidRPr="00093D4E">
        <w:t>Table</w:t>
      </w:r>
      <w:r w:rsidR="00093D4E">
        <w:t xml:space="preserve"> </w:t>
      </w:r>
      <w:r w:rsidRPr="00093D4E">
        <w:t>1</w:t>
      </w:r>
    </w:p>
    <w:p w:rsidR="0038628A" w:rsidRPr="00093D4E" w:rsidRDefault="0038628A" w:rsidP="00093D4E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  <w:r w:rsidRPr="00093D4E">
        <w:t>Main</w:t>
      </w:r>
      <w:r w:rsidR="00093D4E">
        <w:t xml:space="preserve"> </w:t>
      </w:r>
      <w:r w:rsidRPr="00093D4E">
        <w:t>Indicators</w:t>
      </w:r>
      <w:r w:rsidR="00093D4E">
        <w:t xml:space="preserve"> </w:t>
      </w:r>
      <w:r w:rsidRPr="00093D4E">
        <w:t>Characterizing</w:t>
      </w:r>
      <w:r w:rsidR="00093D4E">
        <w:t xml:space="preserve"> </w:t>
      </w:r>
      <w:r w:rsidRPr="00093D4E">
        <w:t>the</w:t>
      </w:r>
      <w:r w:rsidR="00093D4E">
        <w:t xml:space="preserve"> </w:t>
      </w:r>
      <w:r w:rsidRPr="00093D4E">
        <w:t>Economic</w:t>
      </w:r>
      <w:r w:rsidR="00093D4E">
        <w:t xml:space="preserve"> </w:t>
      </w:r>
      <w:r w:rsidRPr="00093D4E">
        <w:t>Situation</w:t>
      </w:r>
      <w:r w:rsidR="00093D4E">
        <w:t xml:space="preserve"> </w:t>
      </w:r>
      <w:r w:rsidRPr="00093D4E">
        <w:t>of</w:t>
      </w:r>
      <w:r w:rsidR="00093D4E">
        <w:t xml:space="preserve"> </w:t>
      </w:r>
      <w:r w:rsidRPr="00093D4E">
        <w:t>the</w:t>
      </w:r>
      <w:r w:rsidR="00093D4E">
        <w:t xml:space="preserve"> </w:t>
      </w:r>
      <w:r w:rsidRPr="00093D4E">
        <w:t>Republic</w:t>
      </w: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95"/>
        <w:gridCol w:w="1560"/>
        <w:gridCol w:w="1560"/>
        <w:gridCol w:w="1560"/>
      </w:tblGrid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2023</w:t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hAnsi="Times New Roman" w:cs="Times New Roman"/>
                <w:sz w:val="24"/>
                <w:szCs w:val="24"/>
              </w:rPr>
              <w:t>Unemployment</w:t>
            </w:r>
            <w:r w:rsidR="0009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13,5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Extremely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poor,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%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1,2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Very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poor,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Poor,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24,8</w:t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average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monthly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salary,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AMD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146524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172727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269994</w:t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Food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basket: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annual,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AMD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383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731.0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409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452.0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489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919.7</w:t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food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basket: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monthly,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AMD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31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977.6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34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121.0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40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826.6</w:t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Minimum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consumer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basket: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annual,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AMD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679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203.9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724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730.0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906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351.4</w:t>
            </w:r>
          </w:p>
        </w:tc>
      </w:tr>
      <w:tr w:rsidR="0038628A" w:rsidRPr="00093D4E" w:rsidTr="0075341D"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Minimum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consumer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basket: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monthly,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AMD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56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600.3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60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394.2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093D4E" w:rsidRDefault="0038628A" w:rsidP="009C54C0">
            <w:pPr>
              <w:spacing w:line="240" w:lineRule="auto"/>
              <w:contextualSpacing/>
              <w:jc w:val="both"/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75</w:t>
            </w:r>
            <w:r w:rsidR="00093D4E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093D4E">
              <w:rPr>
                <w:rFonts w:ascii="Times New Roman" w:eastAsia="GHEA Grapalat" w:hAnsi="Times New Roman" w:cs="Times New Roman"/>
                <w:sz w:val="24"/>
                <w:szCs w:val="24"/>
              </w:rPr>
              <w:t>529.3</w:t>
            </w:r>
          </w:p>
        </w:tc>
      </w:tr>
    </w:tbl>
    <w:p w:rsidR="008800E0" w:rsidRPr="00093D4E" w:rsidRDefault="008800E0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27FE" w:rsidRDefault="005C0FAC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2.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–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Another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common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hindering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status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lack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support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state.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low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status,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importance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particularly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absent,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leads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insufficient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motivation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children.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such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families,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children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often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responsible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household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chores,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limits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their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time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learning.</w:t>
      </w:r>
    </w:p>
    <w:p w:rsidR="009C54C0" w:rsidRPr="00093D4E" w:rsidRDefault="009C54C0" w:rsidP="009C54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Geographical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resources,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programs,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Children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remote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hindered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accessing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quality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schools,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affects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entrance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exams.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private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institutions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Armenia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mainly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located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capital,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Yerevan,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limits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students.</w:t>
      </w:r>
    </w:p>
    <w:p w:rsidR="009C54C0" w:rsidRPr="00093D4E" w:rsidRDefault="009C54C0" w:rsidP="009C54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Cultural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93D4E">
        <w:rPr>
          <w:rFonts w:ascii="Times New Roman" w:hAnsi="Times New Roman" w:cs="Times New Roman"/>
          <w:sz w:val="24"/>
          <w:szCs w:val="24"/>
        </w:rPr>
        <w:t>Unfortunately,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modern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Armenia,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“traditional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prevail,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“necessity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“gender-based”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beliefs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choosing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profession.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remote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security,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difficult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daughters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receive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41D" w:rsidRPr="00093D4E" w:rsidRDefault="0038628A" w:rsidP="009C54C0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Table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2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Dynamics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Admissions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Institutions</w:t>
      </w: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30"/>
        <w:gridCol w:w="990"/>
        <w:gridCol w:w="1170"/>
        <w:gridCol w:w="990"/>
        <w:gridCol w:w="990"/>
        <w:gridCol w:w="990"/>
        <w:gridCol w:w="1170"/>
        <w:gridCol w:w="1170"/>
      </w:tblGrid>
      <w:tr w:rsidR="0038628A" w:rsidRPr="009C54C0" w:rsidTr="005C0FAC">
        <w:trPr>
          <w:cantSplit/>
          <w:trHeight w:val="422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Regions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Yerevan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capital,</w:t>
            </w:r>
            <w:r w:rsidR="00093D4E" w:rsidRPr="009C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5"/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2023</w:t>
            </w:r>
          </w:p>
        </w:tc>
      </w:tr>
      <w:tr w:rsidR="00207BE0" w:rsidRPr="009C54C0" w:rsidTr="005C0FAC">
        <w:trPr>
          <w:cantSplit/>
          <w:trHeight w:val="3680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Number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of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private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HEIs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branches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,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Number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of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students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in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state,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private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HEIs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branches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Number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of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private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HEIs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branches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Number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of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students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in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state,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private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HEIs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branches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Number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of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private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HEIs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branches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Number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of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students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in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state,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private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HEIs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and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branches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  <w:vertAlign w:val="superscript"/>
              </w:rPr>
              <w:footnoteReference w:id="20"/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Yerevan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71559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59036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63238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Aragatsotn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0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Ararat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0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Armavir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79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Gegharquniq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771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Lori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3622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2101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Kotayk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357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Shirak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4752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3159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Syunik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1106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Vayoc</w:t>
            </w:r>
            <w:r w:rsidR="00093D4E"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 xml:space="preserve"> </w:t>
            </w: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Dzor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114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Tavush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1133</w:t>
            </w:r>
          </w:p>
        </w:tc>
      </w:tr>
      <w:tr w:rsidR="00207BE0" w:rsidRPr="009C54C0" w:rsidTr="00F527F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85922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69622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628A" w:rsidRPr="009C54C0" w:rsidRDefault="0038628A" w:rsidP="009C54C0">
            <w:pPr>
              <w:rPr>
                <w:rFonts w:ascii="Times New Roman" w:eastAsia="GHEA Grapalat" w:hAnsi="Times New Roman" w:cs="Times New Roman"/>
                <w:sz w:val="24"/>
                <w:szCs w:val="24"/>
              </w:rPr>
            </w:pPr>
            <w:r w:rsidRPr="009C54C0">
              <w:rPr>
                <w:rFonts w:ascii="Times New Roman" w:eastAsia="GHEA Grapalat" w:hAnsi="Times New Roman" w:cs="Times New Roman"/>
                <w:sz w:val="24"/>
                <w:szCs w:val="24"/>
              </w:rPr>
              <w:t>72058</w:t>
            </w:r>
          </w:p>
        </w:tc>
      </w:tr>
    </w:tbl>
    <w:p w:rsidR="009C54C0" w:rsidRDefault="009C54C0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6981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D4E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availability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quality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crucial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economic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development,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directly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determined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financial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security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families.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same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time,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proven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specialists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greater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demand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receive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salaries.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chain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where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determined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level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overcome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poverty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through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"invisible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hand"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needed,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which,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through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functions,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mitigate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interaction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factors.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We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offer:</w:t>
      </w:r>
    </w:p>
    <w:p w:rsidR="0038628A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Connection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between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Business.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Considering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main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factor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hindering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–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financial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situation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family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–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government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could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establish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certain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privileges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organizations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create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connections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universities.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replenish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rejuvenate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workforce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organizations,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contracts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could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signed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students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enrolled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educational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programs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in-demand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specialties.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main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condition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contract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could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that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will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reimburse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total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tuition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fee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years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after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starting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work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organization,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part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part,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salary.</w:t>
      </w:r>
    </w:p>
    <w:p w:rsidR="00E52FA2" w:rsidRPr="00093D4E" w:rsidRDefault="0038628A" w:rsidP="00093D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D4E">
        <w:rPr>
          <w:rFonts w:ascii="Times New Roman" w:hAnsi="Times New Roman" w:cs="Times New Roman"/>
          <w:sz w:val="24"/>
          <w:szCs w:val="24"/>
        </w:rPr>
        <w:t>Allocating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targeted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places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universities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with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state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funding.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recent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years,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996981">
        <w:rPr>
          <w:rFonts w:ascii="Times New Roman" w:hAnsi="Times New Roman" w:cs="Times New Roman"/>
          <w:sz w:val="24"/>
          <w:szCs w:val="24"/>
        </w:rPr>
        <w:t>R</w:t>
      </w:r>
      <w:r w:rsidRPr="00093D4E">
        <w:rPr>
          <w:rFonts w:ascii="Times New Roman" w:hAnsi="Times New Roman" w:cs="Times New Roman"/>
          <w:sz w:val="24"/>
          <w:szCs w:val="24"/>
        </w:rPr>
        <w:t>epublic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has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seen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decrease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demand,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especially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agricultural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specialties.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Thus,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2017,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67</w:t>
      </w:r>
      <w:r w:rsidRPr="00093D4E">
        <w:rPr>
          <w:rFonts w:ascii="Times New Roman" w:eastAsia="GHEA Grapalat" w:hAnsi="Times New Roman" w:cs="Times New Roman"/>
          <w:sz w:val="24"/>
          <w:szCs w:val="24"/>
          <w:vertAlign w:val="superscript"/>
        </w:rPr>
        <w:footnoteReference w:id="21"/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students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graduated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from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bachelor's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degree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program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specialty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"Veterinary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Medicine,"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2019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="00996981">
        <w:rPr>
          <w:rFonts w:ascii="Times New Roman" w:hAnsi="Times New Roman" w:cs="Times New Roman"/>
          <w:sz w:val="24"/>
          <w:szCs w:val="24"/>
        </w:rPr>
        <w:t>–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57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students</w:t>
      </w:r>
      <w:r w:rsidRPr="00093D4E">
        <w:rPr>
          <w:rFonts w:ascii="Times New Roman" w:eastAsia="GHEA Grapalat" w:hAnsi="Times New Roman" w:cs="Times New Roman"/>
          <w:sz w:val="24"/>
          <w:szCs w:val="24"/>
          <w:vertAlign w:val="superscript"/>
        </w:rPr>
        <w:footnoteReference w:id="22"/>
      </w:r>
      <w:r w:rsidRPr="00093D4E">
        <w:rPr>
          <w:rFonts w:ascii="Times New Roman" w:hAnsi="Times New Roman" w:cs="Times New Roman"/>
          <w:sz w:val="24"/>
          <w:szCs w:val="24"/>
        </w:rPr>
        <w:t>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2022-2023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academic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year,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26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students</w:t>
      </w:r>
      <w:r w:rsidRPr="00093D4E">
        <w:rPr>
          <w:rFonts w:ascii="Times New Roman" w:eastAsia="GHEA Grapalat" w:hAnsi="Times New Roman" w:cs="Times New Roman"/>
          <w:sz w:val="24"/>
          <w:szCs w:val="24"/>
          <w:vertAlign w:val="superscript"/>
        </w:rPr>
        <w:footnoteReference w:id="23"/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were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admitted,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2023-2024,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18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students</w:t>
      </w:r>
      <w:r w:rsidRPr="00093D4E">
        <w:rPr>
          <w:rFonts w:ascii="Times New Roman" w:eastAsia="GHEA Grapalat" w:hAnsi="Times New Roman" w:cs="Times New Roman"/>
          <w:sz w:val="24"/>
          <w:szCs w:val="24"/>
          <w:vertAlign w:val="superscript"/>
        </w:rPr>
        <w:footnoteReference w:id="24"/>
      </w:r>
      <w:r w:rsidRPr="00093D4E">
        <w:rPr>
          <w:rFonts w:ascii="Times New Roman" w:hAnsi="Times New Roman" w:cs="Times New Roman"/>
          <w:sz w:val="24"/>
          <w:szCs w:val="24"/>
        </w:rPr>
        <w:t>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Taking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into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account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importance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veterinary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profession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shortage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regions,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list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professions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funded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government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presented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high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schools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rural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communities.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professional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orientation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process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organized,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students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participating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program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selected.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Such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mechanism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used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not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only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for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specialists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the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agrarian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sector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but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also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cases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shortage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labour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any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profession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in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rural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communities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–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teachers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of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natural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sciences,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doctors,</w:t>
      </w:r>
      <w:r w:rsidR="00093D4E">
        <w:rPr>
          <w:rFonts w:ascii="Times New Roman" w:hAnsi="Times New Roman" w:cs="Times New Roman"/>
          <w:sz w:val="24"/>
          <w:szCs w:val="24"/>
        </w:rPr>
        <w:t xml:space="preserve"> </w:t>
      </w:r>
      <w:r w:rsidRPr="00093D4E">
        <w:rPr>
          <w:rFonts w:ascii="Times New Roman" w:hAnsi="Times New Roman" w:cs="Times New Roman"/>
          <w:sz w:val="24"/>
          <w:szCs w:val="24"/>
        </w:rPr>
        <w:t>etc.</w:t>
      </w:r>
    </w:p>
    <w:sectPr w:rsidR="00E52FA2" w:rsidRPr="00093D4E" w:rsidSect="00093D4E">
      <w:headerReference w:type="default" r:id="rId9"/>
      <w:footerReference w:type="default" r:id="rId10"/>
      <w:footnotePr>
        <w:numRestart w:val="eachPage"/>
      </w:footnotePr>
      <w:pgSz w:w="11909" w:h="16834" w:code="9"/>
      <w:pgMar w:top="1134" w:right="1418" w:bottom="1134" w:left="1418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D4E" w:rsidRDefault="00093D4E" w:rsidP="0038628A">
      <w:pPr>
        <w:spacing w:line="240" w:lineRule="auto"/>
      </w:pPr>
      <w:r>
        <w:separator/>
      </w:r>
    </w:p>
  </w:endnote>
  <w:endnote w:type="continuationSeparator" w:id="0">
    <w:p w:rsidR="00093D4E" w:rsidRDefault="00093D4E" w:rsidP="00386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erriweather">
    <w:altName w:val="Merriweather"/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3D4E" w:rsidRPr="00093D4E" w:rsidRDefault="00093D4E" w:rsidP="00093D4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3D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D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3D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6F3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93D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D4E" w:rsidRDefault="00093D4E" w:rsidP="0038628A">
      <w:pPr>
        <w:spacing w:line="240" w:lineRule="auto"/>
      </w:pPr>
      <w:r>
        <w:separator/>
      </w:r>
    </w:p>
  </w:footnote>
  <w:footnote w:type="continuationSeparator" w:id="0">
    <w:p w:rsidR="00093D4E" w:rsidRDefault="00093D4E" w:rsidP="0038628A">
      <w:pPr>
        <w:spacing w:line="240" w:lineRule="auto"/>
      </w:pPr>
      <w:r>
        <w:continuationSeparator/>
      </w:r>
    </w:p>
  </w:footnote>
  <w:footnote w:id="1">
    <w:p w:rsidR="00093D4E" w:rsidRPr="00093D4E" w:rsidRDefault="00093D4E" w:rsidP="00093D4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hAnsi="Times New Roman" w:cs="Times New Roman"/>
          <w:sz w:val="20"/>
          <w:szCs w:val="20"/>
        </w:rPr>
        <w:t xml:space="preserve"> </w:t>
      </w:r>
      <w:r w:rsidRPr="00093D4E">
        <w:rPr>
          <w:rFonts w:ascii="Times New Roman" w:eastAsia="Times New Roman" w:hAnsi="Times New Roman" w:cs="Times New Roman"/>
          <w:sz w:val="20"/>
          <w:szCs w:val="20"/>
        </w:rPr>
        <w:t>Food Security and Poverty, January-June 2024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/</w:t>
      </w:r>
      <w:r w:rsidRPr="00093D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">
        <w:r w:rsidRPr="00093D4E">
          <w:rPr>
            <w:rFonts w:ascii="Times New Roman" w:hAnsi="Times New Roman" w:cs="Times New Roman"/>
            <w:sz w:val="20"/>
            <w:szCs w:val="20"/>
          </w:rPr>
          <w:t>Statistical Committee Republic of Armenia</w:t>
        </w:r>
      </w:hyperlink>
      <w:r>
        <w:rPr>
          <w:rFonts w:ascii="Times New Roman" w:hAnsi="Times New Roman" w:cs="Times New Roman"/>
          <w:sz w:val="20"/>
          <w:szCs w:val="20"/>
        </w:rPr>
        <w:t>. – 2024. – P.</w:t>
      </w:r>
      <w:r w:rsidRPr="00093D4E">
        <w:rPr>
          <w:rFonts w:ascii="Times New Roman" w:eastAsia="Times New Roman" w:hAnsi="Times New Roman" w:cs="Times New Roman"/>
          <w:sz w:val="20"/>
          <w:szCs w:val="20"/>
        </w:rPr>
        <w:t xml:space="preserve"> 109, 101</w:t>
      </w:r>
      <w:r>
        <w:rPr>
          <w:rFonts w:ascii="Times New Roman" w:eastAsia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">
        <w:r w:rsidRPr="00093D4E">
          <w:rPr>
            <w:rFonts w:ascii="Times New Roman" w:hAnsi="Times New Roman" w:cs="Times New Roman"/>
            <w:sz w:val="20"/>
            <w:szCs w:val="20"/>
          </w:rPr>
          <w:t>https://armstat.am/file/article/f_sec_2_2024_5.pdf</w:t>
        </w:r>
      </w:hyperlink>
    </w:p>
  </w:footnote>
  <w:footnote w:id="2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052E5">
        <w:rPr>
          <w:rFonts w:ascii="Times New Roman" w:eastAsia="Calibri" w:hAnsi="Times New Roman" w:cs="Times New Roman"/>
          <w:i/>
          <w:sz w:val="20"/>
          <w:szCs w:val="20"/>
        </w:rPr>
        <w:t>Botezat</w:t>
      </w:r>
      <w:r w:rsidR="00A052E5" w:rsidRPr="00A052E5">
        <w:rPr>
          <w:rFonts w:ascii="Times New Roman" w:eastAsia="Calibri" w:hAnsi="Times New Roman" w:cs="Times New Roman"/>
          <w:i/>
          <w:sz w:val="20"/>
          <w:szCs w:val="20"/>
        </w:rPr>
        <w:t xml:space="preserve"> A.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Educational poverty</w:t>
      </w:r>
      <w:r w:rsidR="00A052E5">
        <w:rPr>
          <w:rFonts w:ascii="Times New Roman" w:eastAsia="Calibri" w:hAnsi="Times New Roman" w:cs="Times New Roman"/>
          <w:sz w:val="20"/>
          <w:szCs w:val="20"/>
        </w:rPr>
        <w:t xml:space="preserve">. – </w:t>
      </w:r>
      <w:hyperlink r:id="rId3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https://nesetweb.eu/wp-content/uploads/2019/06/AHQ5_Educational-Poverty.pdf</w:t>
        </w:r>
      </w:hyperlink>
    </w:p>
  </w:footnote>
  <w:footnote w:id="3">
    <w:p w:rsidR="00093D4E" w:rsidRPr="00A052E5" w:rsidRDefault="00093D4E" w:rsidP="00A052E5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A052E5">
        <w:rPr>
          <w:rFonts w:ascii="Times New Roman" w:eastAsia="Courier New" w:hAnsi="Times New Roman" w:cs="Times New Roman"/>
          <w:sz w:val="20"/>
          <w:szCs w:val="20"/>
          <w:lang w:val="ru-RU"/>
        </w:rPr>
        <w:t xml:space="preserve"> </w:t>
      </w:r>
      <w:r w:rsidR="00A052E5" w:rsidRPr="00A052E5">
        <w:rPr>
          <w:rFonts w:ascii="Times New Roman" w:hAnsi="Times New Roman" w:cs="Times New Roman"/>
          <w:i/>
          <w:sz w:val="20"/>
          <w:szCs w:val="20"/>
          <w:lang w:val="ru-RU"/>
        </w:rPr>
        <w:t>Косарецкий С.Г., Пинская М.А., Груничева И.Г.</w:t>
      </w:r>
      <w:r w:rsidR="00A052E5" w:rsidRPr="00D72F7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052E5" w:rsidRPr="00A052E5">
        <w:rPr>
          <w:rFonts w:ascii="Times New Roman" w:hAnsi="Times New Roman" w:cs="Times New Roman"/>
          <w:sz w:val="20"/>
          <w:szCs w:val="20"/>
          <w:lang w:val="ru-RU"/>
        </w:rPr>
        <w:t>Проблемы бедности и доступа к образованию. Оценка ситуации в России и международный опыт // Мир России. – 2014. – № 2.</w:t>
      </w:r>
      <w:r w:rsidR="00A052E5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hyperlink r:id="rId4">
        <w:r w:rsidRPr="00093D4E">
          <w:rPr>
            <w:rFonts w:ascii="Times New Roman" w:eastAsia="Calibri" w:hAnsi="Times New Roman" w:cs="Times New Roman"/>
            <w:sz w:val="20"/>
            <w:szCs w:val="20"/>
          </w:rPr>
          <w:t>https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://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cyberleninka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.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ru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/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article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/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n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/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problemy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bednosti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i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dostupa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k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obrazovaniyu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otsenka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situatsii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v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rossii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i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mezhdunarodnyy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opyt</w:t>
        </w:r>
        <w:r w:rsidRPr="00A052E5">
          <w:rPr>
            <w:rFonts w:ascii="Times New Roman" w:eastAsia="Calibri" w:hAnsi="Times New Roman" w:cs="Times New Roman"/>
            <w:sz w:val="20"/>
            <w:szCs w:val="20"/>
            <w:lang w:val="ru-RU"/>
          </w:rPr>
          <w:t>/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viewer</w:t>
        </w:r>
      </w:hyperlink>
      <w:r w:rsidRPr="00A052E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</w:p>
  </w:footnote>
  <w:footnote w:id="4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052E5">
        <w:rPr>
          <w:rFonts w:ascii="Times New Roman" w:eastAsia="Calibri" w:hAnsi="Times New Roman" w:cs="Times New Roman"/>
          <w:i/>
          <w:sz w:val="20"/>
          <w:szCs w:val="20"/>
        </w:rPr>
        <w:t>Marginson S</w:t>
      </w:r>
      <w:r w:rsidR="00A052E5" w:rsidRPr="00A052E5">
        <w:rPr>
          <w:rFonts w:ascii="Times New Roman" w:eastAsia="Calibri" w:hAnsi="Times New Roman" w:cs="Times New Roman"/>
          <w:i/>
          <w:sz w:val="20"/>
          <w:szCs w:val="20"/>
          <w:lang w:val="en-US"/>
        </w:rPr>
        <w:t>.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Higher Education and Public and Common Good</w:t>
      </w:r>
      <w:r w:rsidR="00A052E5">
        <w:rPr>
          <w:rFonts w:ascii="Times New Roman" w:eastAsia="Calibri" w:hAnsi="Times New Roman" w:cs="Times New Roman"/>
          <w:sz w:val="20"/>
          <w:szCs w:val="20"/>
        </w:rPr>
        <w:t xml:space="preserve"> /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Centre for Global Higher Education Working Paper </w:t>
      </w:r>
      <w:r w:rsidR="00A052E5">
        <w:rPr>
          <w:rFonts w:ascii="Times New Roman" w:eastAsia="Calibri" w:hAnsi="Times New Roman" w:cs="Times New Roman"/>
          <w:sz w:val="20"/>
          <w:szCs w:val="20"/>
        </w:rPr>
        <w:t>series.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2024</w:t>
      </w:r>
      <w:r w:rsidR="00A052E5">
        <w:rPr>
          <w:rFonts w:ascii="Times New Roman" w:eastAsia="Calibri" w:hAnsi="Times New Roman" w:cs="Times New Roman"/>
          <w:sz w:val="20"/>
          <w:szCs w:val="20"/>
        </w:rPr>
        <w:t>. – N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114</w:t>
      </w:r>
      <w:r w:rsidR="00A052E5">
        <w:rPr>
          <w:rFonts w:ascii="Times New Roman" w:eastAsia="Calibri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https://www.researchcghe.org/wp-content/uploads/migrate/wp114-1.pdf</w:t>
        </w:r>
      </w:hyperlink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</w:footnote>
  <w:footnote w:id="5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052E5">
        <w:rPr>
          <w:rFonts w:ascii="Times New Roman" w:eastAsia="Calibri" w:hAnsi="Times New Roman" w:cs="Times New Roman"/>
          <w:i/>
          <w:sz w:val="20"/>
          <w:szCs w:val="20"/>
        </w:rPr>
        <w:t>Sanz R, Peris J</w:t>
      </w:r>
      <w:r w:rsidR="00A052E5" w:rsidRPr="00A052E5">
        <w:rPr>
          <w:rFonts w:ascii="Times New Roman" w:eastAsia="Calibri" w:hAnsi="Times New Roman" w:cs="Times New Roman"/>
          <w:i/>
          <w:sz w:val="20"/>
          <w:szCs w:val="20"/>
        </w:rPr>
        <w:t>.A.</w:t>
      </w:r>
      <w:r w:rsidRPr="00A052E5">
        <w:rPr>
          <w:rFonts w:ascii="Times New Roman" w:eastAsia="Calibri" w:hAnsi="Times New Roman" w:cs="Times New Roman"/>
          <w:i/>
          <w:sz w:val="20"/>
          <w:szCs w:val="20"/>
        </w:rPr>
        <w:t>, Escámez J</w:t>
      </w:r>
      <w:r w:rsidR="00A052E5" w:rsidRPr="00A052E5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Higher education in the fight against poverty from the capabilities approach: The case of Spain</w:t>
      </w:r>
      <w:r w:rsidR="00706F37">
        <w:rPr>
          <w:rFonts w:ascii="Times New Roman" w:eastAsia="Calibri" w:hAnsi="Times New Roman" w:cs="Times New Roman"/>
          <w:sz w:val="20"/>
          <w:szCs w:val="20"/>
        </w:rPr>
        <w:t xml:space="preserve"> //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Journal of Innovation &amp; Knowledge</w:t>
      </w:r>
      <w:r w:rsidR="00706F37">
        <w:rPr>
          <w:rFonts w:ascii="Times New Roman" w:eastAsia="Calibri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2017</w:t>
      </w:r>
      <w:r w:rsidR="00706F37">
        <w:rPr>
          <w:rFonts w:ascii="Times New Roman" w:eastAsia="Calibri" w:hAnsi="Times New Roman" w:cs="Times New Roman"/>
          <w:sz w:val="20"/>
          <w:szCs w:val="20"/>
        </w:rPr>
        <w:t xml:space="preserve">. – </w:t>
      </w:r>
      <w:hyperlink r:id="rId6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https://sci-hub.se/https://doi.org/10.1016/j.jik.2017.03.002</w:t>
        </w:r>
      </w:hyperlink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</w:footnote>
  <w:footnote w:id="6">
    <w:p w:rsidR="00093D4E" w:rsidRPr="00093D4E" w:rsidRDefault="00093D4E" w:rsidP="00093D4E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hAnsi="Times New Roman" w:cs="Times New Roman"/>
          <w:sz w:val="20"/>
          <w:szCs w:val="20"/>
        </w:rPr>
        <w:t xml:space="preserve"> </w:t>
      </w:r>
      <w:hyperlink r:id="rId7">
        <w:r w:rsidRPr="009C54C0">
          <w:rPr>
            <w:rFonts w:ascii="Times New Roman" w:hAnsi="Times New Roman" w:cs="Times New Roman"/>
            <w:i/>
            <w:sz w:val="20"/>
            <w:szCs w:val="20"/>
          </w:rPr>
          <w:t>Demyanenko</w:t>
        </w:r>
      </w:hyperlink>
      <w:r w:rsidRPr="009C54C0">
        <w:rPr>
          <w:rFonts w:ascii="Times New Roman" w:hAnsi="Times New Roman" w:cs="Times New Roman"/>
          <w:i/>
          <w:sz w:val="20"/>
          <w:szCs w:val="20"/>
        </w:rPr>
        <w:t xml:space="preserve"> V</w:t>
      </w:r>
      <w:r w:rsidR="00A052E5" w:rsidRPr="009C54C0">
        <w:rPr>
          <w:rFonts w:ascii="Times New Roman" w:hAnsi="Times New Roman" w:cs="Times New Roman"/>
          <w:i/>
          <w:sz w:val="20"/>
          <w:szCs w:val="20"/>
        </w:rPr>
        <w:t>.</w:t>
      </w:r>
      <w:r w:rsidRPr="00093D4E">
        <w:rPr>
          <w:rFonts w:ascii="Times New Roman" w:hAnsi="Times New Roman" w:cs="Times New Roman"/>
          <w:sz w:val="20"/>
          <w:szCs w:val="20"/>
        </w:rPr>
        <w:t xml:space="preserve"> Income and Poverty of Highly Educated Professionals in Russia</w:t>
      </w:r>
      <w:r w:rsidR="00A052E5">
        <w:rPr>
          <w:rFonts w:ascii="Times New Roman" w:hAnsi="Times New Roman" w:cs="Times New Roman"/>
          <w:sz w:val="20"/>
          <w:szCs w:val="20"/>
        </w:rPr>
        <w:t xml:space="preserve"> //</w:t>
      </w:r>
      <w:r w:rsidRPr="00093D4E">
        <w:rPr>
          <w:rFonts w:ascii="Times New Roman" w:hAnsi="Times New Roman" w:cs="Times New Roman"/>
          <w:sz w:val="20"/>
          <w:szCs w:val="20"/>
        </w:rPr>
        <w:t xml:space="preserve"> Economic Conversations</w:t>
      </w:r>
      <w:r w:rsidR="00A052E5">
        <w:rPr>
          <w:rFonts w:ascii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hAnsi="Times New Roman" w:cs="Times New Roman"/>
          <w:sz w:val="20"/>
          <w:szCs w:val="20"/>
        </w:rPr>
        <w:t xml:space="preserve"> 2022</w:t>
      </w:r>
      <w:r w:rsidR="00A052E5">
        <w:rPr>
          <w:rFonts w:ascii="Times New Roman" w:hAnsi="Times New Roman" w:cs="Times New Roman"/>
          <w:sz w:val="20"/>
          <w:szCs w:val="20"/>
        </w:rPr>
        <w:t>. – N</w:t>
      </w:r>
      <w:r w:rsidRPr="00093D4E">
        <w:rPr>
          <w:rFonts w:ascii="Times New Roman" w:hAnsi="Times New Roman" w:cs="Times New Roman"/>
          <w:sz w:val="20"/>
          <w:szCs w:val="20"/>
        </w:rPr>
        <w:t xml:space="preserve"> 9</w:t>
      </w:r>
      <w:r w:rsidR="00A052E5">
        <w:rPr>
          <w:rFonts w:ascii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hAnsi="Times New Roman" w:cs="Times New Roman"/>
          <w:sz w:val="20"/>
          <w:szCs w:val="20"/>
        </w:rPr>
        <w:t xml:space="preserve"> </w:t>
      </w:r>
      <w:hyperlink r:id="rId8">
        <w:r w:rsidRPr="00093D4E">
          <w:rPr>
            <w:rFonts w:ascii="Times New Roman" w:hAnsi="Times New Roman" w:cs="Times New Roman"/>
            <w:sz w:val="20"/>
            <w:szCs w:val="20"/>
          </w:rPr>
          <w:t>https://econs.online/en/articles/economics/income-and-poverty-of-highly-educated-professionals-in-Russia/</w:t>
        </w:r>
      </w:hyperlink>
      <w:r w:rsidRPr="00093D4E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7">
    <w:p w:rsidR="00093D4E" w:rsidRPr="009C54C0" w:rsidRDefault="00093D4E" w:rsidP="009C5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0"/>
          <w:szCs w:val="20"/>
          <w:lang w:val="ru-RU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9C54C0">
        <w:rPr>
          <w:rFonts w:ascii="Times New Roman" w:eastAsia="Courier New" w:hAnsi="Times New Roman" w:cs="Times New Roman"/>
          <w:sz w:val="20"/>
          <w:szCs w:val="20"/>
          <w:lang w:val="ru-RU"/>
        </w:rPr>
        <w:t xml:space="preserve"> </w:t>
      </w:r>
      <w:r w:rsidR="009C54C0" w:rsidRPr="00706F37">
        <w:rPr>
          <w:rFonts w:ascii="Times New Roman" w:eastAsia="Calibri" w:hAnsi="Times New Roman" w:cs="Times New Roman"/>
          <w:i/>
          <w:sz w:val="20"/>
          <w:szCs w:val="20"/>
        </w:rPr>
        <w:t>Бутовская</w:t>
      </w:r>
      <w:r w:rsidR="009C54C0" w:rsidRPr="00706F37">
        <w:rPr>
          <w:rFonts w:ascii="Times New Roman" w:eastAsia="Calibri" w:hAnsi="Times New Roman" w:cs="Times New Roman"/>
          <w:i/>
          <w:sz w:val="20"/>
          <w:szCs w:val="20"/>
          <w:lang w:val="ru-RU"/>
        </w:rPr>
        <w:t xml:space="preserve"> З.С.</w:t>
      </w:r>
      <w:r w:rsidRPr="00706F37">
        <w:rPr>
          <w:rFonts w:ascii="Times New Roman" w:eastAsia="Courier New" w:hAnsi="Times New Roman" w:cs="Times New Roman"/>
          <w:i/>
          <w:sz w:val="20"/>
          <w:szCs w:val="20"/>
          <w:lang w:val="ru-RU"/>
        </w:rPr>
        <w:t xml:space="preserve">, </w:t>
      </w:r>
      <w:r w:rsidR="009C54C0" w:rsidRPr="00706F37">
        <w:rPr>
          <w:rFonts w:ascii="Times New Roman" w:eastAsia="Calibri" w:hAnsi="Times New Roman" w:cs="Times New Roman"/>
          <w:i/>
          <w:sz w:val="20"/>
          <w:szCs w:val="20"/>
          <w:lang w:val="ru-RU"/>
        </w:rPr>
        <w:t>Косарецкий С.Г.</w:t>
      </w:r>
      <w:r w:rsidRPr="00706F37">
        <w:rPr>
          <w:rFonts w:ascii="Times New Roman" w:eastAsia="Courier New" w:hAnsi="Times New Roman" w:cs="Times New Roman"/>
          <w:i/>
          <w:sz w:val="20"/>
          <w:szCs w:val="20"/>
          <w:lang w:val="ru-RU"/>
        </w:rPr>
        <w:t xml:space="preserve">, </w:t>
      </w:r>
      <w:r w:rsidR="009C54C0" w:rsidRPr="00706F37">
        <w:rPr>
          <w:rFonts w:ascii="Times New Roman" w:eastAsia="Calibri" w:hAnsi="Times New Roman" w:cs="Times New Roman"/>
          <w:i/>
          <w:sz w:val="20"/>
          <w:szCs w:val="20"/>
          <w:lang w:val="ru-RU"/>
        </w:rPr>
        <w:t>Звягинцев Р.С.</w:t>
      </w:r>
      <w:r w:rsidRPr="009C54C0">
        <w:rPr>
          <w:rFonts w:ascii="Times New Roman" w:eastAsia="Courier New" w:hAnsi="Times New Roman" w:cs="Times New Roman"/>
          <w:sz w:val="20"/>
          <w:szCs w:val="20"/>
          <w:lang w:val="ru-RU"/>
        </w:rPr>
        <w:t xml:space="preserve"> </w:t>
      </w:r>
      <w:r w:rsidR="009C54C0" w:rsidRPr="009C54C0">
        <w:rPr>
          <w:rFonts w:ascii="Times New Roman" w:hAnsi="Times New Roman" w:cs="Times New Roman"/>
          <w:sz w:val="20"/>
          <w:szCs w:val="20"/>
          <w:lang w:val="ru-RU"/>
        </w:rPr>
        <w:t>Образовательная бедность в РФ: проблемы измерения и оценки</w:t>
      </w:r>
      <w:r w:rsidR="009C54C0">
        <w:rPr>
          <w:rFonts w:ascii="Times New Roman" w:hAnsi="Times New Roman" w:cs="Times New Roman"/>
          <w:sz w:val="20"/>
          <w:szCs w:val="20"/>
          <w:lang w:val="ru-RU"/>
        </w:rPr>
        <w:t>. – 2022. –</w:t>
      </w:r>
      <w:r w:rsidRPr="009C54C0">
        <w:rPr>
          <w:rFonts w:ascii="Times New Roman" w:eastAsia="Courier New" w:hAnsi="Times New Roman" w:cs="Times New Roman"/>
          <w:sz w:val="20"/>
          <w:szCs w:val="20"/>
          <w:lang w:val="ru-RU"/>
        </w:rPr>
        <w:t xml:space="preserve"> </w:t>
      </w:r>
      <w:hyperlink r:id="rId9">
        <w:r w:rsidRPr="00093D4E">
          <w:rPr>
            <w:rFonts w:ascii="Times New Roman" w:eastAsia="Courier New" w:hAnsi="Times New Roman" w:cs="Times New Roman"/>
            <w:sz w:val="20"/>
            <w:szCs w:val="20"/>
          </w:rPr>
          <w:t>https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://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edpolicy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.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ranepa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.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ru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/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obrazovatelnaya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bednost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v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rf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problemy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izmereniya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i</w:t>
        </w:r>
        <w:r w:rsidRPr="009C54C0">
          <w:rPr>
            <w:rFonts w:ascii="Times New Roman" w:eastAsia="Courier New" w:hAnsi="Times New Roman" w:cs="Times New Roman"/>
            <w:sz w:val="20"/>
            <w:szCs w:val="20"/>
            <w:lang w:val="ru-RU"/>
          </w:rPr>
          <w:t>-</w:t>
        </w:r>
        <w:r w:rsidRPr="00093D4E">
          <w:rPr>
            <w:rFonts w:ascii="Times New Roman" w:eastAsia="Courier New" w:hAnsi="Times New Roman" w:cs="Times New Roman"/>
            <w:sz w:val="20"/>
            <w:szCs w:val="20"/>
          </w:rPr>
          <w:t>ocenki</w:t>
        </w:r>
      </w:hyperlink>
      <w:r w:rsidRPr="009C54C0">
        <w:rPr>
          <w:rFonts w:ascii="Times New Roman" w:eastAsia="Courier New" w:hAnsi="Times New Roman" w:cs="Times New Roman"/>
          <w:sz w:val="20"/>
          <w:szCs w:val="20"/>
          <w:lang w:val="ru-RU"/>
        </w:rPr>
        <w:t xml:space="preserve"> </w:t>
      </w:r>
    </w:p>
  </w:footnote>
  <w:footnote w:id="8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0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https://radar.am/hy/news/social-2571330984/</w:t>
        </w:r>
      </w:hyperlink>
    </w:p>
  </w:footnote>
  <w:footnote w:id="9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>Unemployment Rate by indicators and years</w:t>
      </w:r>
      <w:r w:rsidR="009C54C0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/</w:t>
      </w:r>
      <w:r w:rsidR="009C54C0">
        <w:rPr>
          <w:rFonts w:ascii="Times New Roman" w:eastAsia="Merriweather" w:hAnsi="Times New Roman" w:cs="Times New Roman"/>
          <w:sz w:val="20"/>
          <w:szCs w:val="20"/>
        </w:rPr>
        <w:t xml:space="preserve"> </w:t>
      </w:r>
      <w:hyperlink r:id="rId11">
        <w:r w:rsidRPr="00093D4E">
          <w:rPr>
            <w:rFonts w:ascii="Times New Roman" w:eastAsia="Calibri" w:hAnsi="Times New Roman" w:cs="Times New Roman"/>
            <w:sz w:val="20"/>
            <w:szCs w:val="20"/>
          </w:rPr>
          <w:t>Statistical Committee Republic of Armenia</w:t>
        </w:r>
      </w:hyperlink>
      <w:r w:rsidR="009C54C0">
        <w:rPr>
          <w:rFonts w:ascii="Times New Roman" w:eastAsia="Calibri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2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https://statbank.armstat.am/pxweb/en/ArmStatBank/ArmStatBank__2%20Population%20and%20social%20processes__23%20Employment%20and%20unemployment/PS-eu-1-2022.px/table/tableViewLayout2/?rxid=9ba7b0d1-2ff8-40fa-a309-fae01ea885bb</w:t>
        </w:r>
      </w:hyperlink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</w:footnote>
  <w:footnote w:id="10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The data for 2023 was not summarized, the data for 2022 is presented.</w:t>
      </w:r>
    </w:p>
  </w:footnote>
  <w:footnote w:id="11">
    <w:p w:rsidR="00093D4E" w:rsidRPr="00093D4E" w:rsidRDefault="00093D4E" w:rsidP="009C5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9C54C0">
        <w:rPr>
          <w:rFonts w:ascii="Times New Roman" w:eastAsia="Calibri" w:hAnsi="Times New Roman" w:cs="Times New Roman"/>
          <w:sz w:val="20"/>
          <w:szCs w:val="20"/>
        </w:rPr>
        <w:t>Social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Snapshot and Poverty in Armenia</w:t>
      </w:r>
      <w:r w:rsidR="009C54C0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/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13">
        <w:r w:rsidRPr="00093D4E">
          <w:rPr>
            <w:rFonts w:ascii="Times New Roman" w:eastAsia="Calibri" w:hAnsi="Times New Roman" w:cs="Times New Roman"/>
            <w:sz w:val="20"/>
            <w:szCs w:val="20"/>
          </w:rPr>
          <w:t>Statistical Committee Republic of Armenia</w:t>
        </w:r>
      </w:hyperlink>
      <w:r w:rsidR="009C54C0">
        <w:rPr>
          <w:rFonts w:ascii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2024,</w:t>
      </w:r>
      <w:r w:rsidR="009C54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93D4E">
        <w:rPr>
          <w:rFonts w:ascii="Times New Roman" w:eastAsia="Calibri" w:hAnsi="Times New Roman" w:cs="Times New Roman"/>
          <w:sz w:val="20"/>
          <w:szCs w:val="20"/>
        </w:rPr>
        <w:t>2019,</w:t>
      </w:r>
      <w:r w:rsidR="009C54C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93D4E">
        <w:rPr>
          <w:rFonts w:ascii="Times New Roman" w:eastAsia="Calibri" w:hAnsi="Times New Roman" w:cs="Times New Roman"/>
          <w:sz w:val="20"/>
          <w:szCs w:val="20"/>
        </w:rPr>
        <w:t>2014</w:t>
      </w:r>
      <w:r w:rsidR="009C54C0">
        <w:rPr>
          <w:rFonts w:ascii="Times New Roman" w:eastAsia="Calibri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4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https://armstat.am/file/article/5.poverty_2014a_2.pdf</w:t>
        </w:r>
      </w:hyperlink>
      <w:r w:rsidR="00996981">
        <w:rPr>
          <w:rFonts w:ascii="Times New Roman" w:hAnsi="Times New Roman" w:cs="Times New Roman"/>
          <w:sz w:val="20"/>
          <w:szCs w:val="20"/>
        </w:rPr>
        <w:t>;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5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https://armstat.am/file/article/poverty_2019_a_2.pdf</w:t>
        </w:r>
      </w:hyperlink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</w:footnote>
  <w:footnote w:id="12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The data for 2023 was not summarized, the data for 2022 is presented.</w:t>
      </w:r>
    </w:p>
  </w:footnote>
  <w:footnote w:id="13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Time series, Average monthly nominal weges</w:t>
      </w:r>
      <w:r w:rsidR="00996981">
        <w:rPr>
          <w:rFonts w:ascii="Times New Roman" w:eastAsia="Calibri" w:hAnsi="Times New Roman" w:cs="Times New Roman"/>
          <w:sz w:val="20"/>
          <w:szCs w:val="20"/>
        </w:rPr>
        <w:t xml:space="preserve"> /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6">
        <w:r w:rsidRPr="00093D4E">
          <w:rPr>
            <w:rFonts w:ascii="Times New Roman" w:eastAsia="Calibri" w:hAnsi="Times New Roman" w:cs="Times New Roman"/>
            <w:sz w:val="20"/>
            <w:szCs w:val="20"/>
          </w:rPr>
          <w:t>Statistical Committee Republic of Armenia</w:t>
        </w:r>
      </w:hyperlink>
      <w:r w:rsidR="00996981">
        <w:rPr>
          <w:rFonts w:ascii="Times New Roman" w:eastAsia="Calibri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2024</w:t>
      </w:r>
      <w:r w:rsidR="00996981">
        <w:rPr>
          <w:rFonts w:ascii="Times New Roman" w:eastAsia="Calibri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7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https://armstat.am/en/?nid=12&amp;id=08001</w:t>
        </w:r>
      </w:hyperlink>
    </w:p>
  </w:footnote>
  <w:footnote w:id="14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>
        <w:rPr>
          <w:rFonts w:ascii="Times New Roman" w:eastAsia="Calibri" w:hAnsi="Times New Roman" w:cs="Times New Roman"/>
          <w:sz w:val="20"/>
          <w:szCs w:val="20"/>
        </w:rPr>
        <w:t>T</w:t>
      </w:r>
      <w:r w:rsidR="00996981" w:rsidRPr="00093D4E">
        <w:rPr>
          <w:rFonts w:ascii="Times New Roman" w:eastAsia="Calibri" w:hAnsi="Times New Roman" w:cs="Times New Roman"/>
          <w:sz w:val="20"/>
          <w:szCs w:val="20"/>
        </w:rPr>
        <w:t>he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 w:rsidRPr="00093D4E">
        <w:rPr>
          <w:rFonts w:ascii="Times New Roman" w:eastAsia="Calibri" w:hAnsi="Times New Roman" w:cs="Times New Roman"/>
          <w:sz w:val="20"/>
          <w:szCs w:val="20"/>
        </w:rPr>
        <w:t>socio-economic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 w:rsidRPr="00093D4E">
        <w:rPr>
          <w:rFonts w:ascii="Times New Roman" w:eastAsia="Calibri" w:hAnsi="Times New Roman" w:cs="Times New Roman"/>
          <w:sz w:val="20"/>
          <w:szCs w:val="20"/>
        </w:rPr>
        <w:t>situation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 w:rsidRPr="00093D4E">
        <w:rPr>
          <w:rFonts w:ascii="Times New Roman" w:eastAsia="Calibri" w:hAnsi="Times New Roman" w:cs="Times New Roman"/>
          <w:sz w:val="20"/>
          <w:szCs w:val="20"/>
        </w:rPr>
        <w:t>of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 w:rsidRPr="00093D4E">
        <w:rPr>
          <w:rFonts w:ascii="Times New Roman" w:eastAsia="Calibri" w:hAnsi="Times New Roman" w:cs="Times New Roman"/>
          <w:sz w:val="20"/>
          <w:szCs w:val="20"/>
        </w:rPr>
        <w:t>the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 w:rsidRPr="00093D4E">
        <w:rPr>
          <w:rFonts w:ascii="Times New Roman" w:eastAsia="Calibri" w:hAnsi="Times New Roman" w:cs="Times New Roman"/>
          <w:sz w:val="20"/>
          <w:szCs w:val="20"/>
        </w:rPr>
        <w:t>republic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 w:rsidRPr="00093D4E">
        <w:rPr>
          <w:rFonts w:ascii="Times New Roman" w:eastAsia="Calibri" w:hAnsi="Times New Roman" w:cs="Times New Roman"/>
          <w:sz w:val="20"/>
          <w:szCs w:val="20"/>
        </w:rPr>
        <w:t>of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>
        <w:rPr>
          <w:rFonts w:ascii="Times New Roman" w:eastAsia="Calibri" w:hAnsi="Times New Roman" w:cs="Times New Roman"/>
          <w:sz w:val="20"/>
          <w:szCs w:val="20"/>
        </w:rPr>
        <w:t>A</w:t>
      </w:r>
      <w:r w:rsidR="00996981" w:rsidRPr="00093D4E">
        <w:rPr>
          <w:rFonts w:ascii="Times New Roman" w:eastAsia="Calibri" w:hAnsi="Times New Roman" w:cs="Times New Roman"/>
          <w:sz w:val="20"/>
          <w:szCs w:val="20"/>
        </w:rPr>
        <w:t>rmenia</w:t>
      </w:r>
      <w:r w:rsidR="00996981">
        <w:rPr>
          <w:rFonts w:ascii="Times New Roman" w:eastAsia="Calibri" w:hAnsi="Times New Roman" w:cs="Times New Roman"/>
          <w:sz w:val="20"/>
          <w:szCs w:val="20"/>
        </w:rPr>
        <w:t xml:space="preserve"> /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8">
        <w:r w:rsidRPr="00093D4E">
          <w:rPr>
            <w:rFonts w:ascii="Times New Roman" w:eastAsia="Calibri" w:hAnsi="Times New Roman" w:cs="Times New Roman"/>
            <w:sz w:val="20"/>
            <w:szCs w:val="20"/>
          </w:rPr>
          <w:t>Statistical Committee Republic of Armenia</w:t>
        </w:r>
      </w:hyperlink>
      <w:r w:rsidR="00996981">
        <w:rPr>
          <w:rFonts w:ascii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2024, 2019, 2014</w:t>
      </w:r>
      <w:r w:rsidR="00996981">
        <w:rPr>
          <w:rFonts w:ascii="Times New Roman" w:eastAsia="Calibri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19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https://armstat.am/file/article/sv_09_24a_6200.pdf</w:t>
        </w:r>
      </w:hyperlink>
      <w:r w:rsidR="00996981">
        <w:rPr>
          <w:rFonts w:ascii="Times New Roman" w:hAnsi="Times New Roman" w:cs="Times New Roman"/>
          <w:sz w:val="20"/>
          <w:szCs w:val="20"/>
        </w:rPr>
        <w:t>;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20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https://armstat.am/file/article/sv_09_19a_6200.pdf</w:t>
        </w:r>
      </w:hyperlink>
      <w:r w:rsidR="00996981">
        <w:rPr>
          <w:rFonts w:ascii="Times New Roman" w:hAnsi="Times New Roman" w:cs="Times New Roman"/>
          <w:sz w:val="20"/>
          <w:szCs w:val="20"/>
        </w:rPr>
        <w:t>;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21">
        <w:r w:rsidRPr="00093D4E">
          <w:rPr>
            <w:rFonts w:ascii="Times New Roman" w:eastAsia="Calibri" w:hAnsi="Times New Roman" w:cs="Times New Roman"/>
            <w:sz w:val="20"/>
            <w:szCs w:val="20"/>
          </w:rPr>
          <w:t>https://armstat.am/file/article/sv_09_14a_6200.pdf</w:t>
        </w:r>
      </w:hyperlink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</w:footnote>
  <w:footnote w:id="15">
    <w:p w:rsidR="00093D4E" w:rsidRPr="00996981" w:rsidRDefault="00093D4E" w:rsidP="00996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Marzes of the Republic of Armenia and Yerevan city in figures</w:t>
      </w:r>
      <w:r w:rsidR="00996981">
        <w:rPr>
          <w:rFonts w:ascii="Times New Roman" w:eastAsia="Calibri" w:hAnsi="Times New Roman" w:cs="Times New Roman"/>
          <w:sz w:val="20"/>
          <w:szCs w:val="20"/>
        </w:rPr>
        <w:t xml:space="preserve"> /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22">
        <w:r w:rsidRPr="00093D4E">
          <w:rPr>
            <w:rFonts w:ascii="Times New Roman" w:eastAsia="Calibri" w:hAnsi="Times New Roman" w:cs="Times New Roman"/>
            <w:sz w:val="20"/>
            <w:szCs w:val="20"/>
          </w:rPr>
          <w:t>Statistical Committee</w:t>
        </w:r>
        <w:r w:rsidR="00996981">
          <w:rPr>
            <w:rFonts w:ascii="Times New Roman" w:eastAsia="Calibri" w:hAnsi="Times New Roman" w:cs="Times New Roman"/>
            <w:sz w:val="20"/>
            <w:szCs w:val="20"/>
          </w:rPr>
          <w:t xml:space="preserve"> </w:t>
        </w:r>
        <w:r w:rsidRPr="00093D4E">
          <w:rPr>
            <w:rFonts w:ascii="Times New Roman" w:eastAsia="Calibri" w:hAnsi="Times New Roman" w:cs="Times New Roman"/>
            <w:sz w:val="20"/>
            <w:szCs w:val="20"/>
          </w:rPr>
          <w:t>Republic of Armenia</w:t>
        </w:r>
      </w:hyperlink>
      <w:r w:rsidR="00996981">
        <w:rPr>
          <w:rFonts w:ascii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2023</w:t>
      </w:r>
      <w:r w:rsidR="00996981">
        <w:rPr>
          <w:rFonts w:ascii="Times New Roman" w:eastAsia="Calibri" w:hAnsi="Times New Roman" w:cs="Times New Roman"/>
          <w:b/>
          <w:sz w:val="20"/>
          <w:szCs w:val="20"/>
        </w:rPr>
        <w:t>.</w:t>
      </w:r>
    </w:p>
  </w:footnote>
  <w:footnote w:id="16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hy-AM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Number of state educational institutions and branches by indicators, </w:t>
      </w:r>
      <w:r w:rsidRPr="00093D4E">
        <w:rPr>
          <w:rFonts w:ascii="Times New Roman" w:eastAsia="Calibri" w:hAnsi="Times New Roman" w:cs="Times New Roman"/>
          <w:sz w:val="20"/>
          <w:szCs w:val="20"/>
        </w:rPr>
        <w:t>marzes and years</w:t>
      </w:r>
      <w:r w:rsidR="00996981">
        <w:rPr>
          <w:rFonts w:ascii="Times New Roman" w:eastAsia="Calibri" w:hAnsi="Times New Roman" w:cs="Times New Roman"/>
          <w:sz w:val="20"/>
          <w:szCs w:val="20"/>
        </w:rPr>
        <w:t xml:space="preserve"> /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23">
        <w:r w:rsidRPr="00093D4E">
          <w:rPr>
            <w:rFonts w:ascii="Times New Roman" w:eastAsia="Calibri" w:hAnsi="Times New Roman" w:cs="Times New Roman"/>
            <w:sz w:val="20"/>
            <w:szCs w:val="20"/>
          </w:rPr>
          <w:t>Statistical Committee Republic of Armenia</w:t>
        </w:r>
      </w:hyperlink>
      <w:r w:rsidR="00996981">
        <w:rPr>
          <w:rFonts w:ascii="Times New Roman" w:hAnsi="Times New Roman" w:cs="Times New Roman"/>
          <w:sz w:val="20"/>
          <w:szCs w:val="20"/>
        </w:rPr>
        <w:t>.</w:t>
      </w:r>
    </w:p>
  </w:footnote>
  <w:footnote w:id="17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Number of non-state educational institutions and branches by indicators, </w:t>
      </w:r>
      <w:r w:rsidRPr="00093D4E">
        <w:rPr>
          <w:rFonts w:ascii="Times New Roman" w:eastAsia="Calibri" w:hAnsi="Times New Roman" w:cs="Times New Roman"/>
          <w:sz w:val="20"/>
          <w:szCs w:val="20"/>
        </w:rPr>
        <w:t>marzes and years</w:t>
      </w:r>
      <w:r w:rsidR="00996981">
        <w:rPr>
          <w:rFonts w:ascii="Times New Roman" w:eastAsia="Calibri" w:hAnsi="Times New Roman" w:cs="Times New Roman"/>
          <w:sz w:val="20"/>
          <w:szCs w:val="20"/>
        </w:rPr>
        <w:t xml:space="preserve"> /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24">
        <w:r w:rsidRPr="00093D4E">
          <w:rPr>
            <w:rFonts w:ascii="Times New Roman" w:eastAsia="Calibri" w:hAnsi="Times New Roman" w:cs="Times New Roman"/>
            <w:sz w:val="20"/>
            <w:szCs w:val="20"/>
          </w:rPr>
          <w:t>Statistical Committee Republic of Armenia</w:t>
        </w:r>
      </w:hyperlink>
      <w:r w:rsidR="00996981">
        <w:rPr>
          <w:rFonts w:ascii="Times New Roman" w:hAnsi="Times New Roman" w:cs="Times New Roman"/>
          <w:sz w:val="20"/>
          <w:szCs w:val="20"/>
        </w:rPr>
        <w:t>.</w:t>
      </w:r>
    </w:p>
  </w:footnote>
  <w:footnote w:id="18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Number of students of state educational institutions by indicators, </w:t>
      </w:r>
      <w:r w:rsidRPr="00093D4E">
        <w:rPr>
          <w:rFonts w:ascii="Times New Roman" w:eastAsia="Calibri" w:hAnsi="Times New Roman" w:cs="Times New Roman"/>
          <w:sz w:val="20"/>
          <w:szCs w:val="20"/>
        </w:rPr>
        <w:t>marzes and years</w:t>
      </w:r>
      <w:r w:rsidR="00996981">
        <w:rPr>
          <w:rFonts w:ascii="Times New Roman" w:eastAsia="Calibri" w:hAnsi="Times New Roman" w:cs="Times New Roman"/>
          <w:sz w:val="20"/>
          <w:szCs w:val="20"/>
        </w:rPr>
        <w:t xml:space="preserve"> /</w:t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25">
        <w:r w:rsidRPr="00093D4E">
          <w:rPr>
            <w:rFonts w:ascii="Times New Roman" w:eastAsia="Calibri" w:hAnsi="Times New Roman" w:cs="Times New Roman"/>
            <w:sz w:val="20"/>
            <w:szCs w:val="20"/>
          </w:rPr>
          <w:t>Statistical Committee Republic of Armenia</w:t>
        </w:r>
      </w:hyperlink>
      <w:r w:rsidR="00996981">
        <w:rPr>
          <w:rFonts w:ascii="Times New Roman" w:hAnsi="Times New Roman" w:cs="Times New Roman"/>
          <w:sz w:val="20"/>
          <w:szCs w:val="20"/>
        </w:rPr>
        <w:t>.</w:t>
      </w:r>
    </w:p>
  </w:footnote>
  <w:footnote w:id="19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>
        <w:rPr>
          <w:rFonts w:ascii="Times New Roman" w:eastAsia="Calibri" w:hAnsi="Times New Roman" w:cs="Times New Roman"/>
          <w:sz w:val="20"/>
          <w:szCs w:val="20"/>
        </w:rPr>
        <w:t>Ibid.</w:t>
      </w:r>
    </w:p>
  </w:footnote>
  <w:footnote w:id="20">
    <w:p w:rsidR="00093D4E" w:rsidRPr="00093D4E" w:rsidRDefault="00093D4E" w:rsidP="00093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6981">
        <w:rPr>
          <w:rFonts w:ascii="Times New Roman" w:eastAsia="Calibri" w:hAnsi="Times New Roman" w:cs="Times New Roman"/>
          <w:sz w:val="20"/>
          <w:szCs w:val="20"/>
        </w:rPr>
        <w:t>Ibid.</w:t>
      </w:r>
    </w:p>
  </w:footnote>
  <w:footnote w:id="21">
    <w:p w:rsidR="00093D4E" w:rsidRPr="00093D4E" w:rsidRDefault="00093D4E" w:rsidP="00996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Merriweather" w:hAnsi="Times New Roman" w:cs="Times New Roman"/>
          <w:b/>
          <w:sz w:val="20"/>
          <w:szCs w:val="20"/>
          <w:highlight w:val="white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r w:rsidRPr="00996981">
        <w:rPr>
          <w:rFonts w:ascii="Times New Roman" w:eastAsia="Calibri" w:hAnsi="Times New Roman" w:cs="Times New Roman"/>
          <w:sz w:val="20"/>
          <w:szCs w:val="20"/>
        </w:rPr>
        <w:t>Social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Situation of RA in 2017 </w:t>
      </w:r>
      <w:r w:rsidR="00996981">
        <w:rPr>
          <w:rFonts w:ascii="Times New Roman" w:eastAsia="Merriweather" w:hAnsi="Times New Roman" w:cs="Times New Roman"/>
          <w:sz w:val="20"/>
          <w:szCs w:val="20"/>
          <w:highlight w:val="white"/>
        </w:rPr>
        <w:t>(Armenian) /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26">
        <w:r w:rsidRPr="00093D4E">
          <w:rPr>
            <w:rFonts w:ascii="Times New Roman" w:eastAsia="Merriweather" w:hAnsi="Times New Roman" w:cs="Times New Roman"/>
            <w:sz w:val="20"/>
            <w:szCs w:val="20"/>
            <w:highlight w:val="white"/>
          </w:rPr>
          <w:t>Statistical Committee Republic of Armenia</w:t>
        </w:r>
      </w:hyperlink>
      <w:r w:rsidR="00996981">
        <w:rPr>
          <w:rFonts w:ascii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27">
        <w:r w:rsidRPr="00093D4E">
          <w:rPr>
            <w:rFonts w:ascii="Times New Roman" w:eastAsia="Merriweather" w:hAnsi="Times New Roman" w:cs="Times New Roman"/>
            <w:sz w:val="20"/>
            <w:szCs w:val="20"/>
            <w:highlight w:val="white"/>
          </w:rPr>
          <w:t>https://armstat.am/file/article/soc_vich_2017_6.pdf</w:t>
        </w:r>
      </w:hyperlink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  <w:lang w:val="hy-AM"/>
        </w:rPr>
        <w:t xml:space="preserve"> </w:t>
      </w:r>
    </w:p>
  </w:footnote>
  <w:footnote w:id="22">
    <w:p w:rsidR="00093D4E" w:rsidRPr="00093D4E" w:rsidRDefault="00093D4E" w:rsidP="00996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r w:rsidRPr="00996981">
        <w:rPr>
          <w:rFonts w:ascii="Times New Roman" w:eastAsia="Calibri" w:hAnsi="Times New Roman" w:cs="Times New Roman"/>
          <w:sz w:val="20"/>
          <w:szCs w:val="20"/>
        </w:rPr>
        <w:t>Social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Situation of RA in 2019</w:t>
      </w:r>
      <w:r w:rsidR="00996981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/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28">
        <w:r w:rsidRPr="00093D4E">
          <w:rPr>
            <w:rFonts w:ascii="Times New Roman" w:eastAsia="Merriweather" w:hAnsi="Times New Roman" w:cs="Times New Roman"/>
            <w:sz w:val="20"/>
            <w:szCs w:val="20"/>
            <w:highlight w:val="white"/>
          </w:rPr>
          <w:t>Statistical Committee Republic of Armenia</w:t>
        </w:r>
      </w:hyperlink>
      <w:r w:rsidR="00996981">
        <w:rPr>
          <w:rFonts w:ascii="Times New Roman" w:eastAsia="Merriweather" w:hAnsi="Times New Roman" w:cs="Times New Roman"/>
          <w:sz w:val="20"/>
          <w:szCs w:val="20"/>
          <w:highlight w:val="white"/>
        </w:rPr>
        <w:t>. –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29">
        <w:r w:rsidRPr="00093D4E">
          <w:rPr>
            <w:rFonts w:ascii="Times New Roman" w:eastAsia="Merriweather" w:hAnsi="Times New Roman" w:cs="Times New Roman"/>
            <w:sz w:val="20"/>
            <w:szCs w:val="20"/>
            <w:highlight w:val="white"/>
          </w:rPr>
          <w:t>https://armstat.am/file/article/soc_vich_2019_6.pdf</w:t>
        </w:r>
      </w:hyperlink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</w:p>
  </w:footnote>
  <w:footnote w:id="23">
    <w:p w:rsidR="00093D4E" w:rsidRPr="00093D4E" w:rsidRDefault="00093D4E" w:rsidP="00996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r w:rsidRPr="00996981">
        <w:rPr>
          <w:rFonts w:ascii="Times New Roman" w:eastAsia="Calibri" w:hAnsi="Times New Roman" w:cs="Times New Roman"/>
          <w:sz w:val="20"/>
          <w:szCs w:val="20"/>
        </w:rPr>
        <w:t>Social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Situation of RA in 2022</w:t>
      </w:r>
      <w:r w:rsidR="00996981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/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30">
        <w:r w:rsidRPr="00093D4E">
          <w:rPr>
            <w:rFonts w:ascii="Times New Roman" w:eastAsia="Merriweather" w:hAnsi="Times New Roman" w:cs="Times New Roman"/>
            <w:sz w:val="20"/>
            <w:szCs w:val="20"/>
            <w:highlight w:val="white"/>
          </w:rPr>
          <w:t>Statistical Committee Republic of Armenia</w:t>
        </w:r>
      </w:hyperlink>
      <w:r w:rsidR="00996981">
        <w:rPr>
          <w:rFonts w:ascii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31">
        <w:r w:rsidRPr="00093D4E">
          <w:rPr>
            <w:rFonts w:ascii="Times New Roman" w:eastAsia="Merriweather" w:hAnsi="Times New Roman" w:cs="Times New Roman"/>
            <w:sz w:val="20"/>
            <w:szCs w:val="20"/>
            <w:highlight w:val="white"/>
          </w:rPr>
          <w:t>https://armstat.am/file/article/soc_sit_2022_6.pdf</w:t>
        </w:r>
      </w:hyperlink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</w:p>
  </w:footnote>
  <w:footnote w:id="24">
    <w:p w:rsidR="00093D4E" w:rsidRPr="00093D4E" w:rsidRDefault="00093D4E" w:rsidP="00996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D4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r w:rsidRPr="00996981">
        <w:rPr>
          <w:rFonts w:ascii="Times New Roman" w:eastAsia="Calibri" w:hAnsi="Times New Roman" w:cs="Times New Roman"/>
          <w:sz w:val="20"/>
          <w:szCs w:val="20"/>
        </w:rPr>
        <w:t>Social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Situation of RA in 2023</w:t>
      </w:r>
      <w:r w:rsidR="00996981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/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32">
        <w:r w:rsidRPr="00093D4E">
          <w:rPr>
            <w:rFonts w:ascii="Times New Roman" w:eastAsia="Merriweather" w:hAnsi="Times New Roman" w:cs="Times New Roman"/>
            <w:sz w:val="20"/>
            <w:szCs w:val="20"/>
            <w:highlight w:val="white"/>
          </w:rPr>
          <w:t>Statistical Committee Republic of Armenia</w:t>
        </w:r>
      </w:hyperlink>
      <w:r w:rsidR="00996981">
        <w:rPr>
          <w:rFonts w:ascii="Times New Roman" w:hAnsi="Times New Roman" w:cs="Times New Roman"/>
          <w:sz w:val="20"/>
          <w:szCs w:val="20"/>
        </w:rPr>
        <w:t>. –</w:t>
      </w:r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  <w:hyperlink r:id="rId33">
        <w:r w:rsidRPr="00093D4E">
          <w:rPr>
            <w:rFonts w:ascii="Times New Roman" w:eastAsia="Merriweather" w:hAnsi="Times New Roman" w:cs="Times New Roman"/>
            <w:sz w:val="20"/>
            <w:szCs w:val="20"/>
            <w:highlight w:val="white"/>
          </w:rPr>
          <w:t>https://armstat.am/file/article/soc_sit_2023_6.pdf</w:t>
        </w:r>
      </w:hyperlink>
      <w:r w:rsidRPr="00093D4E">
        <w:rPr>
          <w:rFonts w:ascii="Times New Roman" w:eastAsia="Merriweather" w:hAnsi="Times New Roman" w:cs="Times New Roman"/>
          <w:sz w:val="20"/>
          <w:szCs w:val="20"/>
          <w:highlight w:val="white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4E" w:rsidRPr="00093D4E" w:rsidRDefault="00093D4E" w:rsidP="00093D4E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0B3C8F"/>
    <w:rsid w:val="00093D4E"/>
    <w:rsid w:val="000B3C8F"/>
    <w:rsid w:val="001C658F"/>
    <w:rsid w:val="00207BE0"/>
    <w:rsid w:val="00326442"/>
    <w:rsid w:val="0038628A"/>
    <w:rsid w:val="005C0FAC"/>
    <w:rsid w:val="006B5375"/>
    <w:rsid w:val="00706F37"/>
    <w:rsid w:val="0075341D"/>
    <w:rsid w:val="007B74B8"/>
    <w:rsid w:val="00817E98"/>
    <w:rsid w:val="008800E0"/>
    <w:rsid w:val="00996981"/>
    <w:rsid w:val="009C54C0"/>
    <w:rsid w:val="00A052E5"/>
    <w:rsid w:val="00AC1E31"/>
    <w:rsid w:val="00CD12DF"/>
    <w:rsid w:val="00D47B60"/>
    <w:rsid w:val="00DB0469"/>
    <w:rsid w:val="00E52FA2"/>
    <w:rsid w:val="00F527FE"/>
    <w:rsid w:val="00FD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8A"/>
    <w:pPr>
      <w:spacing w:after="0" w:line="276" w:lineRule="auto"/>
    </w:pPr>
    <w:rPr>
      <w:rFonts w:ascii="Arial" w:eastAsia="Arial" w:hAnsi="Arial" w:cs="Arial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38628A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28A"/>
    <w:rPr>
      <w:rFonts w:ascii="Arial" w:eastAsia="Arial" w:hAnsi="Arial" w:cs="Arial"/>
      <w:sz w:val="32"/>
      <w:szCs w:val="32"/>
      <w:lang w:val="en-GB"/>
    </w:rPr>
  </w:style>
  <w:style w:type="character" w:styleId="a3">
    <w:name w:val="footnote reference"/>
    <w:basedOn w:val="a0"/>
    <w:uiPriority w:val="99"/>
    <w:semiHidden/>
    <w:unhideWhenUsed/>
    <w:rsid w:val="0038628A"/>
    <w:rPr>
      <w:vertAlign w:val="superscript"/>
    </w:rPr>
  </w:style>
  <w:style w:type="paragraph" w:styleId="a4">
    <w:name w:val="Normal (Web)"/>
    <w:basedOn w:val="a"/>
    <w:uiPriority w:val="99"/>
    <w:unhideWhenUsed/>
    <w:rsid w:val="0038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38628A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093D4E"/>
  </w:style>
  <w:style w:type="paragraph" w:styleId="a6">
    <w:name w:val="header"/>
    <w:basedOn w:val="a"/>
    <w:link w:val="a7"/>
    <w:uiPriority w:val="99"/>
    <w:semiHidden/>
    <w:unhideWhenUsed/>
    <w:rsid w:val="00093D4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3D4E"/>
    <w:rPr>
      <w:rFonts w:ascii="Arial" w:eastAsia="Arial" w:hAnsi="Arial" w:cs="Arial"/>
      <w:lang w:val="en-GB"/>
    </w:rPr>
  </w:style>
  <w:style w:type="paragraph" w:styleId="a8">
    <w:name w:val="footer"/>
    <w:basedOn w:val="a"/>
    <w:link w:val="a9"/>
    <w:uiPriority w:val="99"/>
    <w:unhideWhenUsed/>
    <w:rsid w:val="00093D4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D4E"/>
    <w:rPr>
      <w:rFonts w:ascii="Arial" w:eastAsia="Arial" w:hAnsi="Arial" w:cs="Arial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A05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52E5"/>
    <w:rPr>
      <w:rFonts w:ascii="Tahoma" w:eastAsia="Arial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anakhachatryanforjob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s.online/en/articles/economics/income-and-poverty-of-highly-educated-professionals-in-Russia/" TargetMode="External"/><Relationship Id="rId13" Type="http://schemas.openxmlformats.org/officeDocument/2006/relationships/hyperlink" Target="https://armstat.am/en/" TargetMode="External"/><Relationship Id="rId18" Type="http://schemas.openxmlformats.org/officeDocument/2006/relationships/hyperlink" Target="https://armstat.am/en/" TargetMode="External"/><Relationship Id="rId26" Type="http://schemas.openxmlformats.org/officeDocument/2006/relationships/hyperlink" Target="https://armstat.am/en/" TargetMode="External"/><Relationship Id="rId3" Type="http://schemas.openxmlformats.org/officeDocument/2006/relationships/hyperlink" Target="https://nesetweb.eu/wp-content/uploads/2019/06/AHQ5_Educational-Poverty.pdf" TargetMode="External"/><Relationship Id="rId21" Type="http://schemas.openxmlformats.org/officeDocument/2006/relationships/hyperlink" Target="https://armstat.am/file/article/sv_09_14a_6200.pdf" TargetMode="External"/><Relationship Id="rId7" Type="http://schemas.openxmlformats.org/officeDocument/2006/relationships/hyperlink" Target="https://econs.online/en/authors/vlasta-demyanenko/" TargetMode="External"/><Relationship Id="rId12" Type="http://schemas.openxmlformats.org/officeDocument/2006/relationships/hyperlink" Target="https://statbank.armstat.am/pxweb/en/ArmStatBank/ArmStatBank__2%20Population%20and%20social%20processes__23%20Employment%20and%20unemployment/PS-eu-1-2022.px/table/tableViewLayout2/?rxid=9ba7b0d1-2ff8-40fa-a309-fae01ea885bb" TargetMode="External"/><Relationship Id="rId17" Type="http://schemas.openxmlformats.org/officeDocument/2006/relationships/hyperlink" Target="https://armstat.am/en/?nid=12&amp;id=08001" TargetMode="External"/><Relationship Id="rId25" Type="http://schemas.openxmlformats.org/officeDocument/2006/relationships/hyperlink" Target="https://armstat.am/en/" TargetMode="External"/><Relationship Id="rId33" Type="http://schemas.openxmlformats.org/officeDocument/2006/relationships/hyperlink" Target="https://armstat.am/file/article/soc_sit_2023_6.pdf" TargetMode="External"/><Relationship Id="rId2" Type="http://schemas.openxmlformats.org/officeDocument/2006/relationships/hyperlink" Target="https://armstat.am/file/article/f_sec_2_2024_5.pdf" TargetMode="External"/><Relationship Id="rId16" Type="http://schemas.openxmlformats.org/officeDocument/2006/relationships/hyperlink" Target="https://armstat.am/en/" TargetMode="External"/><Relationship Id="rId20" Type="http://schemas.openxmlformats.org/officeDocument/2006/relationships/hyperlink" Target="https://armstat.am/file/article/sv_09_19a_6200.pdf" TargetMode="External"/><Relationship Id="rId29" Type="http://schemas.openxmlformats.org/officeDocument/2006/relationships/hyperlink" Target="https://armstat.am/file/article/soc_vich_2019_6.pdf" TargetMode="External"/><Relationship Id="rId1" Type="http://schemas.openxmlformats.org/officeDocument/2006/relationships/hyperlink" Target="https://armstat.am/en/" TargetMode="External"/><Relationship Id="rId6" Type="http://schemas.openxmlformats.org/officeDocument/2006/relationships/hyperlink" Target="https://sci-hub.se/https:/doi.org/10.1016/j.jik.2017.03.002" TargetMode="External"/><Relationship Id="rId11" Type="http://schemas.openxmlformats.org/officeDocument/2006/relationships/hyperlink" Target="https://armstat.am/en/" TargetMode="External"/><Relationship Id="rId24" Type="http://schemas.openxmlformats.org/officeDocument/2006/relationships/hyperlink" Target="https://armstat.am/en/" TargetMode="External"/><Relationship Id="rId32" Type="http://schemas.openxmlformats.org/officeDocument/2006/relationships/hyperlink" Target="https://armstat.am/en/" TargetMode="External"/><Relationship Id="rId5" Type="http://schemas.openxmlformats.org/officeDocument/2006/relationships/hyperlink" Target="https://www.researchcghe.org/wp-content/uploads/migrate/wp114-1.pdf" TargetMode="External"/><Relationship Id="rId15" Type="http://schemas.openxmlformats.org/officeDocument/2006/relationships/hyperlink" Target="https://armstat.am/file/article/poverty_2019_a_2.pdf" TargetMode="External"/><Relationship Id="rId23" Type="http://schemas.openxmlformats.org/officeDocument/2006/relationships/hyperlink" Target="https://armstat.am/en/" TargetMode="External"/><Relationship Id="rId28" Type="http://schemas.openxmlformats.org/officeDocument/2006/relationships/hyperlink" Target="https://armstat.am/en/" TargetMode="External"/><Relationship Id="rId10" Type="http://schemas.openxmlformats.org/officeDocument/2006/relationships/hyperlink" Target="https://radar.am/hy/news/social-2571330984/" TargetMode="External"/><Relationship Id="rId19" Type="http://schemas.openxmlformats.org/officeDocument/2006/relationships/hyperlink" Target="https://armstat.am/file/article/sv_09_24a_6200.pdf" TargetMode="External"/><Relationship Id="rId31" Type="http://schemas.openxmlformats.org/officeDocument/2006/relationships/hyperlink" Target="https://armstat.am/file/article/soc_sit_2022_6.pdf" TargetMode="External"/><Relationship Id="rId4" Type="http://schemas.openxmlformats.org/officeDocument/2006/relationships/hyperlink" Target="https://cyberleninka.ru/article/n/problemy-bednosti-i-dostupa-k-obrazovaniyu-otsenka-situatsii-v-rossii-i-mezhdunarodnyy-opyt/viewer" TargetMode="External"/><Relationship Id="rId9" Type="http://schemas.openxmlformats.org/officeDocument/2006/relationships/hyperlink" Target="https://edpolicy.ranepa.ru/obrazovatelnaya-bednost-v-rf-problemy-izmereniya-i-ocenki" TargetMode="External"/><Relationship Id="rId14" Type="http://schemas.openxmlformats.org/officeDocument/2006/relationships/hyperlink" Target="https://armstat.am/file/article/5.poverty_2014a_2.pdf" TargetMode="External"/><Relationship Id="rId22" Type="http://schemas.openxmlformats.org/officeDocument/2006/relationships/hyperlink" Target="https://armstat.am/en/" TargetMode="External"/><Relationship Id="rId27" Type="http://schemas.openxmlformats.org/officeDocument/2006/relationships/hyperlink" Target="https://armstat.am/file/article/soc_vich_2017_6.pdf" TargetMode="External"/><Relationship Id="rId30" Type="http://schemas.openxmlformats.org/officeDocument/2006/relationships/hyperlink" Target="https://armstat.a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F28FD-0CE8-4758-93AA-14368E99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1605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MSI-B560M</dc:creator>
  <cp:lastModifiedBy>Владимир</cp:lastModifiedBy>
  <cp:revision>4</cp:revision>
  <dcterms:created xsi:type="dcterms:W3CDTF">2024-11-26T12:33:00Z</dcterms:created>
  <dcterms:modified xsi:type="dcterms:W3CDTF">2025-02-17T12:40:00Z</dcterms:modified>
</cp:coreProperties>
</file>