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11" w:rsidRPr="005F7CC4" w:rsidRDefault="00937A7D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7CC4">
        <w:rPr>
          <w:rFonts w:ascii="Times New Roman" w:hAnsi="Times New Roman" w:cs="Times New Roman"/>
          <w:b/>
          <w:i/>
          <w:sz w:val="24"/>
          <w:szCs w:val="24"/>
        </w:rPr>
        <w:t>Мишон</w:t>
      </w:r>
      <w:r w:rsidR="005F7CC4" w:rsidRPr="005F7C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b/>
          <w:i/>
          <w:sz w:val="24"/>
          <w:szCs w:val="24"/>
        </w:rPr>
        <w:t>Е.В.</w:t>
      </w:r>
    </w:p>
    <w:p w:rsidR="00AB3BDA" w:rsidRPr="005F7CC4" w:rsidRDefault="00AB3BDA" w:rsidP="005F7C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C4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д.э.н.,</w:t>
      </w:r>
      <w:r w:rsidR="005F7CC4" w:rsidRPr="005F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профессор,</w:t>
      </w:r>
      <w:r w:rsidR="005F7CC4" w:rsidRPr="005F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Воронежский</w:t>
      </w:r>
      <w:r w:rsidR="005F7CC4" w:rsidRPr="005F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C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5F7CC4" w:rsidRPr="005F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CC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</w:p>
    <w:p w:rsidR="005F7CC4" w:rsidRPr="005F7CC4" w:rsidRDefault="005F7CC4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F7CC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evm</w:t>
        </w:r>
        <w:r w:rsidRPr="005F7CC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5F7CC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 w:rsidRPr="005F7CC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5F7CC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5F7CC4" w:rsidRPr="005F7CC4" w:rsidRDefault="005F7CC4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A7D" w:rsidRPr="005F7CC4" w:rsidRDefault="00937A7D" w:rsidP="005F7C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C4">
        <w:rPr>
          <w:rFonts w:ascii="Times New Roman" w:hAnsi="Times New Roman" w:cs="Times New Roman"/>
          <w:b/>
          <w:sz w:val="24"/>
          <w:szCs w:val="24"/>
        </w:rPr>
        <w:t>ТРЕНДЫ</w:t>
      </w:r>
      <w:r w:rsidR="005F7CC4" w:rsidRPr="005F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b/>
          <w:sz w:val="24"/>
          <w:szCs w:val="24"/>
        </w:rPr>
        <w:t>ЭФФЕКТИВНОГО</w:t>
      </w:r>
      <w:r w:rsidR="005F7CC4" w:rsidRPr="005F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b/>
          <w:sz w:val="24"/>
          <w:szCs w:val="24"/>
        </w:rPr>
        <w:t>ВЗАИМОДЕЙСТВИЯ</w:t>
      </w:r>
      <w:r w:rsidR="005F7CC4" w:rsidRPr="005F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b/>
          <w:sz w:val="24"/>
          <w:szCs w:val="24"/>
        </w:rPr>
        <w:t>ПО</w:t>
      </w:r>
      <w:r w:rsidR="005F7CC4" w:rsidRPr="005F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b/>
          <w:sz w:val="24"/>
          <w:szCs w:val="24"/>
        </w:rPr>
        <w:t>СОВЕРШЕНСТВОВАНИЮ</w:t>
      </w:r>
      <w:r w:rsidR="005F7CC4" w:rsidRPr="005F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b/>
          <w:sz w:val="24"/>
          <w:szCs w:val="24"/>
        </w:rPr>
        <w:t>СТРАТЕГИЙ</w:t>
      </w:r>
      <w:r w:rsidR="005F7CC4" w:rsidRPr="005F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b/>
          <w:sz w:val="24"/>
          <w:szCs w:val="24"/>
        </w:rPr>
        <w:t>БЕЗОПАСНОГО</w:t>
      </w:r>
      <w:r w:rsidR="005F7CC4" w:rsidRPr="005F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b/>
          <w:sz w:val="24"/>
          <w:szCs w:val="24"/>
        </w:rPr>
        <w:t>ЭКОЛОГИЧЕСКОГО</w:t>
      </w:r>
      <w:r w:rsidR="005F7CC4" w:rsidRPr="005F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b/>
          <w:sz w:val="24"/>
          <w:szCs w:val="24"/>
        </w:rPr>
        <w:t>РАЗВИТИЯ</w:t>
      </w:r>
    </w:p>
    <w:p w:rsidR="005F7CC4" w:rsidRPr="005F7CC4" w:rsidRDefault="005F7CC4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7CC4" w:rsidRPr="005F7CC4" w:rsidRDefault="005F7CC4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CC4">
        <w:rPr>
          <w:rFonts w:ascii="Times New Roman" w:hAnsi="Times New Roman" w:cs="Times New Roman"/>
          <w:b/>
          <w:i/>
          <w:sz w:val="24"/>
          <w:szCs w:val="24"/>
        </w:rPr>
        <w:t>Ключевые слова</w:t>
      </w:r>
      <w:r w:rsidRPr="005F7CC4">
        <w:rPr>
          <w:rFonts w:ascii="Times New Roman" w:hAnsi="Times New Roman" w:cs="Times New Roman"/>
          <w:i/>
          <w:sz w:val="24"/>
          <w:szCs w:val="24"/>
        </w:rPr>
        <w:t>: международное сотрудничество, страны БРИКС, экологическое развитие, стратегическое планирование.</w:t>
      </w:r>
    </w:p>
    <w:p w:rsidR="005F7CC4" w:rsidRPr="005F7CC4" w:rsidRDefault="005F7CC4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D91" w:rsidRPr="005F7CC4" w:rsidRDefault="002C5D91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CC4">
        <w:rPr>
          <w:rFonts w:ascii="Times New Roman" w:hAnsi="Times New Roman" w:cs="Times New Roman"/>
          <w:sz w:val="24"/>
          <w:szCs w:val="24"/>
        </w:rPr>
        <w:t>Анализ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мирового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опыта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борьбы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загрязнением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обеспечения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приемлемого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качества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окружающей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среды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показывает,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практически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все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страны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мира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(за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редким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исключением)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той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или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иной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форме,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той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или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иной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результативностью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осуществляют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деятельность,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направленную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сохранение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окружающей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среды.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Во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всех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без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исключения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странах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лидером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организатором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эколого</w:t>
      </w:r>
      <w:r w:rsidR="0096555E">
        <w:rPr>
          <w:rFonts w:ascii="Times New Roman" w:hAnsi="Times New Roman" w:cs="Times New Roman"/>
          <w:sz w:val="24"/>
          <w:szCs w:val="24"/>
        </w:rPr>
        <w:t>-</w:t>
      </w:r>
      <w:r w:rsidRPr="005F7CC4">
        <w:rPr>
          <w:rFonts w:ascii="Times New Roman" w:hAnsi="Times New Roman" w:cs="Times New Roman"/>
          <w:sz w:val="24"/>
          <w:szCs w:val="24"/>
        </w:rPr>
        <w:t>ориентированной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деятельности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является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государство.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Это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означает,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страны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мира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пришли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к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пониманию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невозможности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безопасного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развития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без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учета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экологической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составляющей.</w:t>
      </w:r>
    </w:p>
    <w:p w:rsidR="000A2577" w:rsidRPr="005F7CC4" w:rsidRDefault="002C5D91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CC4">
        <w:rPr>
          <w:rFonts w:ascii="Times New Roman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современной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России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основным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государственным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документом,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определяющим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перспективы,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точки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роста,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инструменты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управления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безопасным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устойчивым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развитием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общества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являются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стратегии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развития.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D91" w:rsidRPr="005F7CC4" w:rsidRDefault="002C5D91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hAnsi="Times New Roman" w:cs="Times New Roman"/>
          <w:sz w:val="24"/>
          <w:szCs w:val="24"/>
        </w:rPr>
        <w:t>Содержание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стратегий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отражает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требования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таких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базовых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государственных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документов,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как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Экологическая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доктрина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="00AC64A4"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Стратегия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РФ</w:t>
      </w:r>
      <w:r w:rsidR="00AC64A4"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5F7CC4">
        <w:rPr>
          <w:rFonts w:ascii="Times New Roman" w:eastAsia="Calibri" w:hAnsi="Times New Roman" w:cs="Times New Roman"/>
          <w:sz w:val="24"/>
          <w:szCs w:val="24"/>
        </w:rPr>
        <w:t>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документы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определяют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цели,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инструменты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развития.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64A4" w:rsidRPr="005F7CC4">
        <w:rPr>
          <w:rFonts w:ascii="Times New Roman" w:eastAsia="Calibri" w:hAnsi="Times New Roman" w:cs="Times New Roman"/>
          <w:sz w:val="24"/>
          <w:szCs w:val="24"/>
        </w:rPr>
        <w:t>Присутствие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64A4"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64A4" w:rsidRPr="005F7CC4">
        <w:rPr>
          <w:rFonts w:ascii="Times New Roman" w:eastAsia="Calibri" w:hAnsi="Times New Roman" w:cs="Times New Roman"/>
          <w:sz w:val="24"/>
          <w:szCs w:val="24"/>
        </w:rPr>
        <w:t>стратегии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64A4" w:rsidRPr="005F7CC4">
        <w:rPr>
          <w:rFonts w:ascii="Times New Roman" w:eastAsia="Calibri" w:hAnsi="Times New Roman" w:cs="Times New Roman"/>
          <w:sz w:val="24"/>
          <w:szCs w:val="24"/>
        </w:rPr>
        <w:t>э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кологическ</w:t>
      </w:r>
      <w:r w:rsidR="00AC64A4" w:rsidRPr="005F7CC4">
        <w:rPr>
          <w:rFonts w:ascii="Times New Roman" w:eastAsia="Calibri" w:hAnsi="Times New Roman" w:cs="Times New Roman"/>
          <w:sz w:val="24"/>
          <w:szCs w:val="24"/>
        </w:rPr>
        <w:t>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раздел</w:t>
      </w:r>
      <w:r w:rsidR="00AC64A4" w:rsidRPr="005F7CC4">
        <w:rPr>
          <w:rFonts w:ascii="Times New Roman" w:eastAsia="Calibri" w:hAnsi="Times New Roman" w:cs="Times New Roman"/>
          <w:sz w:val="24"/>
          <w:szCs w:val="24"/>
        </w:rPr>
        <w:t>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настоящее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время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обязательн</w:t>
      </w:r>
      <w:r w:rsidR="00AC64A4" w:rsidRPr="005F7CC4">
        <w:rPr>
          <w:rFonts w:ascii="Times New Roman" w:eastAsia="Calibri" w:hAnsi="Times New Roman" w:cs="Times New Roman"/>
          <w:sz w:val="24"/>
          <w:szCs w:val="24"/>
        </w:rPr>
        <w:t>о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что</w:t>
      </w:r>
      <w:r w:rsidR="000A2577" w:rsidRPr="005F7CC4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подчеркнем,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отражает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важность,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значимость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экологической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составляющей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экологических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EEC" w:rsidRPr="005F7CC4">
        <w:rPr>
          <w:rFonts w:ascii="Times New Roman" w:eastAsia="Calibri" w:hAnsi="Times New Roman" w:cs="Times New Roman"/>
          <w:sz w:val="24"/>
          <w:szCs w:val="24"/>
        </w:rPr>
        <w:t>проблем.</w:t>
      </w:r>
    </w:p>
    <w:p w:rsidR="009852D1" w:rsidRPr="005F7CC4" w:rsidRDefault="009852D1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разделах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рассмотренных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нами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Вологодской</w:t>
      </w:r>
      <w:r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3"/>
      </w:r>
      <w:r w:rsidRPr="005F7CC4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Свердловской</w:t>
      </w:r>
      <w:r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4"/>
      </w:r>
      <w:r w:rsidRPr="005F7CC4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Ростовской</w:t>
      </w:r>
      <w:r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5"/>
      </w:r>
      <w:r w:rsidRPr="005F7CC4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Тамбовской</w:t>
      </w:r>
      <w:r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6"/>
      </w:r>
      <w:r w:rsidRPr="005F7CC4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Воронежской</w:t>
      </w:r>
      <w:r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7"/>
      </w:r>
      <w:r w:rsidRPr="005F7CC4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Новосибирской</w:t>
      </w:r>
      <w:r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8"/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областей,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Республики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Татарстан</w:t>
      </w:r>
      <w:r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9"/>
      </w:r>
      <w:r w:rsidRPr="005F7CC4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Краснодарского</w:t>
      </w:r>
      <w:r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0"/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Красноярского</w:t>
      </w:r>
      <w:r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1"/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краев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максимально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подробно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представлены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цели,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задачи,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инструменты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управления.</w:t>
      </w:r>
    </w:p>
    <w:p w:rsidR="009852D1" w:rsidRPr="005F7CC4" w:rsidRDefault="009852D1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структурных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элементах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раздела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рассмотренных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можно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выделить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общее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особенное.</w:t>
      </w:r>
    </w:p>
    <w:p w:rsidR="009852D1" w:rsidRPr="005F7CC4" w:rsidRDefault="000A2577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Первым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общим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оложительным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моментам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всех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перечисленных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можно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считать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однозначность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главной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цели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–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повышение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комфортности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проживания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населения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за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счет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улучшения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качественных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характеристик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среды.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Сюда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же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включается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рост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качественных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характеристик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человеческого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капитала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по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показателю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«общественное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здоровье»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Это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важное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дополнение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силу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D1" w:rsidRPr="005F7CC4">
        <w:rPr>
          <w:rFonts w:ascii="Times New Roman" w:eastAsia="Calibri" w:hAnsi="Times New Roman" w:cs="Times New Roman"/>
          <w:sz w:val="24"/>
          <w:szCs w:val="24"/>
        </w:rPr>
        <w:t>следующего.</w:t>
      </w:r>
    </w:p>
    <w:p w:rsidR="009852D1" w:rsidRPr="005F7CC4" w:rsidRDefault="009852D1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начале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90-хгг.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прошлого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века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автор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проводил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исследование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влияния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загрязнения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населения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прилегающих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территорий.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Был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получен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результат: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потери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прибыли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предприятий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из-за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заболеваемости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сотрудников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доходят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6%.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Если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учесть,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7%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потере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прибыли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целесообразность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деятельност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предприятия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ставится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под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вопрос,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экологическую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заболеваемость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автор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оценивал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по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экспертной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оценке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отечественных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специалистов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(20%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от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общей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заболеваемости,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время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как,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мнению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американских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экспертов,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экологический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фактор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оказывает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влияние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здоровье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80%),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масштаб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воздействия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представляется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значительным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вредным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для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986" w:rsidRPr="005F7CC4">
        <w:rPr>
          <w:rFonts w:ascii="Times New Roman" w:eastAsia="Calibri" w:hAnsi="Times New Roman" w:cs="Times New Roman"/>
          <w:sz w:val="24"/>
          <w:szCs w:val="24"/>
        </w:rPr>
        <w:t>экономики.</w:t>
      </w:r>
    </w:p>
    <w:p w:rsidR="00B10986" w:rsidRPr="005F7CC4" w:rsidRDefault="00B10986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Второй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общий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момент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всех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исследованных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–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внимание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нивелированию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последствий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антропогенной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:rsidR="00C31E6C" w:rsidRPr="005F7CC4" w:rsidRDefault="00B10986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lastRenderedPageBreak/>
        <w:t>Третий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положительный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момент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7CC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особое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внимание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уделено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цифровизации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(внедрение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автоматизированн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ы</w:t>
      </w:r>
      <w:r w:rsidRPr="005F7CC4">
        <w:rPr>
          <w:rFonts w:ascii="Times New Roman" w:eastAsia="Calibri" w:hAnsi="Times New Roman" w:cs="Times New Roman"/>
          <w:sz w:val="24"/>
          <w:szCs w:val="24"/>
        </w:rPr>
        <w:t>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систем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мониторинга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позволяющих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оперативно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реагировать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экологические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нарушения,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установка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стационарных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датчиков)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мониторинга.</w:t>
      </w:r>
    </w:p>
    <w:p w:rsidR="00C31E6C" w:rsidRPr="005F7CC4" w:rsidRDefault="00C31E6C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отметить,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каждая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стратегия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имеет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интересные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действенные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особенные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2577" w:rsidRPr="005F7CC4">
        <w:rPr>
          <w:rFonts w:ascii="Times New Roman" w:eastAsia="Calibri" w:hAnsi="Times New Roman" w:cs="Times New Roman"/>
          <w:sz w:val="24"/>
          <w:szCs w:val="24"/>
        </w:rPr>
        <w:t>меры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инструменты,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разнообразие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достаточно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объемно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для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рамок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статьи.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Отметим,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каждой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стратегии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связаны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конкретными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экологическими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проблемами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территории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возможностями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нивелирования.</w:t>
      </w:r>
    </w:p>
    <w:p w:rsidR="00D43A7C" w:rsidRPr="005F7CC4" w:rsidRDefault="00C31E6C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Ключевые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инструменты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управленческого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воздействия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антропогенные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очень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схожи,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почти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идентичны.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3A7C" w:rsidRPr="005F7CC4" w:rsidRDefault="00D43A7C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целом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разработка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практическое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использование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территорий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дает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положительные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результат,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чем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свидетельствует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статистика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показателей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качества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среды</w:t>
      </w:r>
      <w:r w:rsidR="00F175DB" w:rsidRPr="005F7CC4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2"/>
      </w:r>
      <w:r w:rsidRPr="005F7CC4">
        <w:rPr>
          <w:rFonts w:ascii="Times New Roman" w:eastAsia="Calibri" w:hAnsi="Times New Roman" w:cs="Times New Roman"/>
          <w:sz w:val="24"/>
          <w:szCs w:val="24"/>
        </w:rPr>
        <w:t>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Так,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Воронежской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средний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рост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показателя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за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4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года</w:t>
      </w:r>
      <w:r w:rsidR="005F7CC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111,41%,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Ростовской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за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тот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же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период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5F7CC4">
        <w:rPr>
          <w:rFonts w:ascii="Times New Roman" w:hAnsi="Times New Roman" w:cs="Times New Roman"/>
          <w:sz w:val="24"/>
          <w:szCs w:val="24"/>
        </w:rPr>
        <w:t xml:space="preserve">– </w:t>
      </w:r>
      <w:r w:rsidR="00F175DB" w:rsidRPr="005F7CC4">
        <w:rPr>
          <w:rFonts w:ascii="Times New Roman" w:hAnsi="Times New Roman" w:cs="Times New Roman"/>
          <w:sz w:val="24"/>
          <w:szCs w:val="24"/>
        </w:rPr>
        <w:t>125,51,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Свердловской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области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5F7CC4">
        <w:rPr>
          <w:rFonts w:ascii="Times New Roman" w:hAnsi="Times New Roman" w:cs="Times New Roman"/>
          <w:sz w:val="24"/>
          <w:szCs w:val="24"/>
        </w:rPr>
        <w:t xml:space="preserve">– </w:t>
      </w:r>
      <w:r w:rsidR="00F175DB" w:rsidRPr="005F7CC4">
        <w:rPr>
          <w:rFonts w:ascii="Times New Roman" w:hAnsi="Times New Roman" w:cs="Times New Roman"/>
          <w:sz w:val="24"/>
          <w:szCs w:val="24"/>
        </w:rPr>
        <w:t>109,01,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Республике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5F7CC4">
        <w:rPr>
          <w:rFonts w:ascii="Times New Roman" w:hAnsi="Times New Roman" w:cs="Times New Roman"/>
          <w:sz w:val="24"/>
          <w:szCs w:val="24"/>
        </w:rPr>
        <w:t xml:space="preserve">Татарстан – </w:t>
      </w:r>
      <w:r w:rsidR="00F175DB" w:rsidRPr="005F7CC4">
        <w:rPr>
          <w:rFonts w:ascii="Times New Roman" w:hAnsi="Times New Roman" w:cs="Times New Roman"/>
          <w:sz w:val="24"/>
          <w:szCs w:val="24"/>
        </w:rPr>
        <w:t>112,21,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целом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по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РФ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5F7CC4">
        <w:rPr>
          <w:rFonts w:ascii="Times New Roman" w:hAnsi="Times New Roman" w:cs="Times New Roman"/>
          <w:sz w:val="24"/>
          <w:szCs w:val="24"/>
        </w:rPr>
        <w:t>–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108,11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при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целевом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значении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5E378E">
        <w:rPr>
          <w:rFonts w:ascii="Times New Roman" w:hAnsi="Times New Roman" w:cs="Times New Roman"/>
          <w:sz w:val="24"/>
          <w:szCs w:val="24"/>
        </w:rPr>
        <w:t xml:space="preserve">– </w:t>
      </w:r>
      <w:r w:rsidR="00F175DB" w:rsidRPr="005F7CC4">
        <w:rPr>
          <w:rFonts w:ascii="Times New Roman" w:hAnsi="Times New Roman" w:cs="Times New Roman"/>
          <w:sz w:val="24"/>
          <w:szCs w:val="24"/>
        </w:rPr>
        <w:t>103,13%.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Снижение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отмечено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только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Красноярском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hAnsi="Times New Roman" w:cs="Times New Roman"/>
          <w:sz w:val="24"/>
          <w:szCs w:val="24"/>
        </w:rPr>
        <w:t>крае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="005E378E">
        <w:rPr>
          <w:rFonts w:ascii="Times New Roman" w:hAnsi="Times New Roman" w:cs="Times New Roman"/>
          <w:sz w:val="24"/>
          <w:szCs w:val="24"/>
        </w:rPr>
        <w:t xml:space="preserve">– </w:t>
      </w:r>
      <w:r w:rsidR="00F175DB" w:rsidRPr="005F7CC4">
        <w:rPr>
          <w:rFonts w:ascii="Times New Roman" w:hAnsi="Times New Roman" w:cs="Times New Roman"/>
          <w:sz w:val="24"/>
          <w:szCs w:val="24"/>
        </w:rPr>
        <w:t>97,53%.</w:t>
      </w:r>
    </w:p>
    <w:p w:rsidR="00C31E6C" w:rsidRPr="005F7CC4" w:rsidRDefault="00F175DB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экологических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стратегиях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упор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делается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предотвращение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нежелательных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климатических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изменений,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связанных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с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производственно-технологической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деятельностью.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свою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очередь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известно,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наибольший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урон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планете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наносят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выбросы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углекислого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E6C" w:rsidRPr="005F7CC4">
        <w:rPr>
          <w:rFonts w:ascii="Times New Roman" w:eastAsia="Calibri" w:hAnsi="Times New Roman" w:cs="Times New Roman"/>
          <w:sz w:val="24"/>
          <w:szCs w:val="24"/>
        </w:rPr>
        <w:t>газа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Расширение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масштабов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выбросов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связано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не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с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расширением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промышленных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производств,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78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растущим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автопарком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7C" w:rsidRPr="005F7CC4">
        <w:rPr>
          <w:rFonts w:ascii="Times New Roman" w:eastAsia="Calibri" w:hAnsi="Times New Roman" w:cs="Times New Roman"/>
          <w:sz w:val="24"/>
          <w:szCs w:val="24"/>
        </w:rPr>
        <w:t>планеты.</w:t>
      </w:r>
    </w:p>
    <w:p w:rsidR="00D43A7C" w:rsidRPr="005F7CC4" w:rsidRDefault="00D43A7C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конце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прошлого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века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предпринимались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попытки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коллективного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для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борьбы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парниковым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эффектом,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вызванным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увеличением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выбросов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углекислого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газа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атмосферу.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Наибольшую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известно</w:t>
      </w:r>
      <w:r w:rsidR="005E378E">
        <w:rPr>
          <w:rFonts w:ascii="Times New Roman" w:eastAsia="Calibri" w:hAnsi="Times New Roman" w:cs="Times New Roman"/>
          <w:sz w:val="24"/>
          <w:szCs w:val="24"/>
        </w:rPr>
        <w:t>сть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получил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Киотский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протокол,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декларировал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указанную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выше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цель.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Предполагалось,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будет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сформирован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рынок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квот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загрязнение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или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«биржи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отходов».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этом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рынке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страны-загрязнители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будут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платить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за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загрязнение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мировому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сообществу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принципу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«загрязнитель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5DB" w:rsidRPr="005F7CC4">
        <w:rPr>
          <w:rFonts w:ascii="Times New Roman" w:eastAsia="Calibri" w:hAnsi="Times New Roman" w:cs="Times New Roman"/>
          <w:sz w:val="24"/>
          <w:szCs w:val="24"/>
        </w:rPr>
        <w:t>платит».</w:t>
      </w:r>
    </w:p>
    <w:p w:rsidR="00F175DB" w:rsidRPr="005F7CC4" w:rsidRDefault="00F175DB" w:rsidP="005F7C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С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теоретических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позиций,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торговля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правами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загрязнени</w:t>
      </w:r>
      <w:r w:rsidR="005C3A3D" w:rsidRPr="005F7CC4">
        <w:rPr>
          <w:rFonts w:ascii="Times New Roman" w:eastAsia="Calibri" w:hAnsi="Times New Roman" w:cs="Times New Roman"/>
          <w:sz w:val="24"/>
          <w:szCs w:val="24"/>
        </w:rPr>
        <w:t>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78E">
        <w:rPr>
          <w:rFonts w:ascii="Times New Roman" w:eastAsia="Calibri" w:hAnsi="Times New Roman" w:cs="Times New Roman"/>
          <w:sz w:val="24"/>
          <w:szCs w:val="24"/>
        </w:rPr>
        <w:t>–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эффективная,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самое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гла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вное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–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единственная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истинно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экономическая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мера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воздействия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загрязнителей.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Строго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говоря,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все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иные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меры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относятся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к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разряду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административных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мер,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применяются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те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или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иные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меры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экономического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57" w:rsidRPr="005F7CC4">
        <w:rPr>
          <w:rFonts w:ascii="Times New Roman" w:eastAsia="Calibri" w:hAnsi="Times New Roman" w:cs="Times New Roman"/>
          <w:sz w:val="24"/>
          <w:szCs w:val="24"/>
        </w:rPr>
        <w:t>воздействия.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Однако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налоги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плата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использование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природных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ресурсов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адекватно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отражают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реальной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стоимости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природных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ресурсов.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Плата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загрязнение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учитывает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всего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объема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экологических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социальных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потерь.</w:t>
      </w:r>
    </w:p>
    <w:p w:rsidR="004B5D57" w:rsidRPr="005F7CC4" w:rsidRDefault="004B5D57" w:rsidP="005F7C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Привлекательность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рынка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квот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загрязнение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заключается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его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рыночной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сущности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многоотраслевой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системе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торговле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выбросами.</w:t>
      </w:r>
    </w:p>
    <w:p w:rsidR="004B5D57" w:rsidRPr="005F7CC4" w:rsidRDefault="004B5D57" w:rsidP="005F7C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Концепция,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положенная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основу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Киотского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протокола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включала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несколько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этапов:</w:t>
      </w:r>
    </w:p>
    <w:p w:rsidR="004B5D57" w:rsidRPr="005F7CC4" w:rsidRDefault="005E378E" w:rsidP="005F7C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–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определение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бюджета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квот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каждой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территории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перечень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квот,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выставляемых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продажу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4B5D57" w:rsidRPr="005F7CC4" w:rsidRDefault="004B5D57" w:rsidP="005F7C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–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перечень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проведенных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экологических</w:t>
      </w:r>
      <w:r w:rsidR="005E378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мероприятий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сокращающих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антропогенное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воздействие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4B5D57" w:rsidRPr="005F7CC4" w:rsidRDefault="004B5D57" w:rsidP="005F7C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–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отчет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произведенных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выбросах;</w:t>
      </w:r>
    </w:p>
    <w:p w:rsidR="004B5D57" w:rsidRPr="005F7CC4" w:rsidRDefault="004B5D57" w:rsidP="005F7C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–штрафные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санкции,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определение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обязательств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будущий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период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5C3A3D" w:rsidRPr="005F7CC4" w:rsidRDefault="004B5D57" w:rsidP="005F7C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рамках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Киотского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протокола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была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предпринята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попытка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внедрения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механизма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рынка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квот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загрязнение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практике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достичь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цели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участникам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Киотского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протокола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удалось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5C3A3D" w:rsidRPr="005F7CC4" w:rsidRDefault="00223DD4" w:rsidP="005F7C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Мы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будем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подробно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анализировать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политические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организационные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причины,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которые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помешали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реализации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Киотского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протокола.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Отметим,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что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основные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загрязнители,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т.е.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высокоразвитые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страны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страны,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чья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экономика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развивалась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ускоренными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темпами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были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заинтересованы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подписании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Киотского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протокола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вполне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понятным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причинам.</w:t>
      </w:r>
    </w:p>
    <w:p w:rsidR="00BD7319" w:rsidRPr="005F7CC4" w:rsidRDefault="00223DD4" w:rsidP="005F7C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Россия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участвовала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первой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стадии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реализации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идеи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Киотского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протокола.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Ее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обязательства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были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обременительными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тот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момент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вопросы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увеличения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энергосбережения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сокращения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промышленных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выбросов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стояли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остро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для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страны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2000</w:t>
      </w:r>
      <w:r w:rsidR="005E378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г.</w:t>
      </w:r>
      <w:r w:rsidR="005E378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вы</w:t>
      </w:r>
      <w:r w:rsidR="005E378E">
        <w:rPr>
          <w:rFonts w:ascii="Times New Roman" w:eastAsia="Times New Roman" w:hAnsi="Times New Roman" w:cs="Times New Roman"/>
          <w:bCs/>
          <w:iCs/>
          <w:sz w:val="24"/>
          <w:szCs w:val="24"/>
        </w:rPr>
        <w:t>б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росы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были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38%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ниже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установленных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лимитов.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Теоретически</w:t>
      </w:r>
      <w:r w:rsidR="005C3A3D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отечественные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производители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получили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право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продажи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квот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другим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участникам.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Однако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уровень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цен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продажу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был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незначительным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экономического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эффекта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от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торговли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D7319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оказалось.</w:t>
      </w:r>
    </w:p>
    <w:p w:rsidR="00223DD4" w:rsidRPr="005F7CC4" w:rsidRDefault="00BD7319" w:rsidP="005F7C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итог</w:t>
      </w:r>
      <w:r w:rsidR="005E378E">
        <w:rPr>
          <w:rFonts w:ascii="Times New Roman" w:eastAsia="Times New Roman" w:hAnsi="Times New Roman" w:cs="Times New Roman"/>
          <w:bCs/>
          <w:iCs/>
          <w:sz w:val="24"/>
          <w:szCs w:val="24"/>
        </w:rPr>
        <w:t>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числе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участников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остались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страны,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долю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которых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приходилось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15%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загрязнения,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т.е.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страны,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которые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объективным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причинам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не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могли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оказать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серьезного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влияния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темпы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масштабы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загрязнения.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4B5D57" w:rsidRPr="005F7CC4" w:rsidRDefault="00BD7319" w:rsidP="005F7C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Таким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образом,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есмотря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теоретическую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привлекательность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3DD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обоснованность,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интерес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ученых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концепции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Киотского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протокола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значительно</w:t>
      </w:r>
      <w:r w:rsidR="005F7CC4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B5D57"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>сократился.</w:t>
      </w:r>
    </w:p>
    <w:p w:rsidR="00C31E6C" w:rsidRPr="005F7CC4" w:rsidRDefault="00BD7319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Современное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среды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климатические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по-прежнему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требуют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внимания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056" w:rsidRPr="005F7CC4">
        <w:rPr>
          <w:rFonts w:ascii="Times New Roman" w:eastAsia="Calibri" w:hAnsi="Times New Roman" w:cs="Times New Roman"/>
          <w:sz w:val="24"/>
          <w:szCs w:val="24"/>
        </w:rPr>
        <w:t>сокращения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056" w:rsidRPr="005F7CC4">
        <w:rPr>
          <w:rFonts w:ascii="Times New Roman" w:eastAsia="Calibri" w:hAnsi="Times New Roman" w:cs="Times New Roman"/>
          <w:sz w:val="24"/>
          <w:szCs w:val="24"/>
        </w:rPr>
        <w:t>выбросов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056" w:rsidRPr="005F7CC4">
        <w:rPr>
          <w:rFonts w:ascii="Times New Roman" w:eastAsia="Calibri" w:hAnsi="Times New Roman" w:cs="Times New Roman"/>
          <w:sz w:val="24"/>
          <w:szCs w:val="24"/>
        </w:rPr>
        <w:t>углекислого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056" w:rsidRPr="005F7CC4">
        <w:rPr>
          <w:rFonts w:ascii="Times New Roman" w:eastAsia="Calibri" w:hAnsi="Times New Roman" w:cs="Times New Roman"/>
          <w:sz w:val="24"/>
          <w:szCs w:val="24"/>
        </w:rPr>
        <w:t>газа.</w:t>
      </w:r>
    </w:p>
    <w:p w:rsidR="005C3A3D" w:rsidRPr="005F7CC4" w:rsidRDefault="008B7056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По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мнению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автора,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начинать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вопроса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сокращения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выбросов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углекислого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газа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определения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методики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расчета.</w:t>
      </w:r>
    </w:p>
    <w:p w:rsidR="008B7056" w:rsidRPr="005F7CC4" w:rsidRDefault="008B7056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сложности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неразработанности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этого,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казалось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бы</w:t>
      </w:r>
      <w:r w:rsidR="005E378E">
        <w:rPr>
          <w:rFonts w:ascii="Times New Roman" w:eastAsia="Calibri" w:hAnsi="Times New Roman" w:cs="Times New Roman"/>
          <w:sz w:val="24"/>
          <w:szCs w:val="24"/>
        </w:rPr>
        <w:t>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несложного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вопроса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автор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знает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из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опыта: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2002</w:t>
      </w:r>
      <w:r w:rsidR="005E3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г.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инициативе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Всемирного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банка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78E">
        <w:rPr>
          <w:rFonts w:ascii="Times New Roman" w:eastAsia="Calibri" w:hAnsi="Times New Roman" w:cs="Times New Roman"/>
          <w:sz w:val="24"/>
          <w:szCs w:val="24"/>
        </w:rPr>
        <w:t xml:space="preserve">в Великобритании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автор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принимал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проекте,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посвященном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оценке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природных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ресурсов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Воронежской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отвечал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расчет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выбросов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углекислого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газа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территории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области.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Оказалось,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утвержденной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методики,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даже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приблизительных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рекомендаций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расчету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нет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(по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собственной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инициативе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автор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рассчитывал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выбросы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формуле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сгорания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метана,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сведения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передвижным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источникам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брались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из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отчетов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об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отгруженных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горючих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5C3A3D" w:rsidRPr="005F7CC4">
        <w:rPr>
          <w:rFonts w:ascii="Times New Roman" w:eastAsia="Calibri" w:hAnsi="Times New Roman" w:cs="Times New Roman"/>
          <w:sz w:val="24"/>
          <w:szCs w:val="24"/>
        </w:rPr>
        <w:t>ах</w:t>
      </w:r>
      <w:bookmarkStart w:id="0" w:name="_GoBack"/>
      <w:bookmarkEnd w:id="0"/>
      <w:r w:rsidRPr="005F7CC4">
        <w:rPr>
          <w:rFonts w:ascii="Times New Roman" w:eastAsia="Calibri" w:hAnsi="Times New Roman" w:cs="Times New Roman"/>
          <w:sz w:val="24"/>
          <w:szCs w:val="24"/>
        </w:rPr>
        <w:t>).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Отметим,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что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Великобритания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–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это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одна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из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немногих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стран,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зафиксирован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факт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обязательного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учета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выбросов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углекислого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газа.</w:t>
      </w:r>
    </w:p>
    <w:p w:rsidR="000A2577" w:rsidRPr="005F7CC4" w:rsidRDefault="000A2577" w:rsidP="005F7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CC4">
        <w:rPr>
          <w:rFonts w:ascii="Times New Roman" w:eastAsia="Calibri" w:hAnsi="Times New Roman" w:cs="Times New Roman"/>
          <w:sz w:val="24"/>
          <w:szCs w:val="24"/>
        </w:rPr>
        <w:t>По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мнению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автора,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совместные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усилия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стран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БРИКС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могут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дать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значительные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практической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учета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такого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значимого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загрязнителя,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как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углекислый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газ.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Поскольку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практическая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значимость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–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важное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условие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экологических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изменений,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можно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считать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указанную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трендом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конструктивного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взаимодействия,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в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планируемой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Платформы</w:t>
      </w:r>
      <w:r w:rsidR="005F7CC4" w:rsidRPr="005F7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«Эко</w:t>
      </w:r>
      <w:r w:rsidR="005E3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eastAsia="Calibri" w:hAnsi="Times New Roman" w:cs="Times New Roman"/>
          <w:sz w:val="24"/>
          <w:szCs w:val="24"/>
        </w:rPr>
        <w:t>БРИКС».</w:t>
      </w:r>
    </w:p>
    <w:p w:rsidR="009F3C7A" w:rsidRPr="005F7CC4" w:rsidRDefault="005F7CC4" w:rsidP="005F7C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7C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937A7D" w:rsidRPr="005E378E" w:rsidRDefault="005E378E" w:rsidP="005F7C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78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AC64A4" w:rsidRPr="005F7CC4" w:rsidRDefault="00AC64A4" w:rsidP="005F7CC4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CC4">
        <w:rPr>
          <w:rFonts w:ascii="Times New Roman" w:hAnsi="Times New Roman" w:cs="Times New Roman"/>
          <w:i/>
          <w:sz w:val="24"/>
          <w:szCs w:val="24"/>
        </w:rPr>
        <w:t>Тулохонов</w:t>
      </w:r>
      <w:r w:rsidR="005F7CC4" w:rsidRPr="005F7C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i/>
          <w:sz w:val="24"/>
          <w:szCs w:val="24"/>
        </w:rPr>
        <w:t>А.К.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Киотский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протокол: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проблемы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решения.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Kyoto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Protocol: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problems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and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decisions: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аналит.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обзор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/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А.К.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Тулохонов,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С.Д.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Пунцукова,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Э.М.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Зомонова;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Гос.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публич.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науч.-техн.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б-ка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Сиб.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отд-ния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Рос.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акад.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наук,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Байкал.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ин-т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СО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РАН.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-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2-е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изд.,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стереотип.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–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Новосибирск,</w:t>
      </w:r>
      <w:r w:rsidR="005F7CC4" w:rsidRPr="005F7CC4">
        <w:rPr>
          <w:rFonts w:ascii="Times New Roman" w:hAnsi="Times New Roman" w:cs="Times New Roman"/>
          <w:sz w:val="24"/>
          <w:szCs w:val="24"/>
        </w:rPr>
        <w:t xml:space="preserve"> </w:t>
      </w:r>
      <w:r w:rsidRPr="005F7CC4">
        <w:rPr>
          <w:rFonts w:ascii="Times New Roman" w:hAnsi="Times New Roman" w:cs="Times New Roman"/>
          <w:sz w:val="24"/>
          <w:szCs w:val="24"/>
        </w:rPr>
        <w:t>2009.</w:t>
      </w:r>
    </w:p>
    <w:p w:rsidR="00AC64A4" w:rsidRPr="005E378E" w:rsidRDefault="00D43A7C" w:rsidP="005F7CC4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78E">
        <w:rPr>
          <w:rFonts w:ascii="Times New Roman" w:hAnsi="Times New Roman" w:cs="Times New Roman"/>
          <w:bCs/>
          <w:i/>
          <w:iCs/>
          <w:sz w:val="24"/>
          <w:szCs w:val="24"/>
        </w:rPr>
        <w:t>Мантаев</w:t>
      </w:r>
      <w:r w:rsidR="005F7CC4" w:rsidRPr="005E37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/>
          <w:iCs/>
          <w:sz w:val="24"/>
          <w:szCs w:val="24"/>
        </w:rPr>
        <w:t>Х.З.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Рациональное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природопользование.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Монография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Х.З.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Мантаев,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З.П.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Оказов,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З.В.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Тотиков.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Грозный: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ЧГПУ,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Махачкала: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АЛЕФ,</w:t>
      </w:r>
      <w:r w:rsidR="005F7CC4" w:rsidRPr="005E37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378E">
        <w:rPr>
          <w:rFonts w:ascii="Times New Roman" w:hAnsi="Times New Roman" w:cs="Times New Roman"/>
          <w:bCs/>
          <w:iCs/>
          <w:sz w:val="24"/>
          <w:szCs w:val="24"/>
        </w:rPr>
        <w:t>2020.</w:t>
      </w:r>
    </w:p>
    <w:sectPr w:rsidR="00AC64A4" w:rsidRPr="005E378E" w:rsidSect="005F7CC4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CC4" w:rsidRDefault="005F7CC4" w:rsidP="002560AB">
      <w:pPr>
        <w:spacing w:after="0" w:line="240" w:lineRule="auto"/>
      </w:pPr>
      <w:r>
        <w:separator/>
      </w:r>
    </w:p>
  </w:endnote>
  <w:endnote w:type="continuationSeparator" w:id="0">
    <w:p w:rsidR="005F7CC4" w:rsidRDefault="005F7CC4" w:rsidP="0025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7CC4" w:rsidRPr="005F7CC4" w:rsidRDefault="005F7CC4" w:rsidP="005F7CC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7C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7CC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7C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555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F7C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CC4" w:rsidRDefault="005F7CC4" w:rsidP="002560AB">
      <w:pPr>
        <w:spacing w:after="0" w:line="240" w:lineRule="auto"/>
      </w:pPr>
      <w:r>
        <w:separator/>
      </w:r>
    </w:p>
  </w:footnote>
  <w:footnote w:type="continuationSeparator" w:id="0">
    <w:p w:rsidR="005F7CC4" w:rsidRDefault="005F7CC4" w:rsidP="002560AB">
      <w:pPr>
        <w:spacing w:after="0" w:line="240" w:lineRule="auto"/>
      </w:pPr>
      <w:r>
        <w:continuationSeparator/>
      </w:r>
    </w:p>
  </w:footnote>
  <w:footnote w:id="1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одобрении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Экологической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доктрины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Федерации: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распоряжение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Правительства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31.08.2002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1225-р</w:t>
      </w:r>
      <w:r>
        <w:rPr>
          <w:rFonts w:ascii="Times New Roman" w:hAnsi="Times New Roman" w:cs="Times New Roman"/>
        </w:rPr>
        <w:t xml:space="preserve">. </w:t>
      </w:r>
      <w:r w:rsidRPr="005F7CC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https://docs.cntd.ru/document/901826347</w:t>
      </w:r>
    </w:p>
  </w:footnote>
  <w:footnote w:id="2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экологической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года: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19.04.2017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176.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http://www.consultant.ru/document/cons_doc_LAW_215668</w:t>
      </w:r>
    </w:p>
  </w:footnote>
  <w:footnote w:id="3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Стратегии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социально-экономического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развития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Вологодской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области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на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период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до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2030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года: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постановление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Правительства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Вологодской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области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от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17.10.2016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№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920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(в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действующей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редакции)</w:t>
      </w:r>
      <w:r>
        <w:rPr>
          <w:rFonts w:ascii="Times New Roman" w:hAnsi="Times New Roman" w:cs="Times New Roman"/>
          <w:bCs/>
        </w:rPr>
        <w:t xml:space="preserve">. </w:t>
      </w:r>
      <w:r w:rsidRPr="005F7CC4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http://www.consultant.ru/document/cons_doc_LAW_164841</w:t>
      </w:r>
    </w:p>
  </w:footnote>
  <w:footnote w:id="4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Об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утверждении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Стратегии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социально-экономического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развития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Свердловской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области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на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период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до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2030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года: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закон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Краснодарского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края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от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21.12.2015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№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151-ОЗ.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https://docs.cntd.ru/document/429024960</w:t>
      </w:r>
    </w:p>
  </w:footnote>
  <w:footnote w:id="5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социально-экономического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Ростовской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2030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года: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постановление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Правительства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Ростовской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26.12.2018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864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действующей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редакции).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https://docs.cntd.ru/document/550327095</w:t>
      </w:r>
    </w:p>
  </w:footnote>
  <w:footnote w:id="6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Об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утверждении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Стратегии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социально-экономического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развития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Тамбовской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области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на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период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до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2035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года: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закон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Тамбовской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области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от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04.06.2018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№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246-З.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</w:rPr>
        <w:t>https://docs.cntd.ru/document/550113760</w:t>
      </w:r>
    </w:p>
  </w:footnote>
  <w:footnote w:id="7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социально-экономического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Воронежской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2035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года: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Воронежской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20.12.2018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168-ОЗ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действующей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редакции).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https://docs.cntd.ru/document/550300779</w:t>
      </w:r>
    </w:p>
  </w:footnote>
  <w:footnote w:id="8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Стратегии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социально-экономического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развития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Новосибирской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области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на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период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до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2030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года: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постановление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Правительства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Новосибирской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области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от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19.03.2019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№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105-п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(в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действующей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редакции)</w:t>
      </w:r>
      <w:r>
        <w:rPr>
          <w:rFonts w:ascii="Times New Roman" w:hAnsi="Times New Roman" w:cs="Times New Roman"/>
          <w:bCs/>
        </w:rPr>
        <w:t xml:space="preserve">. </w:t>
      </w:r>
      <w:r w:rsidRPr="005F7CC4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https://docs.cntd.ru/document/465728379/</w:t>
      </w:r>
    </w:p>
  </w:footnote>
  <w:footnote w:id="9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социально-экономического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Татарстан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2030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года: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Татарстан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17.06.2015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40-ЗРТ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действующей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редакции).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https://docs.cntd.ru/document/428570021</w:t>
      </w:r>
    </w:p>
  </w:footnote>
  <w:footnote w:id="10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Об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утверждении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Стратегии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социально-экономического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развития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Краснодарского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края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на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период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до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2030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года: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закон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Краснодарского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края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от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21.12.2018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№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3930-КЗ.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7CC4">
        <w:rPr>
          <w:rFonts w:ascii="Times New Roman" w:hAnsi="Times New Roman" w:cs="Times New Roman"/>
          <w:color w:val="000000" w:themeColor="text1"/>
        </w:rPr>
        <w:t>https://docs.cntd.ru/document/550301926</w:t>
      </w:r>
    </w:p>
  </w:footnote>
  <w:footnote w:id="11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социально-экономического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Красноярского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края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2030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года: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Красноярского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края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21.12.2018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3930-КЗ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действующей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редакции).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</w:rPr>
        <w:t>https://docs.cntd.ru/document/550243058</w:t>
      </w:r>
    </w:p>
  </w:footnote>
  <w:footnote w:id="12">
    <w:p w:rsidR="005F7CC4" w:rsidRPr="005F7CC4" w:rsidRDefault="005F7CC4" w:rsidP="005F7C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F7CC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7CC4">
        <w:rPr>
          <w:rFonts w:ascii="Times New Roman" w:hAnsi="Times New Roman" w:cs="Times New Roman"/>
          <w:bCs/>
        </w:rPr>
        <w:t>Единая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межведомственная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информационно-статистическая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система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(ЕМИСС).</w:t>
      </w:r>
      <w:r>
        <w:rPr>
          <w:rFonts w:ascii="Times New Roman" w:hAnsi="Times New Roman" w:cs="Times New Roman"/>
          <w:bCs/>
        </w:rPr>
        <w:t xml:space="preserve"> </w:t>
      </w:r>
      <w:r w:rsidR="005E378E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Pr="005F7CC4">
        <w:rPr>
          <w:rFonts w:ascii="Times New Roman" w:hAnsi="Times New Roman" w:cs="Times New Roman"/>
          <w:bCs/>
        </w:rPr>
        <w:t>https://www.fedstat.ru/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C4" w:rsidRPr="005F7CC4" w:rsidRDefault="005F7CC4" w:rsidP="005F7CC4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62D"/>
    <w:multiLevelType w:val="hybridMultilevel"/>
    <w:tmpl w:val="CAD6205E"/>
    <w:lvl w:ilvl="0" w:tplc="1AE41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424680"/>
    <w:multiLevelType w:val="hybridMultilevel"/>
    <w:tmpl w:val="CD4C9938"/>
    <w:lvl w:ilvl="0" w:tplc="9DB46FBE">
      <w:start w:val="1"/>
      <w:numFmt w:val="bullet"/>
      <w:lvlText w:val=""/>
      <w:lvlJc w:val="left"/>
      <w:pPr>
        <w:ind w:left="94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B53DF4"/>
    <w:multiLevelType w:val="hybridMultilevel"/>
    <w:tmpl w:val="CF40885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64F340E"/>
    <w:multiLevelType w:val="hybridMultilevel"/>
    <w:tmpl w:val="5804FE4A"/>
    <w:lvl w:ilvl="0" w:tplc="0192B7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540CD"/>
    <w:multiLevelType w:val="hybridMultilevel"/>
    <w:tmpl w:val="672C7236"/>
    <w:lvl w:ilvl="0" w:tplc="1AE41D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124810"/>
    <w:multiLevelType w:val="hybridMultilevel"/>
    <w:tmpl w:val="AA527D80"/>
    <w:lvl w:ilvl="0" w:tplc="1AE41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311"/>
    <w:rsid w:val="0007184E"/>
    <w:rsid w:val="000A2577"/>
    <w:rsid w:val="001814E1"/>
    <w:rsid w:val="00223DD4"/>
    <w:rsid w:val="002560AB"/>
    <w:rsid w:val="002C5D91"/>
    <w:rsid w:val="00340311"/>
    <w:rsid w:val="00396772"/>
    <w:rsid w:val="004B5D57"/>
    <w:rsid w:val="005C3A3D"/>
    <w:rsid w:val="005E378E"/>
    <w:rsid w:val="005F7CC4"/>
    <w:rsid w:val="008B7056"/>
    <w:rsid w:val="008C5585"/>
    <w:rsid w:val="00937A7D"/>
    <w:rsid w:val="0096555E"/>
    <w:rsid w:val="009852D1"/>
    <w:rsid w:val="009F3C7A"/>
    <w:rsid w:val="00AB3BDA"/>
    <w:rsid w:val="00AC64A4"/>
    <w:rsid w:val="00B10986"/>
    <w:rsid w:val="00BD7319"/>
    <w:rsid w:val="00C31E6C"/>
    <w:rsid w:val="00D43A7C"/>
    <w:rsid w:val="00F175DB"/>
    <w:rsid w:val="00F5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7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C7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Текст сноски Знак Знак,Table_Footnote_last Знак1,Table_Footnote_last Знак Знак Знак Знак,Table_Footnote_last Знак Знак,Текст сноски Знак1 Знак1,Текст сноски Знак Знак Знак1,single space,-++,-"/>
    <w:basedOn w:val="a"/>
    <w:link w:val="a4"/>
    <w:uiPriority w:val="99"/>
    <w:unhideWhenUsed/>
    <w:rsid w:val="002560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Текст сноски Знак Знак Знак Знак Знак,Текст сноски Знак Знак Знак,Table_Footnote_last Знак1 Знак,Table_Footnote_last Знак Знак Знак Знак Знак,Table_Footnote_last Знак Знак Знак,Текст сноски Знак1 Знак1 Знак,single space Знак,-++ Знак"/>
    <w:basedOn w:val="a0"/>
    <w:link w:val="a3"/>
    <w:uiPriority w:val="99"/>
    <w:rsid w:val="002560AB"/>
    <w:rPr>
      <w:sz w:val="20"/>
      <w:szCs w:val="20"/>
    </w:rPr>
  </w:style>
  <w:style w:type="character" w:styleId="a5">
    <w:name w:val="footnote reference"/>
    <w:aliases w:val="Знак сноски-FN,Знак сноски 1,Ciae niinee-FN,fr,Used by Word for Help footnote symbols,Referencia nota al pie,Ciae niinee 1,Ссылка на сноску 45,SUPERS,Appel note de bas de page,ОР,Footnotes refss,Fussnota,Footnote Reference Number"/>
    <w:basedOn w:val="a0"/>
    <w:uiPriority w:val="99"/>
    <w:unhideWhenUsed/>
    <w:qFormat/>
    <w:rsid w:val="002560AB"/>
    <w:rPr>
      <w:vertAlign w:val="superscript"/>
    </w:rPr>
  </w:style>
  <w:style w:type="table" w:customStyle="1" w:styleId="1">
    <w:name w:val="Сетка таблицы1"/>
    <w:basedOn w:val="a1"/>
    <w:uiPriority w:val="39"/>
    <w:rsid w:val="00256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F3C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9F3C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F3C7A"/>
  </w:style>
  <w:style w:type="character" w:styleId="a8">
    <w:name w:val="Hyperlink"/>
    <w:basedOn w:val="a0"/>
    <w:uiPriority w:val="99"/>
    <w:unhideWhenUsed/>
    <w:rsid w:val="009F3C7A"/>
    <w:rPr>
      <w:color w:val="0000FF"/>
      <w:u w:val="single"/>
    </w:rPr>
  </w:style>
  <w:style w:type="paragraph" w:customStyle="1" w:styleId="Default">
    <w:name w:val="Default"/>
    <w:uiPriority w:val="99"/>
    <w:qFormat/>
    <w:rsid w:val="009F3C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F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7CC4"/>
  </w:style>
  <w:style w:type="paragraph" w:styleId="ab">
    <w:name w:val="footer"/>
    <w:basedOn w:val="a"/>
    <w:link w:val="ac"/>
    <w:uiPriority w:val="99"/>
    <w:unhideWhenUsed/>
    <w:rsid w:val="005F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7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F515-4304-451C-801D-37123F83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Владимир</cp:lastModifiedBy>
  <cp:revision>4</cp:revision>
  <dcterms:created xsi:type="dcterms:W3CDTF">2025-05-15T11:44:00Z</dcterms:created>
  <dcterms:modified xsi:type="dcterms:W3CDTF">2025-05-15T12:23:00Z</dcterms:modified>
</cp:coreProperties>
</file>