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00" w:rsidRPr="006C4E00" w:rsidRDefault="006C4E00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E00">
        <w:rPr>
          <w:rFonts w:ascii="Times New Roman" w:hAnsi="Times New Roman" w:cs="Times New Roman"/>
          <w:b/>
          <w:i/>
          <w:sz w:val="24"/>
          <w:szCs w:val="24"/>
        </w:rPr>
        <w:t>У Яньцю</w:t>
      </w:r>
      <w:r w:rsidRPr="006C4E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4E00" w:rsidRDefault="006C4E00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к.и.н.,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6C4E00">
        <w:rPr>
          <w:rFonts w:ascii="Times New Roman" w:hAnsi="Times New Roman" w:cs="Times New Roman"/>
          <w:sz w:val="24"/>
          <w:szCs w:val="24"/>
        </w:rPr>
        <w:t>афедры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C4E00">
        <w:rPr>
          <w:rFonts w:ascii="Times New Roman" w:hAnsi="Times New Roman" w:cs="Times New Roman"/>
          <w:sz w:val="24"/>
          <w:szCs w:val="24"/>
        </w:rPr>
        <w:t>усского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языка,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Чжэцзянский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языков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Юэсю</w:t>
      </w:r>
    </w:p>
    <w:p w:rsidR="006C4E00" w:rsidRPr="006C4E00" w:rsidRDefault="006C4E00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4E00">
        <w:rPr>
          <w:rFonts w:ascii="Times New Roman" w:hAnsi="Times New Roman" w:cs="Times New Roman"/>
          <w:b/>
          <w:i/>
          <w:sz w:val="24"/>
          <w:szCs w:val="24"/>
        </w:rPr>
        <w:t>Абуева Н.А.</w:t>
      </w:r>
    </w:p>
    <w:p w:rsidR="006C4E00" w:rsidRPr="006C4E00" w:rsidRDefault="006C4E00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д.полит.н.,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визит-профессор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Чжэцзянского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языков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Юэсю,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Высшей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«Медиа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межкультурная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коммуникация»,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Туран</w:t>
      </w:r>
    </w:p>
    <w:p w:rsidR="006C4E00" w:rsidRPr="006C4E00" w:rsidRDefault="006C4E00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AFE" w:rsidRPr="006C4E00" w:rsidRDefault="006C4E00" w:rsidP="006C4E00">
      <w:pPr>
        <w:spacing w:after="0"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E00">
        <w:rPr>
          <w:rFonts w:ascii="Times New Roman" w:hAnsi="Times New Roman" w:cs="Times New Roman"/>
          <w:b/>
          <w:sz w:val="24"/>
          <w:szCs w:val="24"/>
        </w:rPr>
        <w:t>75-ЛЕТНЕЕ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ВЗАИМОВЫГОДНОЕ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ВНЕШНЕПОЛИТИЧЕСКОЕ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СОТРУДНИЧЕСТВО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МЕЖДУ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КИТАЙСКОЙ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НАРОДНОЙ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РЕСПУБЛИКОЙ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РОССИЙСКОЙ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sz w:val="24"/>
          <w:szCs w:val="24"/>
        </w:rPr>
        <w:t>ФЕДЕРАЦИЕЙ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13" w:rsidRPr="006C4E00" w:rsidRDefault="003D721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4E00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6C4E00" w:rsidRPr="006C4E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Cs/>
          <w:i/>
          <w:sz w:val="24"/>
          <w:szCs w:val="24"/>
        </w:rPr>
        <w:t>внешнеполитическое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Cs/>
          <w:i/>
          <w:sz w:val="24"/>
          <w:szCs w:val="24"/>
        </w:rPr>
        <w:t>сотрудничество,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Cs/>
          <w:i/>
          <w:sz w:val="24"/>
          <w:szCs w:val="24"/>
        </w:rPr>
        <w:t>Китайская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Cs/>
          <w:i/>
          <w:sz w:val="24"/>
          <w:szCs w:val="24"/>
        </w:rPr>
        <w:t>Народная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Cs/>
          <w:i/>
          <w:sz w:val="24"/>
          <w:szCs w:val="24"/>
        </w:rPr>
        <w:t>Республика,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Cs/>
          <w:i/>
          <w:sz w:val="24"/>
          <w:szCs w:val="24"/>
        </w:rPr>
        <w:t>Российская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Cs/>
          <w:i/>
          <w:sz w:val="24"/>
          <w:szCs w:val="24"/>
        </w:rPr>
        <w:t>Федерация</w:t>
      </w:r>
      <w:r w:rsidR="00E574F5" w:rsidRPr="006C4E00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i/>
          <w:sz w:val="24"/>
          <w:szCs w:val="24"/>
        </w:rPr>
        <w:t>стратегическое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i/>
          <w:sz w:val="24"/>
          <w:szCs w:val="24"/>
        </w:rPr>
        <w:t>партнерство,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i/>
          <w:sz w:val="24"/>
          <w:szCs w:val="24"/>
        </w:rPr>
        <w:t>главы</w:t>
      </w:r>
      <w:r w:rsidR="006C4E00" w:rsidRPr="006C4E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i/>
          <w:sz w:val="24"/>
          <w:szCs w:val="24"/>
        </w:rPr>
        <w:t>государств</w:t>
      </w:r>
      <w:r w:rsidRPr="006C4E0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733AFE" w:rsidRPr="006C4E00" w:rsidRDefault="00733AFE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E00" w:rsidRDefault="002C4859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E0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43379B" w:rsidRPr="006C4E00" w:rsidRDefault="002C4859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Китайская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Народная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Республика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(КНР)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Российская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Федерация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(РФ)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являются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двумя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крупнейшими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странами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значительным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политическим,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потенциалом.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взаимоотношения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охватывают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более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75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лет,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начиная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установления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дипломатических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связей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Китаем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Советским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Союзом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1949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году.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43379B" w:rsidRPr="006C4E00" w:rsidRDefault="002C4859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lastRenderedPageBreak/>
        <w:t>За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этот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период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–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Китайская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Народная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Республика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(КНР)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Российская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Федерация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(РФ)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–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прошли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через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различные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этапы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взаимодействия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–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тесного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братских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глубоких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идеологических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разногласий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геополитической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конкуренции</w:t>
      </w:r>
      <w:r w:rsidR="0043379B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2C4859" w:rsidRPr="006C4E00" w:rsidRDefault="002C4859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Сегодня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внешнеполитические,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внешнеэкономические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характеризуются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стратегическим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партнерством,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охватывающим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широкий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спектр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областей,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экономику,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политику,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оборону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культуру.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равноправные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взаимовыгодные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имеют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ключевое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значение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только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всей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системы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отношений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учитывая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влияние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глобальную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экономику,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региональную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стабильность.</w:t>
      </w:r>
    </w:p>
    <w:p w:rsidR="002C4859" w:rsidRPr="006C4E00" w:rsidRDefault="002C4859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связи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являются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одной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из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самых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динамично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развивающихся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областей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двустороннего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последние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наблюдается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значительный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торговли,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инвестиций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проектов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сферах,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энергетика,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инфраструктура.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Торговый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оборот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странами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достиг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рекордных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значений,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превысив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200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миллиардов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долларов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2023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году,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свидетельствует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степени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заинтересованности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дополняемости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экономик</w:t>
      </w:r>
      <w:r w:rsidR="0043379B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2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Заметим,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темпы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товарооборота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странами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только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усиливаются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неуклонно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C7608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повышаются.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2C4859" w:rsidRPr="006C4E00" w:rsidRDefault="000C7608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Внешнеп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олитическое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основывается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общих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геостратегических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геополитических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интересах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сходных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взглядах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ключевые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вопросы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проблемы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траны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активно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взаимодействуют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рамках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Объединенных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Наций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(ООН),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Шанхайская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(ШОС)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БРИКС,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позволяет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координировать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свои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действия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усилия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обеспечении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глобальной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</w:t>
      </w:r>
      <w:r w:rsidR="0043379B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43379B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3"/>
      </w:r>
      <w:r w:rsidR="002C4859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Данные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только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субъекты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в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системе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отношений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площадки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равноправного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диалога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выработки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общих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позиций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решений.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Кроме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того,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участие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организациях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Шанхайская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(ШОС)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БРИКС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позволяет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четко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конструировать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пути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обеспечения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глобальной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также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активно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взаимовыгодное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целом,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реальному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сближению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2C4859" w:rsidRPr="006C4E00" w:rsidRDefault="002C4859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Оборонное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также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играет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роль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китайско-российских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отношениях.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учения,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военными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технологиями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координация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национальной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стратегического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партнерства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обеспечению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стабильности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Евразийском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регионе</w:t>
      </w:r>
      <w:r w:rsidR="0043379B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4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Несомненно,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национальная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очень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позволяет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сформировать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прочные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</w:t>
      </w:r>
      <w:r w:rsidR="00D364AB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2C4859" w:rsidRDefault="002C4859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гуманитарные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связи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себя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14B6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разнообразные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образования,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науки,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искусства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спорта.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мероприятия,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образовательные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программы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научные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исследования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дружбы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взаимопонимания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народами,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также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человеческого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капитала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Академическая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мобильность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обучающихся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растет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каждым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годом.</w:t>
      </w:r>
    </w:p>
    <w:p w:rsidR="0043379B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Исторический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контекст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внешнеполитического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двух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стран</w:t>
      </w:r>
    </w:p>
    <w:p w:rsidR="003C104F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После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окончания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Второй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мировой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войны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образования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Советский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Союз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стал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одним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из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первых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государств,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признавших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новое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правительство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Китая.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первые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после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образования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СССР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оказал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значительную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помощь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плане.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Были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подписаны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многочисленные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соглашения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различных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областях,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строительство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заводов,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обучение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специалистов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поставку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оборудования.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3C104F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Однако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1960-е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произошел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раскол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китайско-советских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отношениях,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вызванный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идеологическими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разногласиями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борьбой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лидерство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коммунистическом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движении.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Этот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период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"холодной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войны"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Китаем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СССР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продолжался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конца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1980-х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годов,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когда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Михаил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Горбачев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Дэн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Сяопин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начали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процесс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нормализации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отношений</w:t>
      </w:r>
      <w:r w:rsidR="003C104F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5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Новая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эра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китайско-российских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началась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1990-х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годах,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когда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стремились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реформам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интеграции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мировую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экономику.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Экономическое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РФ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Современные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связи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основаны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интересах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дополняемости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экономик.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является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крупнейшим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торговым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партнером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–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одним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из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главных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поставщиков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энергоносителей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Китая.</w:t>
      </w:r>
    </w:p>
    <w:p w:rsidR="003C104F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Китайские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ученые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Чжао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Юйин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Чэнь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Син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считают,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что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развитие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китайско-российской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торговли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до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2018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прошло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три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этапа,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именно: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3C104F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(1)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быстрая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стадия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развития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китайско-российской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торговли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1991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1993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год;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3C104F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(2)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1994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1998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год,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стадия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корректировки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колебаний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китайско-российской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торговли;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(3)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1999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2017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год,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стабильная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стадия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развития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китайско-российской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торговли</w:t>
      </w:r>
      <w:r w:rsidR="00CA1495" w:rsidRPr="006C4E0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footnoteReference w:id="6"/>
      </w:r>
    </w:p>
    <w:p w:rsidR="003C104F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Ключевыми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направлениями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являются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энергетика,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сельское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хозяйство,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инфраструктурные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проекты.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2014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был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подписан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исторический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контракт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поставку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российского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газа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"Силе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Сибири"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–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крупнейшему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газопроводу,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который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будет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обеспечива</w:t>
      </w:r>
      <w:r w:rsidR="00D364AB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поставки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природного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газа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протяжении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30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лет</w:t>
      </w:r>
      <w:r w:rsidR="003C104F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7"/>
      </w:r>
    </w:p>
    <w:p w:rsidR="000643A3" w:rsidRPr="006C4E00" w:rsidRDefault="00D364AB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Реализация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инфраструктурных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проектов,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высокоскоростные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железные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дороги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порты,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также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играет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роль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связях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двумя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странами.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2021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было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подписано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соглашение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строительстве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высокоскоростной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железной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дороги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Москвой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Пекином,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станет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шагом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транспортного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коридора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"Европа-Азия"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3C104F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8"/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Кроме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того,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активно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развивают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цифровой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экономики.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проекты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искусственного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интеллекта,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биотехнологий,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космоса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информационных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технологическому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2022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договорились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создании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научно-исследовательского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центра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разработке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квантовых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станет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шагом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технологического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партнерства</w:t>
      </w:r>
      <w:r w:rsidR="00B90004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9"/>
      </w:r>
      <w:r w:rsidR="00786CDE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настоящее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время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китайско-российское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торгово-экономическое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демонстрир</w:t>
      </w:r>
      <w:r w:rsidR="00786CDE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ует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стабильную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="00786CDE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динамику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развития,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="00786CDE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оно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достигло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беспрецедентных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результатов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вноси</w:t>
      </w:r>
      <w:r w:rsidR="00786CDE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т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важный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вклад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дальнейшее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развитие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всеобъемлющего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стратегического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Китаем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Россией.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="00786CDE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П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ерспективы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китайско-российского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торгово-экономического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огромны,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еще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есть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место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значительного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улучшения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уровня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экономического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торгового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двумя</w:t>
      </w:r>
      <w:r w:rsid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странами.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также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демонстрирует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впечатляющие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результаты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аграрном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секторе.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экспортирует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пшеницу,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мясо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молочные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продукты,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помогает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обеспечить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продовольственную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Китая.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свою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очередь,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инвестирует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российские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агр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проекты,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модернизации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сельского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хозяйства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России</w:t>
      </w:r>
      <w:r w:rsidR="00CA1495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0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3D721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3D721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внешнеэкономическое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3D721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3D721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весьма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3D721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выгодно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3D721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3D721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3D721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стран.</w:t>
      </w:r>
    </w:p>
    <w:p w:rsidR="00786CDE" w:rsidRDefault="000643A3" w:rsidP="00786CDE">
      <w:pPr>
        <w:spacing w:after="0" w:line="36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Таблица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1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Основные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показатели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экономического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сотрудничества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между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КНР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и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РФ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в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2023</w:t>
      </w:r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Style w:val="a3"/>
        <w:tblW w:w="0" w:type="auto"/>
        <w:tblLook w:val="04A0"/>
      </w:tblPr>
      <w:tblGrid>
        <w:gridCol w:w="4650"/>
        <w:gridCol w:w="4636"/>
      </w:tblGrid>
      <w:tr w:rsidR="000643A3" w:rsidRPr="00786CDE" w:rsidTr="006C4E00">
        <w:tc>
          <w:tcPr>
            <w:tcW w:w="4672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673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0643A3" w:rsidRPr="00786CDE" w:rsidTr="006C4E00">
        <w:tc>
          <w:tcPr>
            <w:tcW w:w="4672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4673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$200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</w:tr>
      <w:tr w:rsidR="000643A3" w:rsidRPr="00786CDE" w:rsidTr="006C4E00">
        <w:tc>
          <w:tcPr>
            <w:tcW w:w="4672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поставок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  <w:tc>
          <w:tcPr>
            <w:tcW w:w="4673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643A3" w:rsidRPr="00786CDE" w:rsidTr="006C4E00">
        <w:tc>
          <w:tcPr>
            <w:tcW w:w="4672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Китая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Россию</w:t>
            </w:r>
          </w:p>
        </w:tc>
        <w:tc>
          <w:tcPr>
            <w:tcW w:w="4673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$15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</w:tr>
      <w:tr w:rsidR="000643A3" w:rsidRPr="00786CDE" w:rsidTr="006C4E00">
        <w:tc>
          <w:tcPr>
            <w:tcW w:w="4672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4673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$5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</w:tr>
      <w:tr w:rsidR="000643A3" w:rsidRPr="00786CDE" w:rsidTr="006C4E00">
        <w:tc>
          <w:tcPr>
            <w:tcW w:w="4672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="006C4E00" w:rsidRPr="0078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4673" w:type="dxa"/>
          </w:tcPr>
          <w:p w:rsidR="000643A3" w:rsidRPr="00786CDE" w:rsidRDefault="000643A3" w:rsidP="0078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643A3" w:rsidRPr="006C4E00" w:rsidRDefault="003D721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Внешнеп</w:t>
      </w:r>
      <w:r w:rsidR="000643A3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олитическое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оборонное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5E6FBB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5E6FBB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FE17ED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РФ</w:t>
      </w:r>
    </w:p>
    <w:p w:rsidR="000643A3" w:rsidRPr="006C4E00" w:rsidRDefault="003D721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Внешнеп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олитическое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характеризуется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активным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взаимодействием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арене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согласованностью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позиций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ключевым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мировым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вопросам.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активно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взаимодействуют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рамках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Объединенных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Наций,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Шанхайская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(ШОС)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БРИКС.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выступают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многополярный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миропорядок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противодействие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гегемонии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западных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Политические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лидеры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многим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ключевым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вопросам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проблемам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имеют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общность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5473C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взглядов.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учения,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военными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технологиями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координация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действий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сфере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стратегического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партнерства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странами.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последние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наблюдается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объема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военно-технического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поставки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российской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техники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вооружений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2019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провели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учения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"Восток-2019",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которые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стали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крупнейшими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истории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двустороннего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</w:t>
      </w:r>
      <w:r w:rsidR="00B90004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1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учения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продемонстрировали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уровень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взаимодействия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7A3D4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7A3D4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7A3D4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сфере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готовность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7A3D46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дальнейшим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действиям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случае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необходимости.</w:t>
      </w:r>
    </w:p>
    <w:p w:rsidR="000643A3" w:rsidRPr="006C4E00" w:rsidRDefault="003D721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сфере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также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опытом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информацией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сфере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кибербезопасности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противодействия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терроризму.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активно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сотрудничают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рамках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ШОС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вопросам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борьбы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терроризмом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экстремизмом,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стабильности</w:t>
      </w:r>
      <w:r w:rsidR="00B90004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2"/>
      </w:r>
      <w:r w:rsidR="000643A3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Культурные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гуманитарные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связи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5E6FBB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5E6FBB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="005E6FBB"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РФ</w:t>
      </w:r>
    </w:p>
    <w:p w:rsidR="000643A3" w:rsidRPr="006C4E00" w:rsidRDefault="005E6FBB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Китайский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ученый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Хэ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Фан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считает,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что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за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последние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30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лет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при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совместном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содействии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глав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государств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Цзиньпина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В.В.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Путина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партнёрство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между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Китаем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Россией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неуклонно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растёт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всё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более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углубляется,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расширяется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рамках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этого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партнерства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между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двумя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сторонами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активно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осуществляются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межличностные,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культурные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обмены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сотрудничество,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которые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принесли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результаты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стали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важной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частью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всеобъемлющего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стратегического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партнерства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России.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Межличностные,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культурные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обмены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сотрудничество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только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укрепляют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социальную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основу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китайско-российского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всеобъемлющего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стратегического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партнерства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координации,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приносят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всестороннюю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пользу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отношениям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между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двумя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странами,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подают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пример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цивилизованного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диалога</w:t>
      </w:r>
      <w:r w:rsidR="00FE17E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между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крупными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странами,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также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способств</w:t>
      </w:r>
      <w:r w:rsidR="00FE17E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ует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продвижению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мира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Партнёрство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между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Китаем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Россией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вн</w:t>
      </w:r>
      <w:r w:rsidR="003D721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осит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незаменимый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вклад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построение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E17ED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человечес</w:t>
      </w:r>
      <w:r w:rsidR="00FE17E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кого</w:t>
      </w:r>
      <w:r w:rsidR="00FE17ED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сообщества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единой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судьбой</w:t>
      </w:r>
      <w:r w:rsidR="00CA1495" w:rsidRPr="006C4E00">
        <w:rPr>
          <w:rStyle w:val="aa"/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footnoteReference w:id="13"/>
      </w:r>
      <w:r w:rsidR="000643A3" w:rsidRP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6C4E0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образования,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науки,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искусства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спорта.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роль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процессе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играют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институты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Конфуция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российские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центры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Китае.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Ежегодно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проводятся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многочисленные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мероприятия,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фестивали,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выставки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программы,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способствующие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взаимопониманию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дружбы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народами.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5E6FBB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Образовательные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программы,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студентами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научные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исследования,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также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двусторонних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связей.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Сотни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студентов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ежегодно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обучаются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российских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университетах,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российские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студенты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получают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возможность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изучать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китайский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язык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F46747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4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проекты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науки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создание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исследовательских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лабораторий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проведение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научных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конференций,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научного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потенциала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стран.</w:t>
      </w:r>
    </w:p>
    <w:p w:rsidR="005E6FBB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Кроме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того,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туризма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спортивных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обменов.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2020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году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подписали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соглашение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безвизовом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режиме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туристов,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способствовало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увеличению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туристических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потоков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странами</w:t>
      </w:r>
      <w:r w:rsidR="005E6FBB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5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AB5890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спортивные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мероприятия,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матчи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футболу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хоккею,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также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участие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спортсменов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соревнованиях,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укрепляют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дружбу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взаимопонимание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народами</w:t>
      </w:r>
      <w:r w:rsidR="00F46747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6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Рекомендации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анализ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Анализируя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текущее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состояние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китайско-российских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можно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выделить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несколько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ключевых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направлений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дальнейшего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углубления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сотрудничества: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инфраструктуры.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Строительство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новых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транспортных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коридоров,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высокоскоростные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железные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дороги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автодороги,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будет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способствовать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росту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торгового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оборота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инвестиционной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активности.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инфраструктурные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проекты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помогут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создать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новые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рабочие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места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улучшить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положение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регионов.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партнерство.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искусственный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интеллект,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квантовые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космические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исследования,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позволит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обеим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странам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занимать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лидирующие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позиции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мировом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технологическом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Создание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научно-исследовательских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центров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лабораторий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станет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шагом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пути</w:t>
      </w:r>
      <w:r w:rsidR="00F46747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7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программ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образовательные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проекты,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студентами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преподавателями,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также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проведение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мероприятий,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будет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способствовать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дружбы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взаимопонимания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народами.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Поддержка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институтов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Конфуция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российских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центров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играет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роль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процессе</w:t>
      </w:r>
      <w:r w:rsidR="005E6FBB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8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Экологическое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усилия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охраны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окружающей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среды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борьбы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изменением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климата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могут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направлением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двустороннего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опытом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технологиями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области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возобновляемых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источников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энергии,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сокращения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выбросов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парниковых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газов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управления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природными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ресурсами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будет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способствовать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устойчивому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усилия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борьбе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терроризмом,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экстремизмом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киберугрозами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глобальной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Расширение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рамках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ШОС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других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будет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способствовать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созданию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эффективной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системы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коллективной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безопасности.</w:t>
      </w:r>
    </w:p>
    <w:p w:rsidR="00FE17ED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Заключение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протяжении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последних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75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лет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прошли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через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множество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испытаний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изменений,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однако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сегодня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они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являются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примером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стратегического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партнерства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взаимовыгодного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Экономические,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политические,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оборонные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связи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странами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стабильности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Евразийском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имеют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значительное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влияние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глобальную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политику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экономику.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Экономическое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демонстрирует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впечатляющие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результаты,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отражается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значительном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росте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торгового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оборота,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увеличении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инвестиций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реализации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крупных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проектов.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Важную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роль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процессе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играют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сферы,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энергетика,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высокие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инфраструктура,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где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активно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взаимодействуют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дополняют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друг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друга</w:t>
      </w:r>
      <w:r w:rsidR="009B6679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AB5890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Политическое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основывается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общих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интересах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стремлении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многополярному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миропорядку.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усилия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рамках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международных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организаций,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таких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ООН,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ШОС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БРИКС,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координации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действий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обеспечении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глобальной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Оборонное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включающее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учения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военными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технологиями,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укрепляет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стратегическое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партнерство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обеспечивает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стабильность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Евразийском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регионе</w:t>
      </w:r>
      <w:r w:rsidR="009B6679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0643A3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гуманитарные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связи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способствуют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дружбы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взаимопонимания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народами.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Образовательные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программы,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мероприятия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научные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исследования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создают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прочную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основу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долгосрочного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человеческого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капитала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странах.</w:t>
      </w:r>
    </w:p>
    <w:p w:rsidR="00CA1495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Анализируя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текущее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состояние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китайско-российских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можно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выделить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несколько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ключевых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направлений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дальнейшего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углубления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сотрудничества.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инфраструктуры,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укрепление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технологического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партнерства,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увеличение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культурного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обмена,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экологическое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усиление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—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все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эти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аспекты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могут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способствовать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дальнейшему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двусторонних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обеспечению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устойчивого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роста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процветания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</w:t>
      </w:r>
      <w:r w:rsidR="005E6FBB" w:rsidRPr="006C4E00">
        <w:rPr>
          <w:rStyle w:val="aa"/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footnoteReference w:id="19"/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1495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заключение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следует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отметить,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внешнеполитические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взаимовыгодные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равноправные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между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КНР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РФ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имеют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огромное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значение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только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для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всей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мировой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системы.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3C104F" w:rsidRPr="006C4E00" w:rsidRDefault="000643A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</w:pP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Взаимное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доверие,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уважение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стремление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внешнеполитическому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сотрудничеству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диалогу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позволяют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России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Китаю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решать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совместные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задачи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противостоять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современным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вызовам.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будущем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можно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ожидать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дальнейшего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углубления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расширения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двусторонних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CA1495"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внешнеполитических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отношений,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что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будет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способствовать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развитию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процветанию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обеих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стран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обеспечению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глобальной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стабильности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и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>безопасности.</w:t>
      </w:r>
      <w:r w:rsidR="006C4E00">
        <w:rPr>
          <w:rFonts w:ascii="Times New Roman" w:eastAsia="FangSong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643A3" w:rsidRPr="006C4E00" w:rsidRDefault="003D7213" w:rsidP="006C4E0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E00">
        <w:rPr>
          <w:rFonts w:ascii="Times New Roman" w:hAnsi="Times New Roman" w:cs="Times New Roman"/>
          <w:bCs/>
          <w:sz w:val="24"/>
          <w:szCs w:val="24"/>
        </w:rPr>
        <w:t>Таким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E00">
        <w:rPr>
          <w:rFonts w:ascii="Times New Roman" w:hAnsi="Times New Roman" w:cs="Times New Roman"/>
          <w:bCs/>
          <w:sz w:val="24"/>
          <w:szCs w:val="24"/>
        </w:rPr>
        <w:t>образом,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75-летнее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внешнеполитическое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сотрудничество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между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Китайской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Народной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Республикой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и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495" w:rsidRPr="006C4E00">
        <w:rPr>
          <w:rFonts w:ascii="Times New Roman" w:hAnsi="Times New Roman" w:cs="Times New Roman"/>
          <w:bCs/>
          <w:sz w:val="24"/>
          <w:szCs w:val="24"/>
        </w:rPr>
        <w:t>Федерацией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укрепляется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на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равноправной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и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взаимовыгодной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основе.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Дружба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и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добрососедство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двух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крупных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государств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6679">
        <w:rPr>
          <w:rFonts w:ascii="Times New Roman" w:hAnsi="Times New Roman" w:cs="Times New Roman"/>
          <w:bCs/>
          <w:sz w:val="24"/>
          <w:szCs w:val="24"/>
        </w:rPr>
        <w:t>–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это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яркий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пример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позитивного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конструирования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внешнеполитических</w:t>
      </w:r>
      <w:r w:rsidR="006C4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4F5" w:rsidRPr="006C4E00">
        <w:rPr>
          <w:rFonts w:ascii="Times New Roman" w:hAnsi="Times New Roman" w:cs="Times New Roman"/>
          <w:bCs/>
          <w:sz w:val="24"/>
          <w:szCs w:val="24"/>
        </w:rPr>
        <w:t>отношений.</w:t>
      </w:r>
    </w:p>
    <w:sectPr w:rsidR="000643A3" w:rsidRPr="006C4E00" w:rsidSect="006C4E00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00" w:rsidRDefault="006C4E00">
      <w:pPr>
        <w:spacing w:line="240" w:lineRule="auto"/>
      </w:pPr>
      <w:r>
        <w:separator/>
      </w:r>
    </w:p>
  </w:endnote>
  <w:endnote w:type="continuationSeparator" w:id="0">
    <w:p w:rsidR="006C4E00" w:rsidRDefault="006C4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E00" w:rsidRPr="006C4E00" w:rsidRDefault="006C4E00" w:rsidP="006C4E0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4E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4E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4E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667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C4E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00" w:rsidRDefault="006C4E00">
      <w:pPr>
        <w:spacing w:after="0"/>
      </w:pPr>
      <w:r>
        <w:separator/>
      </w:r>
    </w:p>
  </w:footnote>
  <w:footnote w:type="continuationSeparator" w:id="0">
    <w:p w:rsidR="006C4E00" w:rsidRDefault="006C4E00">
      <w:pPr>
        <w:spacing w:after="0"/>
      </w:pPr>
      <w:r>
        <w:continuationSeparator/>
      </w:r>
    </w:p>
  </w:footnote>
  <w:footnote w:id="1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4E00">
        <w:rPr>
          <w:rFonts w:ascii="Times New Roman" w:eastAsia="FangSong" w:hAnsi="Times New Roman" w:cs="Times New Roman"/>
          <w:i/>
          <w:sz w:val="20"/>
          <w:szCs w:val="20"/>
          <w:shd w:val="clear" w:color="auto" w:fill="FFFFFF"/>
          <w:lang w:eastAsia="zh-CN"/>
        </w:rPr>
        <w:t>Линь, Я.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Нормализация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китайско-советских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отношений: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Дэн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Сяопин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Михаил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Горбачев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Журнал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международных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исследований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. –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1991.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–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4.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45-58.</w:t>
      </w:r>
    </w:p>
  </w:footnote>
  <w:footnote w:id="2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Торгово-экономическое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сотрудничество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Китая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/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Внешэкономиздат.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2023.</w:t>
      </w:r>
    </w:p>
  </w:footnote>
  <w:footnote w:id="3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Российско-китайское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политическое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взаимодействие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на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международной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арене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Дипломатический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вестник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. 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2022.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3.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5-10.</w:t>
      </w:r>
    </w:p>
  </w:footnote>
  <w:footnote w:id="4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Военно-техническое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сотрудничество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Китая: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состояние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перспективы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Военная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мысль.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2023.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1.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22-28.</w:t>
      </w:r>
    </w:p>
  </w:footnote>
  <w:footnote w:id="5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364AB">
        <w:rPr>
          <w:rFonts w:ascii="Times New Roman" w:eastAsia="FangSong" w:hAnsi="Times New Roman" w:cs="Times New Roman"/>
          <w:i/>
          <w:sz w:val="20"/>
          <w:szCs w:val="20"/>
          <w:shd w:val="clear" w:color="auto" w:fill="FFFFFF"/>
          <w:lang w:eastAsia="zh-CN"/>
        </w:rPr>
        <w:t>Линь, Я.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Нормализация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китайско-советских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отношений: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Дэн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Сяопин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Михаил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Горбачев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Журнал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международных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исследований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. 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1991.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4.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45-58.</w:t>
      </w:r>
    </w:p>
  </w:footnote>
  <w:footnote w:id="6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364AB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zh-CN"/>
        </w:rPr>
        <w:t>Чжао Юйин, Чэнь Син.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Анализ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состояния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развития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перспектив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китайско-российских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экономических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торговых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отношений,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внешнеэкономических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торговых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отношений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</w:rPr>
        <w:t>//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Внешнеэкономические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торговые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отношения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36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2018.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D364AB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№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8.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D364AB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С.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16.</w:t>
      </w:r>
    </w:p>
  </w:footnote>
  <w:footnote w:id="7">
    <w:p w:rsidR="006C4E00" w:rsidRPr="006C4E00" w:rsidRDefault="006C4E00" w:rsidP="006C4E0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C4E00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Газовый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контракт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России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Китая: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анализ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перспективы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Энергетическая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политика.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2014.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="00D364AB">
        <w:rPr>
          <w:rFonts w:ascii="Times New Roman" w:eastAsia="FangSong" w:hAnsi="Times New Roman" w:cs="Times New Roman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6.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12-19.</w:t>
      </w:r>
    </w:p>
  </w:footnote>
  <w:footnote w:id="8">
    <w:p w:rsidR="006C4E00" w:rsidRPr="006C4E00" w:rsidRDefault="006C4E00" w:rsidP="006C4E0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C4E00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Российско-китайское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политическое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взаимодействие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на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международной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арене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Дипломатический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="00786CDE">
        <w:rPr>
          <w:rFonts w:ascii="Times New Roman" w:eastAsia="FangSong" w:hAnsi="Times New Roman" w:cs="Times New Roman"/>
          <w:shd w:val="clear" w:color="auto" w:fill="FFFFFF"/>
          <w:lang w:eastAsia="zh-CN"/>
        </w:rPr>
        <w:t>вестник. –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2022.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="00786CDE">
        <w:rPr>
          <w:rFonts w:ascii="Times New Roman" w:eastAsia="FangSong" w:hAnsi="Times New Roman" w:cs="Times New Roman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3.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hd w:val="clear" w:color="auto" w:fill="FFFFFF"/>
          <w:lang w:eastAsia="zh-CN"/>
        </w:rPr>
        <w:t>5-10.</w:t>
      </w:r>
    </w:p>
  </w:footnote>
  <w:footnote w:id="9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Военно-техническое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сотрудничество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Китая: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состояние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перспективы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Военная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мысль.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786CDE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2023.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786CDE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 w:rsidR="00786CDE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1.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22-28.</w:t>
      </w:r>
    </w:p>
  </w:footnote>
  <w:footnote w:id="10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Культурное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сотрудничество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Китая: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история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современность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Русский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мир.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2021.</w:t>
      </w:r>
    </w:p>
  </w:footnote>
  <w:footnote w:id="11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Военно-техническое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сотрудничество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Китая: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состояние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перспективы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Военная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мысль.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2023.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FE17ED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1.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22-28.</w:t>
      </w:r>
    </w:p>
  </w:footnote>
  <w:footnote w:id="12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Взаимодействие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сфере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кибербезопасности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Информационная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безопасность.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FE17ED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2021.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FE17ED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4.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18-24.</w:t>
      </w:r>
    </w:p>
  </w:footnote>
  <w:footnote w:id="13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7ED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zh-CN"/>
        </w:rPr>
        <w:t>Хэ Фан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Гуманистические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обмены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сотрудничество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в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рамках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китайско-российского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партнёрства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/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/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Цзяюань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. –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2021.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№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С.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46.</w:t>
      </w:r>
    </w:p>
  </w:footnote>
  <w:footnote w:id="14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Образовательные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программы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обмены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между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Россией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Китаем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Образование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наука.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2020.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FE17ED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№2.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33-40.</w:t>
      </w:r>
    </w:p>
  </w:footnote>
  <w:footnote w:id="15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Туристические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обмены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между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Россией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Китаем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Туризм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гостеприимство.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2020.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FE17ED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3.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29-34.</w:t>
      </w:r>
    </w:p>
  </w:footnote>
  <w:footnote w:id="16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Спортивные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связи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России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Спорт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общество.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FE17ED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2019.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FE17ED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45-50.</w:t>
      </w:r>
    </w:p>
  </w:footnote>
  <w:footnote w:id="17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FE17ED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zh-CN"/>
        </w:rPr>
        <w:t>Чжао Юин, Чэнь Син.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Анализ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состояния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развития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перспектив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китайско-российских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экономических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торговых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отношений,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внешнеэкономических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торговых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отношений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//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Внешнеэкономические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торговые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отношения.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2018.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№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8.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С.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16.</w:t>
      </w:r>
    </w:p>
  </w:footnote>
  <w:footnote w:id="18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7ED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zh-CN"/>
        </w:rPr>
        <w:t>Хэ Фан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Гуманистические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обмены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сотрудничество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в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рамках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китайско-российского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партнёрства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//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Цзяюань.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2021.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–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№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FE17ED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С.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46.</w:t>
      </w:r>
    </w:p>
  </w:footnote>
  <w:footnote w:id="19">
    <w:p w:rsidR="006C4E00" w:rsidRPr="006C4E00" w:rsidRDefault="006C4E00" w:rsidP="006C4E00">
      <w:pPr>
        <w:pStyle w:val="a4"/>
        <w:spacing w:after="0" w:line="240" w:lineRule="auto"/>
        <w:ind w:left="0" w:firstLine="709"/>
        <w:mirrorIndents/>
        <w:jc w:val="both"/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</w:pPr>
      <w:r w:rsidRPr="006C4E00">
        <w:rPr>
          <w:rStyle w:val="a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9B6679">
        <w:rPr>
          <w:rFonts w:ascii="Times New Roman" w:hAnsi="Times New Roman" w:cs="Times New Roman"/>
          <w:i/>
          <w:color w:val="000000" w:themeColor="text1"/>
          <w:sz w:val="20"/>
          <w:szCs w:val="20"/>
          <w:lang w:eastAsia="zh-CN"/>
        </w:rPr>
        <w:t>Чжао Юин, Чэнь Син.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Анализ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состояния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развития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перспектив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китайско-российских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экономических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торговых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отношений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//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Внешнеэкономические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и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торговые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отношения.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2018.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9B6679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№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8.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–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С.</w:t>
      </w:r>
      <w:r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Pr="006C4E00">
        <w:rPr>
          <w:rFonts w:ascii="Times New Roman" w:eastAsia="FangSong" w:hAnsi="Times New Roman" w:cs="Times New Roman"/>
          <w:sz w:val="20"/>
          <w:szCs w:val="20"/>
          <w:shd w:val="clear" w:color="auto" w:fill="FFFFFF"/>
          <w:lang w:eastAsia="zh-CN"/>
        </w:rPr>
        <w:t>16.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00" w:rsidRPr="006C4E00" w:rsidRDefault="006C4E00" w:rsidP="006C4E00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421D"/>
    <w:multiLevelType w:val="hybridMultilevel"/>
    <w:tmpl w:val="479EC916"/>
    <w:lvl w:ilvl="0" w:tplc="DB62BA18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6C0E6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846D9A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4636E2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43F7A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64D52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83E00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E00BE2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BC9840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25C6D19"/>
    <w:multiLevelType w:val="hybridMultilevel"/>
    <w:tmpl w:val="C164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8186A"/>
    <w:multiLevelType w:val="hybridMultilevel"/>
    <w:tmpl w:val="A63CEF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935223A"/>
    <w:multiLevelType w:val="hybridMultilevel"/>
    <w:tmpl w:val="73C25170"/>
    <w:lvl w:ilvl="0" w:tplc="C5B0A972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98A15A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EB07E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048FE2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4BED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807676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0286E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AAA0C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895AE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DC5264B"/>
    <w:multiLevelType w:val="hybridMultilevel"/>
    <w:tmpl w:val="79EA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C0563"/>
    <w:multiLevelType w:val="multilevel"/>
    <w:tmpl w:val="420C056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391345C"/>
    <w:multiLevelType w:val="hybridMultilevel"/>
    <w:tmpl w:val="4FF4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05506C"/>
    <w:rsid w:val="D775AFA1"/>
    <w:rsid w:val="DFDF5BDC"/>
    <w:rsid w:val="DFFEA977"/>
    <w:rsid w:val="F29F64C9"/>
    <w:rsid w:val="F7FF3D60"/>
    <w:rsid w:val="000175C8"/>
    <w:rsid w:val="0005506C"/>
    <w:rsid w:val="000643A3"/>
    <w:rsid w:val="00097513"/>
    <w:rsid w:val="000C7608"/>
    <w:rsid w:val="001128F0"/>
    <w:rsid w:val="001140DD"/>
    <w:rsid w:val="00181830"/>
    <w:rsid w:val="001B3827"/>
    <w:rsid w:val="001C0296"/>
    <w:rsid w:val="001D1B09"/>
    <w:rsid w:val="00280D42"/>
    <w:rsid w:val="002C4859"/>
    <w:rsid w:val="003C104F"/>
    <w:rsid w:val="003D7213"/>
    <w:rsid w:val="0043379B"/>
    <w:rsid w:val="004B7B88"/>
    <w:rsid w:val="00537D10"/>
    <w:rsid w:val="005E6FBB"/>
    <w:rsid w:val="0065473C"/>
    <w:rsid w:val="00687992"/>
    <w:rsid w:val="006B2D83"/>
    <w:rsid w:val="006C4E00"/>
    <w:rsid w:val="006E2E18"/>
    <w:rsid w:val="00710316"/>
    <w:rsid w:val="00712AE1"/>
    <w:rsid w:val="00733AFE"/>
    <w:rsid w:val="00782C61"/>
    <w:rsid w:val="00786CDE"/>
    <w:rsid w:val="007A3D46"/>
    <w:rsid w:val="00804B36"/>
    <w:rsid w:val="009B6679"/>
    <w:rsid w:val="00A06B6F"/>
    <w:rsid w:val="00AB5890"/>
    <w:rsid w:val="00B175C4"/>
    <w:rsid w:val="00B90004"/>
    <w:rsid w:val="00BA78F2"/>
    <w:rsid w:val="00BC449C"/>
    <w:rsid w:val="00C14B66"/>
    <w:rsid w:val="00CA1495"/>
    <w:rsid w:val="00CD24E9"/>
    <w:rsid w:val="00D11CFF"/>
    <w:rsid w:val="00D20092"/>
    <w:rsid w:val="00D360F2"/>
    <w:rsid w:val="00D364AB"/>
    <w:rsid w:val="00D51362"/>
    <w:rsid w:val="00DD4076"/>
    <w:rsid w:val="00E574F5"/>
    <w:rsid w:val="00F46747"/>
    <w:rsid w:val="00FB1C18"/>
    <w:rsid w:val="00FE17ED"/>
    <w:rsid w:val="2FFF0EAB"/>
    <w:rsid w:val="393B64BB"/>
    <w:rsid w:val="6B7FE39B"/>
    <w:rsid w:val="77C9EBDA"/>
    <w:rsid w:val="7F72C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9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semiHidden/>
    <w:unhideWhenUsed/>
    <w:qFormat/>
    <w:rsid w:val="00687992"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87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992"/>
    <w:pPr>
      <w:ind w:left="720"/>
      <w:contextualSpacing/>
    </w:pPr>
  </w:style>
  <w:style w:type="paragraph" w:customStyle="1" w:styleId="A5">
    <w:name w:val="Основной текст A"/>
    <w:rsid w:val="001140D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a6">
    <w:name w:val="Body Text Indent"/>
    <w:link w:val="a7"/>
    <w:rsid w:val="00733AFE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08"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a7">
    <w:name w:val="Основной текст с отступом Знак"/>
    <w:basedOn w:val="a0"/>
    <w:link w:val="a6"/>
    <w:rsid w:val="00733AFE"/>
    <w:rPr>
      <w:rFonts w:eastAsia="Arial Unicode MS" w:cs="Arial Unicode MS"/>
      <w:color w:val="000000"/>
      <w:sz w:val="24"/>
      <w:szCs w:val="24"/>
      <w:u w:color="000000"/>
      <w:bdr w:val="nil"/>
      <w:lang w:val="ru-RU"/>
    </w:rPr>
  </w:style>
  <w:style w:type="paragraph" w:customStyle="1" w:styleId="s16mrcssattr">
    <w:name w:val="s16_mr_css_attr"/>
    <w:basedOn w:val="a"/>
    <w:rsid w:val="00FB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bumpedfont15mrcssattr">
    <w:name w:val="bumpedfont15_mr_css_attr"/>
    <w:basedOn w:val="a0"/>
    <w:rsid w:val="00FB1C18"/>
  </w:style>
  <w:style w:type="paragraph" w:customStyle="1" w:styleId="s22mrcssattr">
    <w:name w:val="s22_mr_css_attr"/>
    <w:basedOn w:val="a"/>
    <w:rsid w:val="00FB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a8">
    <w:name w:val="footnote text"/>
    <w:basedOn w:val="a"/>
    <w:link w:val="a9"/>
    <w:uiPriority w:val="99"/>
    <w:semiHidden/>
    <w:unhideWhenUsed/>
    <w:rsid w:val="0043379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79B"/>
    <w:rPr>
      <w:rFonts w:asciiTheme="minorHAnsi" w:eastAsiaTheme="minorHAnsi" w:hAnsiTheme="minorHAnsi" w:cstheme="minorBidi"/>
      <w:lang w:val="ru-RU" w:eastAsia="en-US"/>
    </w:rPr>
  </w:style>
  <w:style w:type="character" w:styleId="aa">
    <w:name w:val="footnote reference"/>
    <w:basedOn w:val="a0"/>
    <w:uiPriority w:val="99"/>
    <w:semiHidden/>
    <w:unhideWhenUsed/>
    <w:rsid w:val="0043379B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6C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C4E0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C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4E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4CAA0C-BE4A-430C-9C8C-C61515EB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3</cp:revision>
  <dcterms:created xsi:type="dcterms:W3CDTF">2024-12-26T16:19:00Z</dcterms:created>
  <dcterms:modified xsi:type="dcterms:W3CDTF">2025-01-15T13:48:00Z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2052-6.8.0.8846</vt:lpwstr>
  </property>
  <property fmtid="{D5CDD505-2E9C-101B-9397-08002B2CF9AE}" pid="3" name="ICV">
    <vt:lpwstr>715C228D391A1531BDDE6A66DC67FACE_42</vt:lpwstr>
  </property>
</Properties>
</file>