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93" w:rsidRDefault="00C41A7A" w:rsidP="00DA6B9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A6B9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Волосатова</w:t>
      </w:r>
      <w:r w:rsidR="00DA6B9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А.А.</w:t>
      </w:r>
    </w:p>
    <w:p w:rsidR="00C41A7A" w:rsidRPr="00DA6B93" w:rsidRDefault="00C41A7A" w:rsidP="00DA6B9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к.т.н.,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директора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НИИ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«Центр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экологической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промышленной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политики»</w:t>
      </w:r>
    </w:p>
    <w:p w:rsidR="00DA6B93" w:rsidRDefault="007B07EA" w:rsidP="00DA6B9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A6B9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Скобелев</w:t>
      </w:r>
      <w:r w:rsidR="00DA6B9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Д.О.</w:t>
      </w:r>
    </w:p>
    <w:p w:rsidR="007B07EA" w:rsidRPr="00DA6B93" w:rsidRDefault="007B07EA" w:rsidP="00DA6B9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д.э.н.,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директор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НИИ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«Центр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экологической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промышленной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политики»</w:t>
      </w:r>
    </w:p>
    <w:p w:rsidR="00DA6B93" w:rsidRDefault="00847F25" w:rsidP="00DA6B9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A6B9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Щелчков</w:t>
      </w:r>
      <w:r w:rsidR="00DA6B9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К.А.</w:t>
      </w:r>
    </w:p>
    <w:p w:rsidR="00847F25" w:rsidRPr="00DA6B93" w:rsidRDefault="00372641" w:rsidP="00DA6B9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к.т.н.,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аучно-консультационного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отдела</w:t>
      </w:r>
      <w:r w:rsid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НИИ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«Центр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экологической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промышленной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политики»</w:t>
      </w:r>
    </w:p>
    <w:p w:rsidR="00372641" w:rsidRPr="00DA6B93" w:rsidRDefault="00372641" w:rsidP="00DA6B9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D43E5" w:rsidRPr="00DA6B93" w:rsidRDefault="00C41A7A" w:rsidP="00DA6B9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ПОДХОДЫ</w:t>
      </w:r>
      <w:r w:rsid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</w:t>
      </w:r>
      <w:r w:rsid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ЗЕЛЕНОЙ</w:t>
      </w:r>
      <w:r w:rsid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ТРАНСФОРМАЦИИ</w:t>
      </w:r>
      <w:r w:rsid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СТРАН</w:t>
      </w:r>
      <w:r w:rsid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БРИКС</w:t>
      </w:r>
      <w:r w:rsid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ЕАЭС</w:t>
      </w:r>
    </w:p>
    <w:p w:rsidR="00392E42" w:rsidRPr="00DA6B93" w:rsidRDefault="00392E42" w:rsidP="00DA6B9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D43E5" w:rsidRPr="00DA6B93" w:rsidRDefault="000D43E5" w:rsidP="00DA6B9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A6B9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Ключевые</w:t>
      </w:r>
      <w:r w:rsidR="00DA6B93" w:rsidRPr="00DA6B9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слова: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234F8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трансформация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737F4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промышленности</w:t>
      </w:r>
      <w:r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41A7A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проекты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41A7A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устойчивого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41A7A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развития</w:t>
      </w:r>
      <w:r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наилучшие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доступные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технологии,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ресурсная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эффективность</w:t>
      </w:r>
      <w:r w:rsidR="00C41A7A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41A7A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экологические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41A7A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цены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372641" w:rsidRPr="00DA6B93" w:rsidRDefault="00372641" w:rsidP="00DA6B9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A6B9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Keywords</w:t>
      </w:r>
      <w:r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: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="00234F8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industrial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="00234F8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transformation</w:t>
      </w:r>
      <w:r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,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="00C41A7A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sustainable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="00C41A7A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development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="00392E42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projects,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best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available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techniques,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resource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efficiency</w:t>
      </w:r>
      <w:r w:rsidR="00C41A7A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,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="00C41A7A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environmental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="00C41A7A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prices</w:t>
      </w:r>
      <w:r w:rsidR="00DA6B93" w:rsidRPr="00DA6B9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.</w:t>
      </w:r>
    </w:p>
    <w:p w:rsidR="000D43E5" w:rsidRPr="00DA6B93" w:rsidRDefault="000D43E5" w:rsidP="00DA6B9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7A0B50" w:rsidRPr="00DA6B93" w:rsidRDefault="007A0B50" w:rsidP="00DA6B9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Введение</w:t>
      </w:r>
    </w:p>
    <w:p w:rsidR="00D80207" w:rsidRPr="00DA6B93" w:rsidRDefault="00D80207" w:rsidP="00DA6B9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Международное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объединение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БРИКС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момента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своего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создания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формировало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свой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образ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как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альтернативную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модель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мироустройства,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основанную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принципах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правилах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межгосударственного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сотрудничества,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исключающих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дискриминационные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иерархические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типы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отношений,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что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мотивировало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начале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2020-х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годов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ряд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развивающихся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6D4FE1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экономик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подать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официальные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заявки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(Египет,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Иран,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Саудовская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Аравия,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ОАЭ,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Эфиопия)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участие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объединении,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после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одобрения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которых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БРИКС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трансформировался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БРИКС+.</w:t>
      </w:r>
    </w:p>
    <w:p w:rsidR="00D80207" w:rsidRPr="00DA6B93" w:rsidRDefault="006D4FE1" w:rsidP="00DA6B9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Современные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тренды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сокращение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углеродоемкости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продукции,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снижение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негативного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воздействия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хозяйственной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деятельности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человека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окружающую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среду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возвращение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промышленный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экономический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оборот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веществ,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материалов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сырья,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которые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ранее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рассматривались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только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качестве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отходов,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диктует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необходимость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трансформации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стандартной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линейной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экономики.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</w:p>
    <w:p w:rsidR="00D80207" w:rsidRPr="00DA6B93" w:rsidRDefault="006D4FE1" w:rsidP="00DA6B9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Подходы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к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«озеленению»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промышленной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деятельности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строятся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концепциях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повышения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ресурсной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экологической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эффективности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производства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которые,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свою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очередь,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находят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свое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применение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государствах-членах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БРИКС+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через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достижение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целей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устойчивого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развития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(ЦУР)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Организации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объединенных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наций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(ООН),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частности,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ЦУР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«Индустриализация,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инновация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инфраструктура»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(ЦУР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9);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«Ответственное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потребление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производство»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(ЦУР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12)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«Принятие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срочных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мер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борьбе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изменением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климата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его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последствиями»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(ЦУР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13)»,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тем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самым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стимулируя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международное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сотрудничество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таким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ключевым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направлениям,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как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технологическое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развитие,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энергетическая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инфраструктура,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охрана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окружающей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среды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изменение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80207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климата.</w:t>
      </w:r>
    </w:p>
    <w:p w:rsidR="00D80207" w:rsidRPr="00DA6B93" w:rsidRDefault="00D80207" w:rsidP="00DA6B9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Технологичность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экологичность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становятся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решающими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факторами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конкурентоспособности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национальных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экономик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новых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условиях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развития.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</w:p>
    <w:p w:rsidR="00D80207" w:rsidRPr="00DA6B93" w:rsidRDefault="00D80207" w:rsidP="00DA6B9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Российской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Федерации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с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2014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г.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развивается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экологическая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промышленная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политика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(ЭПП),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направленная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повышение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ресурсной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экологической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эффективности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н</w:t>
      </w:r>
      <w:r w:rsidR="006D4FE1"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="006D4FE1"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микро-,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="006D4FE1"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мезо-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="006D4FE1"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="006D4FE1"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макроуровнях</w:t>
      </w:r>
      <w:r w:rsidR="006D4FE1" w:rsidRPr="00DA6B93">
        <w:rPr>
          <w:rStyle w:val="af8"/>
          <w:rFonts w:ascii="Times New Roman" w:eastAsiaTheme="minorHAnsi" w:hAnsi="Times New Roman" w:cs="Times New Roman"/>
          <w:sz w:val="24"/>
          <w:szCs w:val="24"/>
          <w:lang w:eastAsia="ru-RU" w:bidi="ru-RU"/>
        </w:rPr>
        <w:footnoteReference w:id="1"/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.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основу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реализации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ЭПП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положена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концепция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наилучших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доступных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технологий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(НДТ),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представляющая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собой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приоритетное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применение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таких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технологических,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технических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организационных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решений,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которые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позволяют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промышленным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предприятиям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добиваться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высокой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ресурсной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экологической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эффективности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производства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экономически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целесообразными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методами.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</w:p>
    <w:p w:rsidR="00D80207" w:rsidRPr="00DA6B93" w:rsidRDefault="00D80207" w:rsidP="00DA6B9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</w:pP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Как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показывает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опыт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обсуждения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подходов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ЭПП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площадках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БРИКС+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Евразийского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экономического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союза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(ЕАЭС),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вопросы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повышения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ресурсной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эффективности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одновременного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снижения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негативного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воздействия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окружающую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среду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представляют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интерес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для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многих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государств,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том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числе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для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Китая,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Индии,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Казахстана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Беларуси</w:t>
      </w:r>
      <w:r w:rsidR="006D4FE1" w:rsidRPr="00DA6B93">
        <w:rPr>
          <w:rStyle w:val="af8"/>
          <w:rFonts w:ascii="Times New Roman" w:eastAsiaTheme="minorHAnsi" w:hAnsi="Times New Roman" w:cs="Times New Roman"/>
          <w:sz w:val="24"/>
          <w:szCs w:val="24"/>
          <w:lang w:eastAsia="ru-RU"/>
        </w:rPr>
        <w:footnoteReference w:id="2"/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 w:bidi="ru-RU"/>
        </w:rPr>
        <w:t>.</w:t>
      </w:r>
    </w:p>
    <w:p w:rsidR="00960D06" w:rsidRPr="00DA6B93" w:rsidRDefault="00960D06" w:rsidP="00DA6B9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Обсуждение</w:t>
      </w:r>
    </w:p>
    <w:p w:rsidR="000109E5" w:rsidRPr="00DA6B93" w:rsidRDefault="000109E5" w:rsidP="00DA6B9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настоящее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время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значительная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часть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проектов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эколого-технологической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модернизации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промышленности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осуществля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е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тся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России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рамках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отказа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устаревших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технологий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перехода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НДТ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за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счет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разработки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программ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повышения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экологической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эффективности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(ППЭЭ),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также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реализ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ации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проект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ов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направленных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повышение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ресурсной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эффективности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производства.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состоянию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апрель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2025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г.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Межведомственная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комиссия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рассмотрению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ППЭЭ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одобрила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260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проектов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,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суммарный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бюджет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которых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превышает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1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трлн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руб.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</w:p>
    <w:p w:rsidR="000109E5" w:rsidRPr="00DA6B93" w:rsidRDefault="000109E5" w:rsidP="00DA6B9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Оценку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зеленых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проектов,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претендующих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получение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мер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господдержки,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проводят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эксперты</w:t>
      </w:r>
      <w:r w:rsidRPr="00DA6B93">
        <w:rPr>
          <w:rStyle w:val="af8"/>
          <w:rFonts w:ascii="Times New Roman" w:eastAsiaTheme="minorHAnsi" w:hAnsi="Times New Roman" w:cs="Times New Roman"/>
          <w:sz w:val="24"/>
          <w:szCs w:val="24"/>
          <w:lang w:eastAsia="ru-RU"/>
        </w:rPr>
        <w:footnoteReference w:id="3"/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осуществляя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дофинансовую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оценку,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учитывающую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технологические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требования,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установленные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отраслевых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информационно-технических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справочниках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НДТ</w:t>
      </w:r>
      <w:r w:rsidR="005D7226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.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Представляется,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что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для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ответа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вопрос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об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эффективности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инвестиций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(тем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более,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субсидий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из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федерального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бюджета),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также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требуются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некие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реперные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точки,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референтные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значения,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которые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могли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бы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принимать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внимание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как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разработчики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проектов,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так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эксперты.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</w:p>
    <w:p w:rsidR="000109E5" w:rsidRPr="00DA6B93" w:rsidRDefault="000109E5" w:rsidP="00DA6B9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Международный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опыт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свидетельствует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том,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что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наряду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количественной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оценкой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потребления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сырья,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энергии,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воды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др.,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также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эмиссий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загрязняющих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веществ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натуральных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величинах,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оценку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проводят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денежном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выражении.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Особый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интерес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это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представляют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практические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руководства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экологическим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ценам,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разрабатываемые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некоторыми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исследовательскими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организациями</w:t>
      </w:r>
      <w:r w:rsidR="005D7226">
        <w:rPr>
          <w:rFonts w:ascii="Times New Roman" w:eastAsiaTheme="minorHAnsi" w:hAnsi="Times New Roman" w:cs="Times New Roman"/>
          <w:sz w:val="24"/>
          <w:szCs w:val="24"/>
          <w:lang w:eastAsia="ru-RU"/>
        </w:rPr>
        <w:t>.</w:t>
      </w:r>
      <w:r w:rsidRPr="00DA6B93">
        <w:rPr>
          <w:rStyle w:val="af8"/>
          <w:rFonts w:ascii="Times New Roman" w:eastAsiaTheme="minorHAnsi" w:hAnsi="Times New Roman" w:cs="Times New Roman"/>
          <w:sz w:val="24"/>
          <w:szCs w:val="24"/>
          <w:lang w:eastAsia="ru-RU"/>
        </w:rPr>
        <w:footnoteReference w:id="4"/>
      </w:r>
    </w:p>
    <w:p w:rsidR="008A6734" w:rsidRPr="00DA6B93" w:rsidRDefault="000109E5" w:rsidP="00DA6B9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Любое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промышленное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производство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представляет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собой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совокупность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процессов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преобразования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ресурсов,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сопровождающихся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негативным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воздействием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окружающую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среду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(НВОС),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есть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разные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вещества,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попадая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атмосферу,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воду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или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почву,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могут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способствовать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изменению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климата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(как,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например,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диоксид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углерода),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разрушать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озоновый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слой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(фреоны),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вызывать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D907BC">
        <w:rPr>
          <w:rFonts w:ascii="Times New Roman" w:eastAsiaTheme="minorHAnsi" w:hAnsi="Times New Roman" w:cs="Times New Roman"/>
          <w:sz w:val="24"/>
          <w:szCs w:val="24"/>
          <w:lang w:eastAsia="ru-RU"/>
        </w:rPr>
        <w:t>эв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трофикацию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водоемов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(фосфор)</w:t>
      </w:r>
      <w:r w:rsidR="008A6734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8A6734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8A6734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некоторые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8A6734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могут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8A6734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провоцировать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8A6734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целый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8A6734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комплекс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8A6734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изменений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8A6734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(диоксид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8A6734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серы)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.</w:t>
      </w:r>
    </w:p>
    <w:p w:rsidR="000109E5" w:rsidRPr="00DA6B93" w:rsidRDefault="008A6734" w:rsidP="00DA6B9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Поэтому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целесообразно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странам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БРИКС+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ЕАЭС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планировании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любой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промышленной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деятельности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осуществлять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оценку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жизненного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цикла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объекта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когда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потребление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ресурсов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НВОС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учитываются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протяжении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всей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цепочки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принципу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«от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колыбели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до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могилы»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или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до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возвращения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вто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ричных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ресурсов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производство</w:t>
      </w:r>
      <w:r w:rsidRPr="00DA6B93">
        <w:rPr>
          <w:rStyle w:val="af8"/>
          <w:rFonts w:ascii="Times New Roman" w:eastAsiaTheme="minorHAnsi" w:hAnsi="Times New Roman" w:cs="Times New Roman"/>
          <w:sz w:val="24"/>
          <w:szCs w:val="24"/>
          <w:lang w:eastAsia="ru-RU"/>
        </w:rPr>
        <w:footnoteReference w:id="5"/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.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</w:p>
    <w:p w:rsidR="000109E5" w:rsidRPr="00DA6B93" w:rsidRDefault="000109E5" w:rsidP="00DA6B9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Экологические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цены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находят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применение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сравнительном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анализе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взаимозаменяемых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видов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продукции,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альтернативных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технологических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решений,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подготовке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открытой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корпоративной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отчётности;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нередко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говорят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об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оценке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ущерба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или,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напротив,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выгоды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отказа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устаревшей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технологии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или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использования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8A6734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опасных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8A6734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веществ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8A6734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(табл</w:t>
      </w:r>
      <w:r w:rsidR="005D7226">
        <w:rPr>
          <w:rFonts w:ascii="Times New Roman" w:eastAsiaTheme="minorHAnsi" w:hAnsi="Times New Roman" w:cs="Times New Roman"/>
          <w:sz w:val="24"/>
          <w:szCs w:val="24"/>
          <w:lang w:eastAsia="ru-RU"/>
        </w:rPr>
        <w:t>.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8A6734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1)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.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</w:p>
    <w:p w:rsidR="000109E5" w:rsidRPr="00DA6B93" w:rsidRDefault="008A6734" w:rsidP="00DA6B9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Есть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вероятность,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что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экологические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цены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могут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быть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восприняты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как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попытка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узаконивания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неограниченной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эксп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луатации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природных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ресурсов,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когда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достаточная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цена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будет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уплачена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неким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загадочным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субъект</w:t>
      </w:r>
      <w:r w:rsidR="005D7226">
        <w:rPr>
          <w:rFonts w:ascii="Times New Roman" w:eastAsiaTheme="minorHAnsi" w:hAnsi="Times New Roman" w:cs="Times New Roman"/>
          <w:sz w:val="24"/>
          <w:szCs w:val="24"/>
          <w:lang w:eastAsia="ru-RU"/>
        </w:rPr>
        <w:t>о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следовательно,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истощение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природных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ресурсов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будет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казаться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оправданным.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Однако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следует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подчеркнуть,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что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экологические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цены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должны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использоваться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для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установления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ставок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каких-либо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платежей,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исключительно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для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учёта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воздействия,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которое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принятые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или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планируемые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решения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оказывают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или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могут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оказать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состояние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окружающей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среды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природных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ресурсов.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</w:p>
    <w:p w:rsidR="005D7226" w:rsidRPr="005D7226" w:rsidRDefault="000109E5" w:rsidP="005D722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Таблица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0109E5" w:rsidRPr="00DA6B93" w:rsidRDefault="000109E5" w:rsidP="00DA6B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Подходы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учёту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влияния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различных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факторов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здоровье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благосостояние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населения,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инфраструктуры,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запасы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природных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ресурсов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экосистемные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  <w:r w:rsidR="007D0BD8" w:rsidRPr="00DA6B93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footnoteReference w:id="6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1"/>
        <w:gridCol w:w="1587"/>
        <w:gridCol w:w="1588"/>
        <w:gridCol w:w="1587"/>
        <w:gridCol w:w="1588"/>
        <w:gridCol w:w="1588"/>
      </w:tblGrid>
      <w:tr w:rsidR="000109E5" w:rsidRPr="00DA6B93" w:rsidTr="007D0BD8">
        <w:trPr>
          <w:trHeight w:val="855"/>
        </w:trPr>
        <w:tc>
          <w:tcPr>
            <w:tcW w:w="1701" w:type="dxa"/>
            <w:shd w:val="clear" w:color="auto" w:fill="auto"/>
          </w:tcPr>
          <w:p w:rsidR="000109E5" w:rsidRPr="00DA6B93" w:rsidRDefault="00755179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pict>
                <v:line id="Straight Connector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.45pt" to="85.9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" strokecolor="black [3213]" strokeweight=".5pt">
                  <v:stroke joinstyle="miter"/>
                </v:line>
              </w:pict>
            </w:r>
            <w:r w:rsidR="005D7226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</w:t>
            </w:r>
            <w:r w:rsidR="000109E5"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Реципиенты</w:t>
            </w:r>
          </w:p>
          <w:p w:rsidR="000109E5" w:rsidRPr="00DA6B93" w:rsidRDefault="00DA6B93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109E5"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Факторы</w:t>
            </w:r>
            <w:r w:rsidR="000109E5"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109E5"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воздействия</w:t>
            </w:r>
          </w:p>
        </w:tc>
        <w:tc>
          <w:tcPr>
            <w:tcW w:w="1587" w:type="dxa"/>
            <w:shd w:val="clear" w:color="auto" w:fill="auto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Здоровье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населения</w:t>
            </w:r>
          </w:p>
        </w:tc>
        <w:tc>
          <w:tcPr>
            <w:tcW w:w="1588" w:type="dxa"/>
            <w:shd w:val="clear" w:color="auto" w:fill="auto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Экосистемные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1587" w:type="dxa"/>
            <w:shd w:val="clear" w:color="auto" w:fill="auto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Здания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сооружения</w:t>
            </w:r>
          </w:p>
        </w:tc>
        <w:tc>
          <w:tcPr>
            <w:tcW w:w="1588" w:type="dxa"/>
            <w:shd w:val="clear" w:color="auto" w:fill="auto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Доступность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(запасы)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ресурсов</w:t>
            </w:r>
          </w:p>
        </w:tc>
        <w:tc>
          <w:tcPr>
            <w:tcW w:w="1588" w:type="dxa"/>
            <w:shd w:val="clear" w:color="auto" w:fill="auto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Благосостояние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населения</w:t>
            </w:r>
          </w:p>
        </w:tc>
      </w:tr>
      <w:tr w:rsidR="000109E5" w:rsidRPr="00DA6B93" w:rsidTr="007D0BD8">
        <w:trPr>
          <w:trHeight w:val="20"/>
        </w:trPr>
        <w:tc>
          <w:tcPr>
            <w:tcW w:w="1701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Деградация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озонового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слоя</w:t>
            </w:r>
          </w:p>
        </w:tc>
        <w:tc>
          <w:tcPr>
            <w:tcW w:w="1587" w:type="dxa"/>
            <w:shd w:val="clear" w:color="auto" w:fill="C5E0B3" w:themeFill="accent6" w:themeFillTint="66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Полный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учёт</w:t>
            </w:r>
          </w:p>
        </w:tc>
        <w:tc>
          <w:tcPr>
            <w:tcW w:w="1588" w:type="dxa"/>
            <w:shd w:val="clear" w:color="auto" w:fill="FFE599" w:themeFill="accent4" w:themeFillTint="66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Частичный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учёт</w:t>
            </w:r>
          </w:p>
        </w:tc>
        <w:tc>
          <w:tcPr>
            <w:tcW w:w="1587" w:type="dxa"/>
            <w:shd w:val="clear" w:color="auto" w:fill="F4B083" w:themeFill="accent2" w:themeFillTint="99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учитывается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данных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Пренебрежимо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мало</w:t>
            </w:r>
          </w:p>
        </w:tc>
      </w:tr>
      <w:tr w:rsidR="000109E5" w:rsidRPr="00DA6B93" w:rsidTr="007D0BD8">
        <w:trPr>
          <w:trHeight w:val="20"/>
        </w:trPr>
        <w:tc>
          <w:tcPr>
            <w:tcW w:w="1701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Изменение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климата</w:t>
            </w:r>
          </w:p>
        </w:tc>
        <w:tc>
          <w:tcPr>
            <w:tcW w:w="7938" w:type="dxa"/>
            <w:gridSpan w:val="5"/>
            <w:shd w:val="clear" w:color="auto" w:fill="B4C6E7" w:themeFill="accent5" w:themeFillTint="66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Учитываются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затраты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на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ограничение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выбросов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парниковых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газов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и,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в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ряде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случаев,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на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адаптацию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к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изменению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климата</w:t>
            </w:r>
          </w:p>
        </w:tc>
      </w:tr>
      <w:tr w:rsidR="000109E5" w:rsidRPr="00DA6B93" w:rsidTr="007D0BD8">
        <w:trPr>
          <w:trHeight w:val="20"/>
        </w:trPr>
        <w:tc>
          <w:tcPr>
            <w:tcW w:w="1701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мелких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частиц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воздухе</w:t>
            </w:r>
          </w:p>
        </w:tc>
        <w:tc>
          <w:tcPr>
            <w:tcW w:w="1587" w:type="dxa"/>
            <w:shd w:val="clear" w:color="auto" w:fill="C5E0B3" w:themeFill="accent6" w:themeFillTint="66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Полный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учёт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данных</w:t>
            </w:r>
          </w:p>
        </w:tc>
        <w:tc>
          <w:tcPr>
            <w:tcW w:w="1587" w:type="dxa"/>
            <w:shd w:val="clear" w:color="auto" w:fill="FFE599" w:themeFill="accent4" w:themeFillTint="66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Частичный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учёт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Пренебрежимо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мало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учитывается</w:t>
            </w:r>
          </w:p>
        </w:tc>
      </w:tr>
      <w:tr w:rsidR="000109E5" w:rsidRPr="00DA6B93" w:rsidTr="007D0BD8">
        <w:trPr>
          <w:trHeight w:val="20"/>
        </w:trPr>
        <w:tc>
          <w:tcPr>
            <w:tcW w:w="1701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фотохимических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окислителей</w:t>
            </w:r>
          </w:p>
        </w:tc>
        <w:tc>
          <w:tcPr>
            <w:tcW w:w="1587" w:type="dxa"/>
            <w:shd w:val="clear" w:color="auto" w:fill="C5E0B3" w:themeFill="accent6" w:themeFillTint="66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Полный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учёт</w:t>
            </w:r>
          </w:p>
        </w:tc>
        <w:tc>
          <w:tcPr>
            <w:tcW w:w="1588" w:type="dxa"/>
            <w:shd w:val="clear" w:color="auto" w:fill="C5E0B3" w:themeFill="accent6" w:themeFillTint="66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Полный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учёт</w:t>
            </w:r>
          </w:p>
        </w:tc>
        <w:tc>
          <w:tcPr>
            <w:tcW w:w="1587" w:type="dxa"/>
            <w:shd w:val="clear" w:color="auto" w:fill="FFE599" w:themeFill="accent4" w:themeFillTint="66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Частичный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учёт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Пренебрежимо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мало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данных</w:t>
            </w:r>
          </w:p>
        </w:tc>
      </w:tr>
      <w:tr w:rsidR="000109E5" w:rsidRPr="00DA6B93" w:rsidTr="007D0BD8">
        <w:trPr>
          <w:trHeight w:val="20"/>
        </w:trPr>
        <w:tc>
          <w:tcPr>
            <w:tcW w:w="1701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Ионизирующее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излучение</w:t>
            </w:r>
          </w:p>
        </w:tc>
        <w:tc>
          <w:tcPr>
            <w:tcW w:w="1587" w:type="dxa"/>
            <w:shd w:val="clear" w:color="auto" w:fill="auto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Полный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учёт</w:t>
            </w:r>
          </w:p>
        </w:tc>
        <w:tc>
          <w:tcPr>
            <w:tcW w:w="1588" w:type="dxa"/>
            <w:shd w:val="clear" w:color="auto" w:fill="auto"/>
          </w:tcPr>
          <w:p w:rsidR="008A6734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учитывается</w:t>
            </w:r>
          </w:p>
        </w:tc>
        <w:tc>
          <w:tcPr>
            <w:tcW w:w="1587" w:type="dxa"/>
            <w:shd w:val="clear" w:color="auto" w:fill="auto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данных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Пренебрежимо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мало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учитывается</w:t>
            </w:r>
          </w:p>
        </w:tc>
      </w:tr>
      <w:tr w:rsidR="000109E5" w:rsidRPr="00DA6B93" w:rsidTr="007D0BD8">
        <w:trPr>
          <w:trHeight w:val="20"/>
        </w:trPr>
        <w:tc>
          <w:tcPr>
            <w:tcW w:w="1701" w:type="dxa"/>
            <w:shd w:val="clear" w:color="auto" w:fill="auto"/>
          </w:tcPr>
          <w:p w:rsidR="000109E5" w:rsidRPr="00DA6B93" w:rsidRDefault="00755179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pict>
                <v:line id="_x0000_s1027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.45pt" to="85.9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" strokecolor="black [3213]" strokeweight=".5pt">
                  <v:stroke joinstyle="miter"/>
                </v:line>
              </w:pict>
            </w:r>
            <w:r w:rsidR="005D7226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</w:t>
            </w:r>
            <w:r w:rsidR="000109E5"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Реципиенты</w:t>
            </w:r>
          </w:p>
          <w:p w:rsidR="000109E5" w:rsidRPr="00DA6B93" w:rsidRDefault="00DA6B93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109E5"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Факторы</w:t>
            </w:r>
            <w:r w:rsidR="000109E5"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109E5"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воздействия</w:t>
            </w:r>
          </w:p>
        </w:tc>
        <w:tc>
          <w:tcPr>
            <w:tcW w:w="1587" w:type="dxa"/>
            <w:shd w:val="clear" w:color="auto" w:fill="auto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Здоровье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населения</w:t>
            </w:r>
          </w:p>
        </w:tc>
        <w:tc>
          <w:tcPr>
            <w:tcW w:w="1588" w:type="dxa"/>
            <w:shd w:val="clear" w:color="auto" w:fill="auto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Экосистемные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1587" w:type="dxa"/>
            <w:shd w:val="clear" w:color="auto" w:fill="auto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Здания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сооружения</w:t>
            </w:r>
          </w:p>
        </w:tc>
        <w:tc>
          <w:tcPr>
            <w:tcW w:w="1588" w:type="dxa"/>
            <w:shd w:val="clear" w:color="auto" w:fill="auto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Доступность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(запасы)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ресурсов</w:t>
            </w:r>
          </w:p>
        </w:tc>
        <w:tc>
          <w:tcPr>
            <w:tcW w:w="1588" w:type="dxa"/>
            <w:shd w:val="clear" w:color="auto" w:fill="auto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Благосостояние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населения</w:t>
            </w:r>
          </w:p>
        </w:tc>
      </w:tr>
      <w:tr w:rsidR="000109E5" w:rsidRPr="00DA6B93" w:rsidTr="007D0BD8">
        <w:trPr>
          <w:trHeight w:val="20"/>
        </w:trPr>
        <w:tc>
          <w:tcPr>
            <w:tcW w:w="1701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pacing w:val="-1"/>
                <w:sz w:val="24"/>
                <w:szCs w:val="24"/>
              </w:rPr>
              <w:t>Закисление</w:t>
            </w:r>
          </w:p>
        </w:tc>
        <w:tc>
          <w:tcPr>
            <w:tcW w:w="1587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данных</w:t>
            </w:r>
          </w:p>
        </w:tc>
        <w:tc>
          <w:tcPr>
            <w:tcW w:w="1588" w:type="dxa"/>
            <w:shd w:val="clear" w:color="auto" w:fill="C5E0B3" w:themeFill="accent6" w:themeFillTint="66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Полный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учёт</w:t>
            </w:r>
          </w:p>
        </w:tc>
        <w:tc>
          <w:tcPr>
            <w:tcW w:w="1587" w:type="dxa"/>
            <w:shd w:val="clear" w:color="auto" w:fill="C5E0B3" w:themeFill="accent6" w:themeFillTint="66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Полный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учёт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Пренебрежимо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мало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данных</w:t>
            </w:r>
          </w:p>
        </w:tc>
      </w:tr>
      <w:tr w:rsidR="000109E5" w:rsidRPr="00DA6B93" w:rsidTr="007D0BD8">
        <w:trPr>
          <w:trHeight w:val="20"/>
        </w:trPr>
        <w:tc>
          <w:tcPr>
            <w:tcW w:w="1701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Токсичность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для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человека</w:t>
            </w:r>
          </w:p>
        </w:tc>
        <w:tc>
          <w:tcPr>
            <w:tcW w:w="1587" w:type="dxa"/>
            <w:shd w:val="clear" w:color="auto" w:fill="C5E0B3" w:themeFill="accent6" w:themeFillTint="66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Полный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учёт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связи</w:t>
            </w:r>
          </w:p>
        </w:tc>
        <w:tc>
          <w:tcPr>
            <w:tcW w:w="1587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связи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связи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Связь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может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быть,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но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описана</w:t>
            </w:r>
          </w:p>
        </w:tc>
      </w:tr>
      <w:tr w:rsidR="000109E5" w:rsidRPr="00DA6B93" w:rsidTr="007D0BD8">
        <w:trPr>
          <w:trHeight w:val="426"/>
        </w:trPr>
        <w:tc>
          <w:tcPr>
            <w:tcW w:w="1701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Токсичность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для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биоты</w:t>
            </w:r>
          </w:p>
        </w:tc>
        <w:tc>
          <w:tcPr>
            <w:tcW w:w="1587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связи</w:t>
            </w:r>
          </w:p>
        </w:tc>
        <w:tc>
          <w:tcPr>
            <w:tcW w:w="1588" w:type="dxa"/>
            <w:shd w:val="clear" w:color="auto" w:fill="C5E0B3" w:themeFill="accent6" w:themeFillTint="66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Полный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учёт</w:t>
            </w:r>
          </w:p>
        </w:tc>
        <w:tc>
          <w:tcPr>
            <w:tcW w:w="1587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связи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связи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Связь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может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быть,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но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описана</w:t>
            </w:r>
          </w:p>
        </w:tc>
      </w:tr>
      <w:tr w:rsidR="000109E5" w:rsidRPr="00DA6B93" w:rsidTr="007D0BD8">
        <w:trPr>
          <w:trHeight w:val="20"/>
        </w:trPr>
        <w:tc>
          <w:tcPr>
            <w:tcW w:w="1701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Эвтрофикация</w:t>
            </w:r>
          </w:p>
        </w:tc>
        <w:tc>
          <w:tcPr>
            <w:tcW w:w="1587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Связь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может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быть,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но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описана</w:t>
            </w:r>
          </w:p>
        </w:tc>
        <w:tc>
          <w:tcPr>
            <w:tcW w:w="1588" w:type="dxa"/>
            <w:shd w:val="clear" w:color="auto" w:fill="C5E0B3" w:themeFill="accent6" w:themeFillTint="66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Полный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учёт</w:t>
            </w:r>
          </w:p>
        </w:tc>
        <w:tc>
          <w:tcPr>
            <w:tcW w:w="1587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связи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связи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учитывается</w:t>
            </w:r>
          </w:p>
        </w:tc>
      </w:tr>
      <w:tr w:rsidR="000109E5" w:rsidRPr="00DA6B93" w:rsidTr="007D0BD8">
        <w:trPr>
          <w:trHeight w:val="841"/>
        </w:trPr>
        <w:tc>
          <w:tcPr>
            <w:tcW w:w="1701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Беспокойство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(шум)</w:t>
            </w:r>
          </w:p>
        </w:tc>
        <w:tc>
          <w:tcPr>
            <w:tcW w:w="1587" w:type="dxa"/>
            <w:shd w:val="clear" w:color="auto" w:fill="C5E0B3" w:themeFill="accent6" w:themeFillTint="66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Полный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учёт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учитывается</w:t>
            </w:r>
          </w:p>
        </w:tc>
        <w:tc>
          <w:tcPr>
            <w:tcW w:w="1587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связи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связи</w:t>
            </w:r>
          </w:p>
        </w:tc>
        <w:tc>
          <w:tcPr>
            <w:tcW w:w="1588" w:type="dxa"/>
            <w:shd w:val="clear" w:color="auto" w:fill="C5E0B3" w:themeFill="accent6" w:themeFillTint="66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Полный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учёт</w:t>
            </w:r>
          </w:p>
        </w:tc>
      </w:tr>
      <w:tr w:rsidR="000109E5" w:rsidRPr="00DA6B93" w:rsidTr="007D0BD8">
        <w:trPr>
          <w:trHeight w:val="20"/>
        </w:trPr>
        <w:tc>
          <w:tcPr>
            <w:tcW w:w="1701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Отчуждение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земель</w:t>
            </w:r>
          </w:p>
        </w:tc>
        <w:tc>
          <w:tcPr>
            <w:tcW w:w="1587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Связь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может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быть,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но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описана</w:t>
            </w:r>
          </w:p>
        </w:tc>
        <w:tc>
          <w:tcPr>
            <w:tcW w:w="1588" w:type="dxa"/>
            <w:shd w:val="clear" w:color="auto" w:fill="C5E0B3" w:themeFill="accent6" w:themeFillTint="66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Полный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учёт</w:t>
            </w:r>
          </w:p>
        </w:tc>
        <w:tc>
          <w:tcPr>
            <w:tcW w:w="1587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связи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связи</w:t>
            </w:r>
          </w:p>
        </w:tc>
        <w:tc>
          <w:tcPr>
            <w:tcW w:w="1588" w:type="dxa"/>
            <w:shd w:val="clear" w:color="auto" w:fill="F4B083" w:themeFill="accent2" w:themeFillTint="99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учитывается</w:t>
            </w:r>
          </w:p>
        </w:tc>
      </w:tr>
      <w:tr w:rsidR="000109E5" w:rsidRPr="00DA6B93" w:rsidTr="007D0BD8">
        <w:trPr>
          <w:trHeight w:val="20"/>
        </w:trPr>
        <w:tc>
          <w:tcPr>
            <w:tcW w:w="1701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Использование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воды</w:t>
            </w:r>
          </w:p>
        </w:tc>
        <w:tc>
          <w:tcPr>
            <w:tcW w:w="1587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Связь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может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быть,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но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описана</w:t>
            </w:r>
          </w:p>
        </w:tc>
        <w:tc>
          <w:tcPr>
            <w:tcW w:w="1588" w:type="dxa"/>
            <w:shd w:val="clear" w:color="auto" w:fill="C5E0B3" w:themeFill="accent6" w:themeFillTint="66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Полный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учёт</w:t>
            </w:r>
          </w:p>
        </w:tc>
        <w:tc>
          <w:tcPr>
            <w:tcW w:w="1587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Связь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может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быть,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но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описана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4B083" w:themeFill="accent2" w:themeFillTint="99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Не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учитывается</w:t>
            </w:r>
          </w:p>
        </w:tc>
      </w:tr>
      <w:tr w:rsidR="000109E5" w:rsidRPr="00DA6B93" w:rsidTr="007D0BD8">
        <w:trPr>
          <w:trHeight w:val="20"/>
        </w:trPr>
        <w:tc>
          <w:tcPr>
            <w:tcW w:w="1701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Добыча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природных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sz w:val="24"/>
                <w:szCs w:val="24"/>
              </w:rPr>
              <w:t>ресурсов</w:t>
            </w:r>
          </w:p>
        </w:tc>
        <w:tc>
          <w:tcPr>
            <w:tcW w:w="1587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E599" w:themeFill="accent4" w:themeFillTint="66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Частичный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учёт</w:t>
            </w:r>
          </w:p>
        </w:tc>
        <w:tc>
          <w:tcPr>
            <w:tcW w:w="1587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E599" w:themeFill="accent4" w:themeFillTint="66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Частичный</w:t>
            </w:r>
            <w:r w:rsid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A6B93"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  <w:t>учёт</w:t>
            </w:r>
          </w:p>
        </w:tc>
        <w:tc>
          <w:tcPr>
            <w:tcW w:w="1588" w:type="dxa"/>
          </w:tcPr>
          <w:p w:rsidR="000109E5" w:rsidRPr="00DA6B93" w:rsidRDefault="000109E5" w:rsidP="005D722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</w:tc>
      </w:tr>
    </w:tbl>
    <w:p w:rsidR="000109E5" w:rsidRPr="00DA6B93" w:rsidRDefault="000109E5" w:rsidP="00DA6B9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Подход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выбору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наиболее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существенных,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лимитирующих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факторов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характерных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веществ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представляется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перспективным,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созвучным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подходам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эколого-технологического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регулирования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основе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НДТ.</w:t>
      </w:r>
    </w:p>
    <w:p w:rsidR="000109E5" w:rsidRPr="00DA6B93" w:rsidRDefault="007D0BD8" w:rsidP="00DA6B9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качестве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примера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использования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такого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подхода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рассмотрим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проект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устойчивого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развития,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реализованный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одним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из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российских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хо</w:t>
      </w:r>
      <w:bookmarkStart w:id="0" w:name="_GoBack"/>
      <w:bookmarkEnd w:id="0"/>
      <w:r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лдингов.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Инвестиции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компании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один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из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проектов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цветной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металлургии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составили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141,671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млрд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руб.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Сведения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о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снижении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эмиссий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загрязняющих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веществ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>таковы:</w:t>
      </w:r>
      <w:r w:rsidR="00DA6B93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</w:p>
    <w:p w:rsidR="000109E5" w:rsidRPr="00DA6B93" w:rsidRDefault="005D7226" w:rsidP="00DA6B93">
      <w:pPr>
        <w:pStyle w:val="a3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SO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799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тонн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год;</w:t>
      </w:r>
    </w:p>
    <w:p w:rsidR="000109E5" w:rsidRPr="00DA6B93" w:rsidRDefault="005D7226" w:rsidP="00DA6B93">
      <w:pPr>
        <w:pStyle w:val="a3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7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фториды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неорганические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плохо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растворимые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1206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тонн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год;</w:t>
      </w:r>
    </w:p>
    <w:p w:rsidR="000109E5" w:rsidRPr="00DA6B93" w:rsidRDefault="005D7226" w:rsidP="00DA6B93">
      <w:pPr>
        <w:pStyle w:val="a3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7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фтористые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газообразные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соединения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825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тонн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год.</w:t>
      </w:r>
    </w:p>
    <w:p w:rsidR="007D0BD8" w:rsidRPr="00DA6B93" w:rsidRDefault="007D0BD8" w:rsidP="00DA6B9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иллюстрации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качестве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экологических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примем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значения,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предложенные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исследователями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университета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Делфта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конец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2016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(табл</w:t>
      </w:r>
      <w:r w:rsidR="005D7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2).</w:t>
      </w:r>
    </w:p>
    <w:p w:rsidR="005D7226" w:rsidRDefault="000109E5" w:rsidP="005D722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Таблица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0109E5" w:rsidRPr="00DA6B93" w:rsidRDefault="000109E5" w:rsidP="00DA6B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Экологические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цены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оценки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жизненного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цикла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продукции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(по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состоянию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г.)</w:t>
      </w:r>
      <w:r w:rsidR="007D0BD8" w:rsidRPr="00DA6B93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footnoteReference w:id="7"/>
      </w:r>
    </w:p>
    <w:tbl>
      <w:tblPr>
        <w:tblStyle w:val="a7"/>
        <w:tblW w:w="9639" w:type="dxa"/>
        <w:tblInd w:w="-5" w:type="dxa"/>
        <w:tblLayout w:type="fixed"/>
        <w:tblLook w:val="01E0"/>
      </w:tblPr>
      <w:tblGrid>
        <w:gridCol w:w="3490"/>
        <w:gridCol w:w="1188"/>
        <w:gridCol w:w="1418"/>
        <w:gridCol w:w="1275"/>
        <w:gridCol w:w="2268"/>
      </w:tblGrid>
      <w:tr w:rsidR="000109E5" w:rsidRPr="005D7226" w:rsidTr="007D0BD8">
        <w:trPr>
          <w:trHeight w:val="20"/>
          <w:tblHeader/>
        </w:trPr>
        <w:tc>
          <w:tcPr>
            <w:tcW w:w="3490" w:type="dxa"/>
            <w:vMerge w:val="restart"/>
          </w:tcPr>
          <w:p w:rsidR="000109E5" w:rsidRPr="005D7226" w:rsidRDefault="000109E5" w:rsidP="005D7226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</w:p>
        </w:tc>
        <w:tc>
          <w:tcPr>
            <w:tcW w:w="6149" w:type="dxa"/>
            <w:gridSpan w:val="4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Уровни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экологических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цен</w:t>
            </w:r>
          </w:p>
        </w:tc>
      </w:tr>
      <w:tr w:rsidR="000109E5" w:rsidRPr="005D7226" w:rsidTr="007D0BD8">
        <w:trPr>
          <w:trHeight w:val="20"/>
          <w:tblHeader/>
        </w:trPr>
        <w:tc>
          <w:tcPr>
            <w:tcW w:w="3490" w:type="dxa"/>
            <w:vMerge/>
          </w:tcPr>
          <w:p w:rsidR="000109E5" w:rsidRPr="005D7226" w:rsidRDefault="000109E5" w:rsidP="005D7226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Нижний</w:t>
            </w:r>
          </w:p>
        </w:tc>
        <w:tc>
          <w:tcPr>
            <w:tcW w:w="141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Средний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Верхний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Единицы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измерения</w:t>
            </w:r>
          </w:p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0109E5" w:rsidRPr="005D7226" w:rsidTr="007D0BD8">
        <w:trPr>
          <w:trHeight w:val="20"/>
        </w:trPr>
        <w:tc>
          <w:tcPr>
            <w:tcW w:w="3490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Изменение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климата</w:t>
            </w:r>
          </w:p>
        </w:tc>
        <w:tc>
          <w:tcPr>
            <w:tcW w:w="118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1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275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226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евро</w:t>
            </w:r>
            <w:r w:rsidRPr="005D7226">
              <w:rPr>
                <w:rFonts w:ascii="Times New Roman" w:eastAsia="Trebuchet MS" w:hAnsi="Times New Roman" w:cs="Times New Roman"/>
                <w:spacing w:val="1"/>
                <w:position w:val="1"/>
                <w:sz w:val="24"/>
                <w:szCs w:val="24"/>
              </w:rPr>
              <w:t>/</w:t>
            </w: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кг</w:t>
            </w:r>
            <w:r w:rsidR="00DA6B93" w:rsidRPr="005D7226">
              <w:rPr>
                <w:rFonts w:ascii="Times New Roman" w:eastAsia="Trebuchet MS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pacing w:val="1"/>
                <w:position w:val="1"/>
                <w:sz w:val="24"/>
                <w:szCs w:val="24"/>
              </w:rPr>
              <w:t>CO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  <w:vertAlign w:val="subscript"/>
              </w:rPr>
              <w:t>2</w:t>
            </w: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-экв.</w:t>
            </w:r>
          </w:p>
        </w:tc>
      </w:tr>
      <w:tr w:rsidR="000109E5" w:rsidRPr="005D7226" w:rsidTr="007D0BD8">
        <w:trPr>
          <w:trHeight w:val="20"/>
        </w:trPr>
        <w:tc>
          <w:tcPr>
            <w:tcW w:w="3490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Деградация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озонового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слоя</w:t>
            </w:r>
          </w:p>
        </w:tc>
        <w:tc>
          <w:tcPr>
            <w:tcW w:w="118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41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75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226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евро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</w:rPr>
              <w:t>/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кг</w:t>
            </w:r>
            <w:r w:rsidR="00DA6B93" w:rsidRPr="005D7226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</w:rPr>
              <w:t>фреон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-11-экв.</w:t>
            </w:r>
          </w:p>
        </w:tc>
      </w:tr>
      <w:tr w:rsidR="000109E5" w:rsidRPr="005D7226" w:rsidTr="007D0BD8">
        <w:trPr>
          <w:trHeight w:val="20"/>
        </w:trPr>
        <w:tc>
          <w:tcPr>
            <w:tcW w:w="3490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Образование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фотохимических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окислителей,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воздействие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на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здоровье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18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141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275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2,98</w:t>
            </w:r>
          </w:p>
        </w:tc>
        <w:tc>
          <w:tcPr>
            <w:tcW w:w="226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евро</w:t>
            </w:r>
            <w:r w:rsidRPr="005D7226">
              <w:rPr>
                <w:rFonts w:ascii="Times New Roman" w:eastAsia="Trebuchet MS" w:hAnsi="Times New Roman" w:cs="Times New Roman"/>
                <w:spacing w:val="1"/>
                <w:position w:val="1"/>
                <w:sz w:val="24"/>
                <w:szCs w:val="24"/>
              </w:rPr>
              <w:t>/</w:t>
            </w: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кг</w:t>
            </w:r>
            <w:r w:rsidR="00DA6B93" w:rsidRPr="005D7226">
              <w:rPr>
                <w:rFonts w:ascii="Times New Roman" w:eastAsia="Trebuchet MS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N</w:t>
            </w:r>
            <w:r w:rsidRPr="005D7226">
              <w:rPr>
                <w:rFonts w:ascii="Times New Roman" w:eastAsia="Trebuchet MS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</w:rPr>
              <w:t>x</w:t>
            </w: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-экв.</w:t>
            </w:r>
          </w:p>
        </w:tc>
      </w:tr>
      <w:tr w:rsidR="000109E5" w:rsidRPr="005D7226" w:rsidTr="007D0BD8">
        <w:trPr>
          <w:trHeight w:val="20"/>
        </w:trPr>
        <w:tc>
          <w:tcPr>
            <w:tcW w:w="3490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Образование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фотохимических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окислителей,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воздействие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на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экосистемы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суши</w:t>
            </w:r>
          </w:p>
        </w:tc>
        <w:tc>
          <w:tcPr>
            <w:tcW w:w="118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0,416</w:t>
            </w:r>
          </w:p>
        </w:tc>
        <w:tc>
          <w:tcPr>
            <w:tcW w:w="141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0,416</w:t>
            </w:r>
          </w:p>
        </w:tc>
        <w:tc>
          <w:tcPr>
            <w:tcW w:w="1275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0,526</w:t>
            </w:r>
          </w:p>
        </w:tc>
        <w:tc>
          <w:tcPr>
            <w:tcW w:w="226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евро</w:t>
            </w:r>
            <w:r w:rsidRPr="005D7226">
              <w:rPr>
                <w:rFonts w:ascii="Times New Roman" w:eastAsia="Trebuchet MS" w:hAnsi="Times New Roman" w:cs="Times New Roman"/>
                <w:spacing w:val="1"/>
                <w:position w:val="1"/>
                <w:sz w:val="24"/>
                <w:szCs w:val="24"/>
              </w:rPr>
              <w:t>/</w:t>
            </w: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кг</w:t>
            </w:r>
            <w:r w:rsidR="00DA6B93" w:rsidRPr="005D7226">
              <w:rPr>
                <w:rFonts w:ascii="Times New Roman" w:eastAsia="Trebuchet MS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N</w:t>
            </w:r>
            <w:r w:rsidRPr="005D7226">
              <w:rPr>
                <w:rFonts w:ascii="Times New Roman" w:eastAsia="Trebuchet MS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</w:rPr>
              <w:t>x</w:t>
            </w: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-экв.</w:t>
            </w:r>
          </w:p>
        </w:tc>
      </w:tr>
      <w:tr w:rsidR="000109E5" w:rsidRPr="005D7226" w:rsidTr="007D0BD8">
        <w:trPr>
          <w:trHeight w:val="20"/>
        </w:trPr>
        <w:tc>
          <w:tcPr>
            <w:tcW w:w="3490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Образование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мелких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частиц</w:t>
            </w:r>
          </w:p>
        </w:tc>
        <w:tc>
          <w:tcPr>
            <w:tcW w:w="118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41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75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138,1</w:t>
            </w:r>
          </w:p>
        </w:tc>
        <w:tc>
          <w:tcPr>
            <w:tcW w:w="226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евро</w:t>
            </w:r>
            <w:r w:rsidRPr="005D7226">
              <w:rPr>
                <w:rFonts w:ascii="Times New Roman" w:eastAsia="Trebuchet MS" w:hAnsi="Times New Roman" w:cs="Times New Roman"/>
                <w:spacing w:val="1"/>
                <w:position w:val="1"/>
                <w:sz w:val="24"/>
                <w:szCs w:val="24"/>
              </w:rPr>
              <w:t>/</w:t>
            </w: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кг</w:t>
            </w:r>
            <w:r w:rsidR="00DA6B93" w:rsidRPr="005D7226">
              <w:rPr>
                <w:rFonts w:ascii="Times New Roman" w:eastAsia="Trebuchet MS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PM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  <w:vertAlign w:val="subscript"/>
              </w:rPr>
              <w:t>2.5</w:t>
            </w: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-экв.</w:t>
            </w:r>
          </w:p>
        </w:tc>
      </w:tr>
      <w:tr w:rsidR="000109E5" w:rsidRPr="005D7226" w:rsidTr="007D0BD8">
        <w:trPr>
          <w:trHeight w:val="20"/>
        </w:trPr>
        <w:tc>
          <w:tcPr>
            <w:tcW w:w="3490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pacing w:val="-1"/>
                <w:sz w:val="24"/>
                <w:szCs w:val="24"/>
              </w:rPr>
              <w:t>Закисление</w:t>
            </w:r>
          </w:p>
        </w:tc>
        <w:tc>
          <w:tcPr>
            <w:tcW w:w="118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141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5,27</w:t>
            </w:r>
          </w:p>
        </w:tc>
        <w:tc>
          <w:tcPr>
            <w:tcW w:w="1275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226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евро</w:t>
            </w:r>
            <w:r w:rsidRPr="005D7226">
              <w:rPr>
                <w:rFonts w:ascii="Times New Roman" w:eastAsia="Trebuchet MS" w:hAnsi="Times New Roman" w:cs="Times New Roman"/>
                <w:spacing w:val="1"/>
                <w:position w:val="1"/>
                <w:sz w:val="24"/>
                <w:szCs w:val="24"/>
              </w:rPr>
              <w:t>/</w:t>
            </w: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кг</w:t>
            </w:r>
            <w:r w:rsidR="00DA6B93" w:rsidRPr="005D7226">
              <w:rPr>
                <w:rFonts w:ascii="Times New Roman" w:eastAsia="Trebuchet MS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pacing w:val="1"/>
                <w:position w:val="1"/>
                <w:sz w:val="24"/>
                <w:szCs w:val="24"/>
                <w:lang w:val="en-US"/>
              </w:rPr>
              <w:t>S</w:t>
            </w:r>
            <w:r w:rsidRPr="005D7226">
              <w:rPr>
                <w:rFonts w:ascii="Times New Roman" w:eastAsia="Trebuchet MS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  <w:vertAlign w:val="subscript"/>
              </w:rPr>
              <w:t>2</w:t>
            </w: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-экв.</w:t>
            </w:r>
          </w:p>
        </w:tc>
      </w:tr>
      <w:tr w:rsidR="000109E5" w:rsidRPr="005D7226" w:rsidTr="007D0BD8">
        <w:trPr>
          <w:trHeight w:val="20"/>
        </w:trPr>
        <w:tc>
          <w:tcPr>
            <w:tcW w:w="3490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Эвтрофикация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пресных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водоёмов</w:t>
            </w:r>
          </w:p>
        </w:tc>
        <w:tc>
          <w:tcPr>
            <w:tcW w:w="118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141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1275" w:type="dxa"/>
          </w:tcPr>
          <w:p w:rsidR="000109E5" w:rsidRPr="005D7226" w:rsidRDefault="00DA6B93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="000109E5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10,13</w:t>
            </w:r>
          </w:p>
        </w:tc>
        <w:tc>
          <w:tcPr>
            <w:tcW w:w="226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евро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</w:rPr>
              <w:t>/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кг</w:t>
            </w:r>
            <w:r w:rsidR="00DA6B93" w:rsidRPr="005D7226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P</w:t>
            </w: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-экв.</w:t>
            </w:r>
          </w:p>
        </w:tc>
      </w:tr>
      <w:tr w:rsidR="000109E5" w:rsidRPr="005D7226" w:rsidTr="007D0BD8">
        <w:trPr>
          <w:trHeight w:val="20"/>
        </w:trPr>
        <w:tc>
          <w:tcPr>
            <w:tcW w:w="3490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Эвтрофикация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морских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вод</w:t>
            </w:r>
          </w:p>
        </w:tc>
        <w:tc>
          <w:tcPr>
            <w:tcW w:w="118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7,64</w:t>
            </w:r>
          </w:p>
        </w:tc>
        <w:tc>
          <w:tcPr>
            <w:tcW w:w="141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275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27,60</w:t>
            </w:r>
          </w:p>
        </w:tc>
        <w:tc>
          <w:tcPr>
            <w:tcW w:w="226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евро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</w:rPr>
              <w:t>/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кг</w:t>
            </w:r>
            <w:r w:rsidR="00DA6B93" w:rsidRPr="005D7226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N</w:t>
            </w:r>
            <w:r w:rsidRPr="005D7226">
              <w:rPr>
                <w:rFonts w:ascii="Times New Roman" w:eastAsia="Trebuchet MS" w:hAnsi="Times New Roman" w:cs="Times New Roman"/>
                <w:position w:val="1"/>
                <w:sz w:val="24"/>
                <w:szCs w:val="24"/>
              </w:rPr>
              <w:t>-экв</w:t>
            </w:r>
          </w:p>
        </w:tc>
      </w:tr>
      <w:tr w:rsidR="000109E5" w:rsidRPr="005D7226" w:rsidTr="007D0BD8">
        <w:trPr>
          <w:trHeight w:val="20"/>
        </w:trPr>
        <w:tc>
          <w:tcPr>
            <w:tcW w:w="3490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Экотоксичность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(экосистемы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суши)</w:t>
            </w:r>
          </w:p>
        </w:tc>
        <w:tc>
          <w:tcPr>
            <w:tcW w:w="118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0,00045</w:t>
            </w:r>
          </w:p>
        </w:tc>
        <w:tc>
          <w:tcPr>
            <w:tcW w:w="141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0,00064</w:t>
            </w:r>
          </w:p>
        </w:tc>
        <w:tc>
          <w:tcPr>
            <w:tcW w:w="1275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0,00083</w:t>
            </w:r>
          </w:p>
        </w:tc>
        <w:tc>
          <w:tcPr>
            <w:tcW w:w="226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евро/кг</w:t>
            </w:r>
            <w:r w:rsidR="00DA6B93" w:rsidRPr="005D7226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1.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</w:rPr>
              <w:t>4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</w:rPr>
              <w:t>дихлорбензол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-экв.</w:t>
            </w:r>
          </w:p>
        </w:tc>
      </w:tr>
      <w:tr w:rsidR="000109E5" w:rsidRPr="005D7226" w:rsidTr="007D0BD8">
        <w:trPr>
          <w:trHeight w:val="20"/>
        </w:trPr>
        <w:tc>
          <w:tcPr>
            <w:tcW w:w="3490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Экотоксичность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(пресноводные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экосистемы)</w:t>
            </w:r>
          </w:p>
        </w:tc>
        <w:tc>
          <w:tcPr>
            <w:tcW w:w="118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0,0148</w:t>
            </w:r>
          </w:p>
        </w:tc>
        <w:tc>
          <w:tcPr>
            <w:tcW w:w="141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0,0209</w:t>
            </w:r>
          </w:p>
        </w:tc>
        <w:tc>
          <w:tcPr>
            <w:tcW w:w="1275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0,0271</w:t>
            </w:r>
          </w:p>
        </w:tc>
        <w:tc>
          <w:tcPr>
            <w:tcW w:w="226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евро/кг</w:t>
            </w:r>
            <w:r w:rsidR="00DA6B93" w:rsidRPr="005D7226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1.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</w:rPr>
              <w:t>4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</w:rPr>
              <w:t>дихлорбензол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-экв.</w:t>
            </w:r>
          </w:p>
        </w:tc>
      </w:tr>
      <w:tr w:rsidR="000109E5" w:rsidRPr="005D7226" w:rsidTr="007D0BD8">
        <w:trPr>
          <w:trHeight w:val="20"/>
        </w:trPr>
        <w:tc>
          <w:tcPr>
            <w:tcW w:w="3490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Экотоксичность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(морские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экосистемы)</w:t>
            </w:r>
          </w:p>
        </w:tc>
        <w:tc>
          <w:tcPr>
            <w:tcW w:w="118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0,0022</w:t>
            </w:r>
          </w:p>
        </w:tc>
        <w:tc>
          <w:tcPr>
            <w:tcW w:w="141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0,0032</w:t>
            </w:r>
          </w:p>
        </w:tc>
        <w:tc>
          <w:tcPr>
            <w:tcW w:w="1275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0,0041</w:t>
            </w:r>
          </w:p>
        </w:tc>
        <w:tc>
          <w:tcPr>
            <w:tcW w:w="226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евро/кг</w:t>
            </w:r>
            <w:r w:rsidR="00DA6B93" w:rsidRPr="005D7226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1.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</w:rPr>
              <w:t>4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</w:rPr>
              <w:t>дихлорбензол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-экв.</w:t>
            </w:r>
          </w:p>
        </w:tc>
      </w:tr>
      <w:tr w:rsidR="000109E5" w:rsidRPr="005D7226" w:rsidTr="007D0BD8">
        <w:trPr>
          <w:trHeight w:val="20"/>
        </w:trPr>
        <w:tc>
          <w:tcPr>
            <w:tcW w:w="3490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Токсичность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для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человека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(канцерогенность)</w:t>
            </w:r>
          </w:p>
        </w:tc>
        <w:tc>
          <w:tcPr>
            <w:tcW w:w="118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41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1275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6,01</w:t>
            </w:r>
          </w:p>
        </w:tc>
        <w:tc>
          <w:tcPr>
            <w:tcW w:w="226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евро/кг</w:t>
            </w:r>
            <w:r w:rsidR="00DA6B93" w:rsidRPr="005D7226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1.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</w:rPr>
              <w:t>4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</w:rPr>
              <w:t>дихлорбензол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-экв.</w:t>
            </w:r>
          </w:p>
        </w:tc>
      </w:tr>
      <w:tr w:rsidR="000109E5" w:rsidRPr="005D7226" w:rsidTr="007D0BD8">
        <w:trPr>
          <w:trHeight w:val="20"/>
        </w:trPr>
        <w:tc>
          <w:tcPr>
            <w:tcW w:w="3490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Землепользование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(отторжение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земель)</w:t>
            </w:r>
          </w:p>
        </w:tc>
        <w:tc>
          <w:tcPr>
            <w:tcW w:w="118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0,070</w:t>
            </w:r>
          </w:p>
        </w:tc>
        <w:tc>
          <w:tcPr>
            <w:tcW w:w="141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0,099</w:t>
            </w:r>
          </w:p>
        </w:tc>
        <w:tc>
          <w:tcPr>
            <w:tcW w:w="1275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0,128</w:t>
            </w:r>
          </w:p>
        </w:tc>
        <w:tc>
          <w:tcPr>
            <w:tcW w:w="226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евро/кв.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м</w:t>
            </w:r>
            <w:r w:rsidR="00DA6B93" w:rsidRPr="005D7226">
              <w:rPr>
                <w:rFonts w:ascii="Times New Roman" w:eastAsia="Trebuchet MS" w:hAnsi="Times New Roman" w:cs="Times New Roman"/>
                <w:spacing w:val="-4"/>
                <w:position w:val="6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пахотных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земель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(экв.)</w:t>
            </w:r>
          </w:p>
        </w:tc>
      </w:tr>
      <w:tr w:rsidR="000109E5" w:rsidRPr="005D7226" w:rsidTr="007D0BD8">
        <w:trPr>
          <w:trHeight w:val="20"/>
        </w:trPr>
        <w:tc>
          <w:tcPr>
            <w:tcW w:w="3490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Добыча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полезных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ископаемых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(минеральные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ресурсы)</w:t>
            </w:r>
          </w:p>
        </w:tc>
        <w:tc>
          <w:tcPr>
            <w:tcW w:w="118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0,0000</w:t>
            </w:r>
          </w:p>
        </w:tc>
        <w:tc>
          <w:tcPr>
            <w:tcW w:w="141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0,0140</w:t>
            </w:r>
          </w:p>
        </w:tc>
        <w:tc>
          <w:tcPr>
            <w:tcW w:w="1275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0,0826</w:t>
            </w:r>
          </w:p>
        </w:tc>
        <w:tc>
          <w:tcPr>
            <w:tcW w:w="226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евро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</w:rPr>
              <w:t>/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кг</w:t>
            </w:r>
            <w:r w:rsidR="00DA6B93" w:rsidRPr="005D7226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</w:rPr>
              <w:t>Cu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-экв.</w:t>
            </w:r>
          </w:p>
        </w:tc>
      </w:tr>
      <w:tr w:rsidR="000109E5" w:rsidRPr="005D7226" w:rsidTr="007D0BD8">
        <w:trPr>
          <w:trHeight w:val="20"/>
        </w:trPr>
        <w:tc>
          <w:tcPr>
            <w:tcW w:w="3490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Добыча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полезных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ископаемых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(углеводороды)</w:t>
            </w:r>
          </w:p>
        </w:tc>
        <w:tc>
          <w:tcPr>
            <w:tcW w:w="118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0,028</w:t>
            </w:r>
          </w:p>
        </w:tc>
        <w:tc>
          <w:tcPr>
            <w:tcW w:w="1275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0,163</w:t>
            </w:r>
          </w:p>
        </w:tc>
        <w:tc>
          <w:tcPr>
            <w:tcW w:w="2268" w:type="dxa"/>
          </w:tcPr>
          <w:p w:rsidR="000109E5" w:rsidRPr="005D7226" w:rsidRDefault="000109E5" w:rsidP="005D7226">
            <w:pPr>
              <w:pStyle w:val="afa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евро</w:t>
            </w:r>
            <w:r w:rsidRPr="005D7226">
              <w:rPr>
                <w:rFonts w:ascii="Times New Roman" w:eastAsia="Trebuchet MS" w:hAnsi="Times New Roman" w:cs="Times New Roman"/>
                <w:spacing w:val="1"/>
                <w:sz w:val="24"/>
                <w:szCs w:val="24"/>
              </w:rPr>
              <w:t>/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кг</w:t>
            </w:r>
            <w:r w:rsidR="00DA6B93" w:rsidRPr="005D7226">
              <w:rPr>
                <w:rFonts w:ascii="Times New Roman" w:eastAsia="Trebuchet MS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нефтяного</w:t>
            </w:r>
            <w:r w:rsidR="00DA6B93"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D7226">
              <w:rPr>
                <w:rFonts w:ascii="Times New Roman" w:eastAsia="Trebuchet MS" w:hAnsi="Times New Roman" w:cs="Times New Roman"/>
                <w:sz w:val="24"/>
                <w:szCs w:val="24"/>
              </w:rPr>
              <w:t>эквивалента</w:t>
            </w:r>
          </w:p>
        </w:tc>
      </w:tr>
    </w:tbl>
    <w:p w:rsidR="000109E5" w:rsidRPr="00DA6B93" w:rsidRDefault="000109E5" w:rsidP="00DA6B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09E5" w:rsidRPr="00DA6B93" w:rsidRDefault="007D0BD8" w:rsidP="00DA6B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жегодный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социально-экологический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снижения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эмиссий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указанных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веществ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оценить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суммой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12,5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млрд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(см.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</w:t>
      </w:r>
      <w:r w:rsidR="005D7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="005D7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т.е.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точки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зрения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снижения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НВОС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населения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инвестиции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эколого-технологическую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модернизацию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«окупятся»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лет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учётом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09E5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субсидии).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109E5" w:rsidRPr="00DA6B93" w:rsidRDefault="000109E5" w:rsidP="00DA6B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Оценка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проекта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химической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отрасли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(сокращение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эмиссий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аммиака,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см.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</w:t>
      </w:r>
      <w:r w:rsidR="005D7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приводит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выводу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том,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«окупается»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быстрее: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инвестициях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компании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11,14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млрд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ежегодный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социально-экологический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составляет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7,645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млрд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</w:t>
      </w:r>
    </w:p>
    <w:p w:rsidR="000109E5" w:rsidRPr="00DA6B93" w:rsidRDefault="000109E5" w:rsidP="00DA6B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образом,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показана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принципиальная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применимость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подхода,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основанного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называемых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экологических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ценах,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социально-экологического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эффекта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проектов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эколого-технологической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модернизации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промышленности.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D7226" w:rsidRDefault="000109E5" w:rsidP="005D722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Таблица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0109E5" w:rsidRPr="00DA6B93" w:rsidRDefault="000109E5" w:rsidP="00DA6B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Оценка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ежегодного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социально-экологического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эффекта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снижения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эмиссий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загрязняющих</w:t>
      </w:r>
      <w:r w:rsidR="00DA6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B93">
        <w:rPr>
          <w:rFonts w:ascii="Times New Roman" w:hAnsi="Times New Roman" w:cs="Times New Roman"/>
          <w:color w:val="000000" w:themeColor="text1"/>
          <w:sz w:val="24"/>
          <w:szCs w:val="24"/>
        </w:rPr>
        <w:t>веществ</w:t>
      </w:r>
    </w:p>
    <w:tbl>
      <w:tblPr>
        <w:tblStyle w:val="a7"/>
        <w:tblW w:w="9634" w:type="dxa"/>
        <w:tblLook w:val="04A0"/>
      </w:tblPr>
      <w:tblGrid>
        <w:gridCol w:w="1839"/>
        <w:gridCol w:w="1275"/>
        <w:gridCol w:w="1763"/>
        <w:gridCol w:w="2784"/>
        <w:gridCol w:w="1973"/>
      </w:tblGrid>
      <w:tr w:rsidR="000109E5" w:rsidRPr="005D7226" w:rsidTr="007D0BD8">
        <w:tc>
          <w:tcPr>
            <w:tcW w:w="1837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Загрязняющие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1276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выбросов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воздух,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т/год</w:t>
            </w:r>
          </w:p>
        </w:tc>
        <w:tc>
          <w:tcPr>
            <w:tcW w:w="1635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цены,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руб./т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(при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курсе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валют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руб./евро)</w:t>
            </w:r>
          </w:p>
        </w:tc>
        <w:tc>
          <w:tcPr>
            <w:tcW w:w="2884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Приоритетные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эффекты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2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Ежегодный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социально-экологический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6FAD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эффект,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млн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/год</w:t>
            </w:r>
          </w:p>
        </w:tc>
      </w:tr>
      <w:tr w:rsidR="000109E5" w:rsidRPr="005D7226" w:rsidTr="007D0BD8">
        <w:tc>
          <w:tcPr>
            <w:tcW w:w="1837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Диоксид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серы</w:t>
            </w:r>
          </w:p>
        </w:tc>
        <w:tc>
          <w:tcPr>
            <w:tcW w:w="1276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1635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3050</w:t>
            </w:r>
          </w:p>
        </w:tc>
        <w:tc>
          <w:tcPr>
            <w:tcW w:w="2884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Токсичность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животных,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закисление.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Цена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установлена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непосредственно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2002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2440</w:t>
            </w:r>
          </w:p>
        </w:tc>
      </w:tr>
      <w:tr w:rsidR="000109E5" w:rsidRPr="005D7226" w:rsidTr="007D0BD8">
        <w:tc>
          <w:tcPr>
            <w:tcW w:w="1837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Фториды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неорганические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плохо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растворимые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1635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5160</w:t>
            </w:r>
          </w:p>
        </w:tc>
        <w:tc>
          <w:tcPr>
            <w:tcW w:w="2884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мелких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частиц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PM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10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исходя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логики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аэрозоля</w:t>
            </w:r>
          </w:p>
        </w:tc>
        <w:tc>
          <w:tcPr>
            <w:tcW w:w="2002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6220</w:t>
            </w:r>
          </w:p>
        </w:tc>
      </w:tr>
      <w:tr w:rsidR="000109E5" w:rsidRPr="005D7226" w:rsidTr="007D0BD8">
        <w:tc>
          <w:tcPr>
            <w:tcW w:w="1837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Фтористые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газообразные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соединения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пересчете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фтор)</w:t>
            </w:r>
          </w:p>
        </w:tc>
        <w:tc>
          <w:tcPr>
            <w:tcW w:w="1276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635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4670</w:t>
            </w:r>
          </w:p>
        </w:tc>
        <w:tc>
          <w:tcPr>
            <w:tcW w:w="2884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Токсичность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животных.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Воздействие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растительность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(прежде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хвойные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породы).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Закисление</w:t>
            </w:r>
          </w:p>
        </w:tc>
        <w:tc>
          <w:tcPr>
            <w:tcW w:w="2002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3853</w:t>
            </w:r>
          </w:p>
        </w:tc>
      </w:tr>
      <w:tr w:rsidR="000109E5" w:rsidRPr="005D7226" w:rsidTr="007D0BD8">
        <w:tc>
          <w:tcPr>
            <w:tcW w:w="1837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Аммиак</w:t>
            </w:r>
          </w:p>
        </w:tc>
        <w:tc>
          <w:tcPr>
            <w:tcW w:w="1276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</w:t>
            </w:r>
          </w:p>
        </w:tc>
        <w:tc>
          <w:tcPr>
            <w:tcW w:w="1635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2870</w:t>
            </w:r>
          </w:p>
        </w:tc>
        <w:tc>
          <w:tcPr>
            <w:tcW w:w="2884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Токсичность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животных.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Вклад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процессы</w:t>
            </w:r>
            <w:r w:rsidR="00DA6B93"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эвтрофикации</w:t>
            </w:r>
          </w:p>
        </w:tc>
        <w:tc>
          <w:tcPr>
            <w:tcW w:w="2002" w:type="dxa"/>
          </w:tcPr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7645</w:t>
            </w:r>
          </w:p>
          <w:p w:rsidR="000109E5" w:rsidRPr="005D7226" w:rsidRDefault="000109E5" w:rsidP="005D7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09E5" w:rsidRPr="00DA6B93" w:rsidRDefault="000109E5" w:rsidP="00DA6B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09E5" w:rsidRPr="00DA6B93" w:rsidRDefault="000109E5" w:rsidP="00DA6B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результатов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проектов,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направленных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ресурсной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эффективности,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потребуется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значительное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расширение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спектра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показателей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веществ,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эквивалентам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которых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будут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оцениваться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различные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ресурсов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(например,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многокомпонентных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руд).</w:t>
      </w:r>
    </w:p>
    <w:p w:rsidR="000109E5" w:rsidRPr="00DA6B93" w:rsidRDefault="000109E5" w:rsidP="00DA6B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любом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случае,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экологические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цены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должны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использоваться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установления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ставок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каких-либо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платежей.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могут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полезны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учёта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воздействия,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которое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принятые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планируемые)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оказывают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могут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оказать)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состояние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окружающей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среды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природных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ресурсов.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Экологические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цены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должны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подменять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нормы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ценности,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определяющие,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хотим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сохранить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этом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мире,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природных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экосистем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намерены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сохранять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восстанавливать.</w:t>
      </w:r>
    </w:p>
    <w:p w:rsidR="00B135FB" w:rsidRPr="00DA6B93" w:rsidRDefault="00050D1F" w:rsidP="00DA6B9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Заключени</w:t>
      </w:r>
      <w:r w:rsidR="00B135FB" w:rsidRPr="00DA6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</w:p>
    <w:p w:rsidR="007D0BD8" w:rsidRPr="00DA6B93" w:rsidRDefault="007D0BD8" w:rsidP="00E017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Представляется,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стран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БРИКС+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ЕАЭС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целесообразно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разработать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B6FAD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похожие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B6FAD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таблицы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отражающие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подходы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экономики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устойчивого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развития,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характерные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развивающихся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экономик,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позволит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разработать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методологические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подходы</w:t>
      </w:r>
      <w:r w:rsidR="00E017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стимулировать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зеленой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экономики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основе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принципов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повышения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ресурсной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экологической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эффективности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B6FAD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промышленного</w:t>
      </w:r>
      <w:r w:rsid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B6FAD"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производства</w:t>
      </w:r>
      <w:r w:rsidRPr="00DA6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sectPr w:rsidR="007D0BD8" w:rsidRPr="00DA6B93" w:rsidSect="00DA6B93">
      <w:headerReference w:type="default" r:id="rId8"/>
      <w:footerReference w:type="default" r:id="rId9"/>
      <w:footnotePr>
        <w:numRestart w:val="eachPage"/>
      </w:footnotePr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5AD14" w16cex:dateUtc="2023-03-10T10:20:00Z"/>
  <w16cex:commentExtensible w16cex:durableId="27B5AD98" w16cex:dateUtc="2023-03-10T10:22:00Z"/>
  <w16cex:commentExtensible w16cex:durableId="27B5A3C9" w16cex:dateUtc="2023-03-10T09:40:00Z"/>
  <w16cex:commentExtensible w16cex:durableId="27B5AB61" w16cex:dateUtc="2023-03-10T10:13:00Z"/>
  <w16cex:commentExtensible w16cex:durableId="27B5B16D" w16cex:dateUtc="2023-03-10T10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204CBC" w16cid:durableId="27B5AD14"/>
  <w16cid:commentId w16cid:paraId="6FD4EB1D" w16cid:durableId="27B5AD98"/>
  <w16cid:commentId w16cid:paraId="1AB93861" w16cid:durableId="27B5A3C9"/>
  <w16cid:commentId w16cid:paraId="2DD8151D" w16cid:durableId="27B5AB61"/>
  <w16cid:commentId w16cid:paraId="5B0B8742" w16cid:durableId="27B5B16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B93" w:rsidRDefault="00DA6B93" w:rsidP="00891BC0">
      <w:pPr>
        <w:spacing w:after="0" w:line="240" w:lineRule="auto"/>
      </w:pPr>
      <w:r>
        <w:separator/>
      </w:r>
    </w:p>
  </w:endnote>
  <w:endnote w:type="continuationSeparator" w:id="0">
    <w:p w:rsidR="00DA6B93" w:rsidRDefault="00DA6B93" w:rsidP="0089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8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A6B93" w:rsidRPr="00DA6B93" w:rsidRDefault="00DA6B93" w:rsidP="00DA6B93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6B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6B9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A6B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422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A6B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B93" w:rsidRDefault="00DA6B93" w:rsidP="00891BC0">
      <w:pPr>
        <w:spacing w:after="0" w:line="240" w:lineRule="auto"/>
      </w:pPr>
      <w:r>
        <w:separator/>
      </w:r>
    </w:p>
  </w:footnote>
  <w:footnote w:type="continuationSeparator" w:id="0">
    <w:p w:rsidR="00DA6B93" w:rsidRDefault="00DA6B93" w:rsidP="00891BC0">
      <w:pPr>
        <w:spacing w:after="0" w:line="240" w:lineRule="auto"/>
      </w:pPr>
      <w:r>
        <w:continuationSeparator/>
      </w:r>
    </w:p>
  </w:footnote>
  <w:footnote w:id="1">
    <w:p w:rsidR="00DA6B93" w:rsidRPr="00DA6B93" w:rsidRDefault="00DA6B93" w:rsidP="00DA6B93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DA6B93"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  <w:i/>
        </w:rPr>
        <w:t>Скобелев Д.О.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Наилучшие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доступные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технологии: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опыт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повышения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ресурсной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экологической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эффективности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производства.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АСМС,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2020.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256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с.</w:t>
      </w:r>
    </w:p>
  </w:footnote>
  <w:footnote w:id="2">
    <w:p w:rsidR="00DA6B93" w:rsidRPr="00DA6B93" w:rsidRDefault="00DA6B93" w:rsidP="00DA6B93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DA6B93"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  <w:i/>
          <w:lang w:bidi="ru-RU"/>
        </w:rPr>
        <w:t>Волосатова А.А., Ученов А.А., Скобелев Д.О.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Формирование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концепции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внедрения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принципов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зеленой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экономики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в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Евразийском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экономическом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союзе: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роль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гармонизации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подходов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к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повышению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ресурсной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эффективности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//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Вестник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евразийской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науки.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–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2022.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–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Т.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14</w:t>
      </w:r>
      <w:r>
        <w:rPr>
          <w:rFonts w:ascii="Times New Roman" w:hAnsi="Times New Roman" w:cs="Times New Roman"/>
          <w:lang w:bidi="ru-RU"/>
        </w:rPr>
        <w:t xml:space="preserve">, </w:t>
      </w:r>
      <w:r w:rsidRPr="00DA6B93">
        <w:rPr>
          <w:rFonts w:ascii="Times New Roman" w:hAnsi="Times New Roman" w:cs="Times New Roman"/>
          <w:lang w:bidi="ru-RU"/>
        </w:rPr>
        <w:t>№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4.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–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https</w:t>
      </w:r>
      <w:r w:rsidRPr="00DA6B93">
        <w:rPr>
          <w:rFonts w:ascii="Times New Roman" w:hAnsi="Times New Roman" w:cs="Times New Roman"/>
          <w:lang w:bidi="ru-RU"/>
        </w:rPr>
        <w:t>//</w:t>
      </w:r>
      <w:r w:rsidRPr="00DA6B93">
        <w:rPr>
          <w:rFonts w:ascii="Times New Roman" w:hAnsi="Times New Roman" w:cs="Times New Roman"/>
          <w:lang w:val="en-GB"/>
        </w:rPr>
        <w:t>esj</w:t>
      </w:r>
      <w:r w:rsidRPr="00DA6B93">
        <w:rPr>
          <w:rFonts w:ascii="Times New Roman" w:hAnsi="Times New Roman" w:cs="Times New Roman"/>
          <w:lang w:bidi="ru-RU"/>
        </w:rPr>
        <w:t>.</w:t>
      </w:r>
      <w:r w:rsidRPr="00DA6B93">
        <w:rPr>
          <w:rFonts w:ascii="Times New Roman" w:hAnsi="Times New Roman" w:cs="Times New Roman"/>
          <w:lang w:val="en-GB"/>
        </w:rPr>
        <w:t>today</w:t>
      </w:r>
      <w:r w:rsidRPr="00DA6B93">
        <w:rPr>
          <w:rFonts w:ascii="Times New Roman" w:hAnsi="Times New Roman" w:cs="Times New Roman"/>
          <w:lang w:bidi="ru-RU"/>
        </w:rPr>
        <w:t>/</w:t>
      </w:r>
      <w:r w:rsidRPr="00DA6B93">
        <w:rPr>
          <w:rFonts w:ascii="Times New Roman" w:hAnsi="Times New Roman" w:cs="Times New Roman"/>
          <w:lang w:val="en-GB"/>
        </w:rPr>
        <w:t>PDF</w:t>
      </w:r>
      <w:r w:rsidRPr="00DA6B93">
        <w:rPr>
          <w:rFonts w:ascii="Times New Roman" w:hAnsi="Times New Roman" w:cs="Times New Roman"/>
          <w:lang w:bidi="ru-RU"/>
        </w:rPr>
        <w:t>/23</w:t>
      </w:r>
      <w:r w:rsidRPr="00DA6B93">
        <w:rPr>
          <w:rFonts w:ascii="Times New Roman" w:hAnsi="Times New Roman" w:cs="Times New Roman"/>
          <w:lang w:val="en-GB"/>
        </w:rPr>
        <w:t>ECVN</w:t>
      </w:r>
      <w:r>
        <w:rPr>
          <w:rFonts w:ascii="Times New Roman" w:hAnsi="Times New Roman" w:cs="Times New Roman"/>
          <w:lang w:bidi="ru-RU"/>
        </w:rPr>
        <w:t xml:space="preserve"> </w:t>
      </w:r>
      <w:r w:rsidRPr="00DA6B93">
        <w:rPr>
          <w:rFonts w:ascii="Times New Roman" w:hAnsi="Times New Roman" w:cs="Times New Roman"/>
          <w:lang w:bidi="ru-RU"/>
        </w:rPr>
        <w:t>422.</w:t>
      </w:r>
      <w:r w:rsidRPr="00DA6B93">
        <w:rPr>
          <w:rFonts w:ascii="Times New Roman" w:hAnsi="Times New Roman" w:cs="Times New Roman"/>
          <w:lang w:val="en-GB"/>
        </w:rPr>
        <w:t>pdf</w:t>
      </w:r>
      <w:r w:rsidRPr="00DA6B93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  <w:i/>
        </w:rPr>
        <w:t>Скобелев Д.О., Микаэльссон О., Бхимани Ч.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Наилучшие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доступные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технологии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условиях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международных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Соглашений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Вестник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евразийской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науки.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2020.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12, </w:t>
      </w:r>
      <w:r w:rsidRPr="00DA6B9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– </w:t>
      </w:r>
      <w:r w:rsidRPr="00DA6B93">
        <w:rPr>
          <w:rFonts w:ascii="Times New Roman" w:hAnsi="Times New Roman" w:cs="Times New Roman"/>
        </w:rPr>
        <w:t>https://esj.today/PDF/20ECVN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520.pdf</w:t>
      </w:r>
    </w:p>
  </w:footnote>
  <w:footnote w:id="3">
    <w:p w:rsidR="00DA6B93" w:rsidRPr="00DA6B93" w:rsidRDefault="00DA6B93" w:rsidP="00DA6B93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DA6B93"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D7226">
        <w:rPr>
          <w:rFonts w:ascii="Times New Roman" w:hAnsi="Times New Roman" w:cs="Times New Roman"/>
          <w:i/>
        </w:rPr>
        <w:t>Волосатова А.А., Тихонова И.О.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Система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критерии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экспертной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оценки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проектов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эколого-технологической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модернизации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промышленности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Глобальные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вызовы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национальные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экологические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интересы: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экономические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социальные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аспекты.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Сборник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материалов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XVII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Межд.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научно-практ.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конф.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РОЭЭ.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Новосибирск,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DA6B93">
        <w:rPr>
          <w:rFonts w:ascii="Times New Roman" w:hAnsi="Times New Roman" w:cs="Times New Roman"/>
        </w:rPr>
        <w:t>396-402.</w:t>
      </w:r>
    </w:p>
  </w:footnote>
  <w:footnote w:id="4">
    <w:p w:rsidR="00DA6B93" w:rsidRPr="00DA6B93" w:rsidRDefault="00DA6B93" w:rsidP="00DA6B93">
      <w:pPr>
        <w:pStyle w:val="af6"/>
        <w:ind w:firstLine="709"/>
        <w:jc w:val="both"/>
        <w:rPr>
          <w:rFonts w:ascii="Times New Roman" w:hAnsi="Times New Roman" w:cs="Times New Roman"/>
          <w:lang w:val="en-GB"/>
        </w:rPr>
      </w:pPr>
      <w:r w:rsidRPr="00DA6B93"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US"/>
        </w:rPr>
        <w:t>Environmental</w:t>
      </w:r>
      <w:r>
        <w:rPr>
          <w:rFonts w:ascii="Times New Roman" w:hAnsi="Times New Roman" w:cs="Times New Roman"/>
          <w:lang w:val="en-US"/>
        </w:rPr>
        <w:t xml:space="preserve"> </w:t>
      </w:r>
      <w:r w:rsidRPr="00DA6B93">
        <w:rPr>
          <w:rFonts w:ascii="Times New Roman" w:hAnsi="Times New Roman" w:cs="Times New Roman"/>
          <w:lang w:val="en-US"/>
        </w:rPr>
        <w:t>Prices</w:t>
      </w:r>
      <w:r>
        <w:rPr>
          <w:rFonts w:ascii="Times New Roman" w:hAnsi="Times New Roman" w:cs="Times New Roman"/>
          <w:lang w:val="en-US"/>
        </w:rPr>
        <w:t xml:space="preserve"> </w:t>
      </w:r>
      <w:r w:rsidRPr="00DA6B93">
        <w:rPr>
          <w:rFonts w:ascii="Times New Roman" w:hAnsi="Times New Roman" w:cs="Times New Roman"/>
          <w:lang w:val="en-US"/>
        </w:rPr>
        <w:t>Handbook</w:t>
      </w:r>
      <w:r>
        <w:rPr>
          <w:rFonts w:ascii="Times New Roman" w:hAnsi="Times New Roman" w:cs="Times New Roman"/>
          <w:lang w:val="en-US"/>
        </w:rPr>
        <w:t xml:space="preserve"> </w:t>
      </w:r>
      <w:r w:rsidRPr="00DA6B93">
        <w:rPr>
          <w:rFonts w:ascii="Times New Roman" w:hAnsi="Times New Roman" w:cs="Times New Roman"/>
          <w:lang w:val="en-US"/>
        </w:rPr>
        <w:t>2024:</w:t>
      </w:r>
      <w:r>
        <w:rPr>
          <w:rFonts w:ascii="Times New Roman" w:hAnsi="Times New Roman" w:cs="Times New Roman"/>
          <w:lang w:val="en-US"/>
        </w:rPr>
        <w:t xml:space="preserve"> </w:t>
      </w:r>
      <w:r w:rsidRPr="00DA6B93">
        <w:rPr>
          <w:rFonts w:ascii="Times New Roman" w:hAnsi="Times New Roman" w:cs="Times New Roman"/>
          <w:lang w:val="en-US"/>
        </w:rPr>
        <w:t>EU</w:t>
      </w:r>
      <w:r>
        <w:rPr>
          <w:rFonts w:ascii="Times New Roman" w:hAnsi="Times New Roman" w:cs="Times New Roman"/>
          <w:lang w:val="en-US"/>
        </w:rPr>
        <w:t xml:space="preserve"> </w:t>
      </w:r>
      <w:r w:rsidRPr="00DA6B93">
        <w:rPr>
          <w:rFonts w:ascii="Times New Roman" w:hAnsi="Times New Roman" w:cs="Times New Roman"/>
          <w:lang w:val="en-US"/>
        </w:rPr>
        <w:t>27</w:t>
      </w:r>
      <w:r>
        <w:rPr>
          <w:rFonts w:ascii="Times New Roman" w:hAnsi="Times New Roman" w:cs="Times New Roman"/>
          <w:lang w:val="en-US"/>
        </w:rPr>
        <w:t xml:space="preserve"> </w:t>
      </w:r>
      <w:r w:rsidRPr="00DA6B93">
        <w:rPr>
          <w:rFonts w:ascii="Times New Roman" w:hAnsi="Times New Roman" w:cs="Times New Roman"/>
          <w:lang w:val="en-US"/>
        </w:rPr>
        <w:t>Version</w:t>
      </w:r>
      <w:r w:rsidR="005D7226" w:rsidRPr="005D7226">
        <w:rPr>
          <w:rFonts w:ascii="Times New Roman" w:hAnsi="Times New Roman" w:cs="Times New Roman"/>
          <w:lang w:val="en-US"/>
        </w:rPr>
        <w:t xml:space="preserve"> /</w:t>
      </w:r>
      <w:r>
        <w:rPr>
          <w:rFonts w:ascii="Times New Roman" w:hAnsi="Times New Roman" w:cs="Times New Roman"/>
          <w:lang w:val="en-US"/>
        </w:rPr>
        <w:t xml:space="preserve"> </w:t>
      </w:r>
      <w:r w:rsidRPr="00DA6B93">
        <w:rPr>
          <w:rFonts w:ascii="Times New Roman" w:hAnsi="Times New Roman" w:cs="Times New Roman"/>
          <w:lang w:val="en-US"/>
        </w:rPr>
        <w:t>University</w:t>
      </w:r>
      <w:r>
        <w:rPr>
          <w:rFonts w:ascii="Times New Roman" w:hAnsi="Times New Roman" w:cs="Times New Roman"/>
          <w:lang w:val="en-US"/>
        </w:rPr>
        <w:t xml:space="preserve"> </w:t>
      </w:r>
      <w:r w:rsidRPr="00DA6B93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DA6B93">
        <w:rPr>
          <w:rFonts w:ascii="Times New Roman" w:hAnsi="Times New Roman" w:cs="Times New Roman"/>
          <w:lang w:val="en-US"/>
        </w:rPr>
        <w:t>Delft</w:t>
      </w:r>
      <w:r w:rsidR="005D7226">
        <w:rPr>
          <w:rFonts w:ascii="Times New Roman" w:hAnsi="Times New Roman" w:cs="Times New Roman"/>
          <w:lang w:val="en-US"/>
        </w:rPr>
        <w:t>. –</w:t>
      </w:r>
      <w:r>
        <w:rPr>
          <w:rFonts w:ascii="Times New Roman" w:hAnsi="Times New Roman" w:cs="Times New Roman"/>
          <w:lang w:val="en-US"/>
        </w:rPr>
        <w:t xml:space="preserve"> </w:t>
      </w:r>
      <w:r w:rsidRPr="00DA6B93">
        <w:rPr>
          <w:rFonts w:ascii="Times New Roman" w:hAnsi="Times New Roman" w:cs="Times New Roman"/>
          <w:lang w:val="en-US"/>
        </w:rPr>
        <w:t>2024.</w:t>
      </w:r>
      <w:r>
        <w:rPr>
          <w:rFonts w:ascii="Times New Roman" w:hAnsi="Times New Roman" w:cs="Times New Roman"/>
          <w:lang w:val="en-US"/>
        </w:rPr>
        <w:t xml:space="preserve"> </w:t>
      </w:r>
      <w:r w:rsidRPr="00DA6B93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DA6B93">
        <w:rPr>
          <w:rFonts w:ascii="Times New Roman" w:hAnsi="Times New Roman" w:cs="Times New Roman"/>
          <w:lang w:val="en-US"/>
        </w:rPr>
        <w:t>251</w:t>
      </w:r>
      <w:r>
        <w:rPr>
          <w:rFonts w:ascii="Times New Roman" w:hAnsi="Times New Roman" w:cs="Times New Roman"/>
          <w:lang w:val="en-US"/>
        </w:rPr>
        <w:t xml:space="preserve"> </w:t>
      </w:r>
      <w:r w:rsidRPr="00DA6B93">
        <w:rPr>
          <w:rFonts w:ascii="Times New Roman" w:hAnsi="Times New Roman" w:cs="Times New Roman"/>
          <w:lang w:val="en-US"/>
        </w:rPr>
        <w:t>p</w:t>
      </w:r>
      <w:r w:rsidR="005D7226">
        <w:rPr>
          <w:rFonts w:ascii="Times New Roman" w:hAnsi="Times New Roman" w:cs="Times New Roman"/>
          <w:lang w:val="en-US"/>
        </w:rPr>
        <w:t>.</w:t>
      </w:r>
    </w:p>
  </w:footnote>
  <w:footnote w:id="5">
    <w:p w:rsidR="00DA6B93" w:rsidRPr="00DA6B93" w:rsidRDefault="00DA6B93" w:rsidP="00DA6B93">
      <w:pPr>
        <w:pStyle w:val="af6"/>
        <w:ind w:firstLine="709"/>
        <w:jc w:val="both"/>
        <w:rPr>
          <w:rFonts w:ascii="Times New Roman" w:hAnsi="Times New Roman" w:cs="Times New Roman"/>
          <w:lang w:val="en-GB"/>
        </w:rPr>
      </w:pPr>
      <w:r w:rsidRPr="00DA6B93">
        <w:rPr>
          <w:rStyle w:val="af8"/>
          <w:rFonts w:ascii="Times New Roman" w:hAnsi="Times New Roman" w:cs="Times New Roman"/>
        </w:rPr>
        <w:footnoteRef/>
      </w:r>
      <w:r w:rsidR="005D7226"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ISO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14040:2006.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Environmental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management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–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Life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cycle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assessment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–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Principles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and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framework.</w:t>
      </w:r>
      <w:r>
        <w:rPr>
          <w:rFonts w:ascii="Times New Roman" w:hAnsi="Times New Roman" w:cs="Times New Roman"/>
          <w:lang w:val="en-GB"/>
        </w:rPr>
        <w:t xml:space="preserve"> </w:t>
      </w:r>
    </w:p>
  </w:footnote>
  <w:footnote w:id="6">
    <w:p w:rsidR="00DA6B93" w:rsidRPr="00DA6B93" w:rsidRDefault="00DA6B93" w:rsidP="00DA6B93">
      <w:pPr>
        <w:pStyle w:val="af6"/>
        <w:ind w:firstLine="709"/>
        <w:jc w:val="both"/>
        <w:rPr>
          <w:rFonts w:ascii="Times New Roman" w:hAnsi="Times New Roman" w:cs="Times New Roman"/>
          <w:lang w:val="en-GB"/>
        </w:rPr>
      </w:pPr>
      <w:r w:rsidRPr="00DA6B93"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Environmental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Prices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Handbook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2024: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EU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27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Version</w:t>
      </w:r>
      <w:r w:rsidR="005D7226">
        <w:rPr>
          <w:rFonts w:ascii="Times New Roman" w:hAnsi="Times New Roman" w:cs="Times New Roman"/>
          <w:lang w:val="en-GB"/>
        </w:rPr>
        <w:t xml:space="preserve"> /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University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of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Delft</w:t>
      </w:r>
      <w:r w:rsidR="005D7226">
        <w:rPr>
          <w:rFonts w:ascii="Times New Roman" w:hAnsi="Times New Roman" w:cs="Times New Roman"/>
          <w:lang w:val="en-GB"/>
        </w:rPr>
        <w:t>. –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2024.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–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251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p</w:t>
      </w:r>
      <w:r w:rsidR="005D7226">
        <w:rPr>
          <w:rFonts w:ascii="Times New Roman" w:hAnsi="Times New Roman" w:cs="Times New Roman"/>
          <w:lang w:val="en-GB"/>
        </w:rPr>
        <w:t>.</w:t>
      </w:r>
    </w:p>
  </w:footnote>
  <w:footnote w:id="7">
    <w:p w:rsidR="00DA6B93" w:rsidRPr="005D7226" w:rsidRDefault="00DA6B93" w:rsidP="00DA6B93">
      <w:pPr>
        <w:pStyle w:val="af6"/>
        <w:ind w:firstLine="709"/>
        <w:jc w:val="both"/>
        <w:rPr>
          <w:rFonts w:ascii="Times New Roman" w:hAnsi="Times New Roman" w:cs="Times New Roman"/>
          <w:lang w:val="en-US"/>
        </w:rPr>
      </w:pPr>
      <w:r w:rsidRPr="00DA6B93"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Environmental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Prices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Handbook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2024: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EU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27</w:t>
      </w:r>
      <w:r>
        <w:rPr>
          <w:rFonts w:ascii="Times New Roman" w:hAnsi="Times New Roman" w:cs="Times New Roman"/>
          <w:lang w:val="en-GB"/>
        </w:rPr>
        <w:t xml:space="preserve"> </w:t>
      </w:r>
      <w:r w:rsidRPr="00DA6B93">
        <w:rPr>
          <w:rFonts w:ascii="Times New Roman" w:hAnsi="Times New Roman" w:cs="Times New Roman"/>
          <w:lang w:val="en-GB"/>
        </w:rPr>
        <w:t>Version</w:t>
      </w:r>
      <w:r w:rsidR="005D7226" w:rsidRPr="005D7226">
        <w:rPr>
          <w:rFonts w:ascii="Times New Roman" w:hAnsi="Times New Roman" w:cs="Times New Roman"/>
          <w:lang w:val="en-US"/>
        </w:rPr>
        <w:t xml:space="preserve"> /</w:t>
      </w:r>
      <w:r>
        <w:rPr>
          <w:rFonts w:ascii="Times New Roman" w:hAnsi="Times New Roman" w:cs="Times New Roman"/>
          <w:lang w:val="en-GB"/>
        </w:rPr>
        <w:t xml:space="preserve"> </w:t>
      </w:r>
      <w:r w:rsidRPr="005D7226">
        <w:rPr>
          <w:rFonts w:ascii="Times New Roman" w:hAnsi="Times New Roman" w:cs="Times New Roman"/>
          <w:lang w:val="en-US"/>
        </w:rPr>
        <w:t>University of Delft</w:t>
      </w:r>
      <w:r w:rsidR="005D7226">
        <w:rPr>
          <w:rFonts w:ascii="Times New Roman" w:hAnsi="Times New Roman" w:cs="Times New Roman"/>
          <w:lang w:val="en-US"/>
        </w:rPr>
        <w:t>. –</w:t>
      </w:r>
      <w:r w:rsidRPr="005D7226">
        <w:rPr>
          <w:rFonts w:ascii="Times New Roman" w:hAnsi="Times New Roman" w:cs="Times New Roman"/>
          <w:lang w:val="en-US"/>
        </w:rPr>
        <w:t xml:space="preserve"> 2024. – 251 p</w:t>
      </w:r>
      <w:r w:rsidR="005D7226">
        <w:rPr>
          <w:rFonts w:ascii="Times New Roman" w:hAnsi="Times New Roman" w:cs="Times New Roman"/>
          <w:lang w:val="en-US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B93" w:rsidRPr="00DA6B93" w:rsidRDefault="00DA6B93" w:rsidP="00DA6B93">
    <w:pPr>
      <w:pStyle w:val="a8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701F"/>
    <w:multiLevelType w:val="hybridMultilevel"/>
    <w:tmpl w:val="90FC9AA6"/>
    <w:lvl w:ilvl="0" w:tplc="51A21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A0084"/>
    <w:multiLevelType w:val="hybridMultilevel"/>
    <w:tmpl w:val="DACEA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F307D"/>
    <w:multiLevelType w:val="hybridMultilevel"/>
    <w:tmpl w:val="D484735E"/>
    <w:lvl w:ilvl="0" w:tplc="C108C9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7A0D22"/>
    <w:multiLevelType w:val="hybridMultilevel"/>
    <w:tmpl w:val="1A2C4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035C5"/>
    <w:multiLevelType w:val="hybridMultilevel"/>
    <w:tmpl w:val="5B1A8C52"/>
    <w:lvl w:ilvl="0" w:tplc="F3EC69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AC43B4"/>
    <w:multiLevelType w:val="hybridMultilevel"/>
    <w:tmpl w:val="AB02040C"/>
    <w:lvl w:ilvl="0" w:tplc="2DE29020">
      <w:start w:val="1"/>
      <w:numFmt w:val="decimal"/>
      <w:lvlText w:val="%1."/>
      <w:lvlJc w:val="left"/>
      <w:pPr>
        <w:ind w:left="1200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9262686"/>
    <w:multiLevelType w:val="hybridMultilevel"/>
    <w:tmpl w:val="E4309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B1B58"/>
    <w:multiLevelType w:val="hybridMultilevel"/>
    <w:tmpl w:val="19EE1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F7E5A"/>
    <w:multiLevelType w:val="hybridMultilevel"/>
    <w:tmpl w:val="3956FF02"/>
    <w:lvl w:ilvl="0" w:tplc="70864B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52360"/>
    <w:multiLevelType w:val="hybridMultilevel"/>
    <w:tmpl w:val="2AD45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B235B3"/>
    <w:multiLevelType w:val="hybridMultilevel"/>
    <w:tmpl w:val="8BF0FF40"/>
    <w:lvl w:ilvl="0" w:tplc="C108C9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1D32659"/>
    <w:multiLevelType w:val="hybridMultilevel"/>
    <w:tmpl w:val="8828FF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93FB5"/>
    <w:multiLevelType w:val="hybridMultilevel"/>
    <w:tmpl w:val="8ABE2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914660"/>
    <w:multiLevelType w:val="hybridMultilevel"/>
    <w:tmpl w:val="312CC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057660"/>
    <w:multiLevelType w:val="hybridMultilevel"/>
    <w:tmpl w:val="D2E6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B5A3A"/>
    <w:multiLevelType w:val="hybridMultilevel"/>
    <w:tmpl w:val="34B0AD4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4"/>
  </w:num>
  <w:num w:numId="5">
    <w:abstractNumId w:val="8"/>
  </w:num>
  <w:num w:numId="6">
    <w:abstractNumId w:val="9"/>
  </w:num>
  <w:num w:numId="7">
    <w:abstractNumId w:val="15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1"/>
  </w:num>
  <w:num w:numId="13">
    <w:abstractNumId w:val="12"/>
  </w:num>
  <w:num w:numId="14">
    <w:abstractNumId w:val="13"/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CD1BF8"/>
    <w:rsid w:val="00010696"/>
    <w:rsid w:val="000109E5"/>
    <w:rsid w:val="0001338E"/>
    <w:rsid w:val="000207CC"/>
    <w:rsid w:val="00031159"/>
    <w:rsid w:val="000327FA"/>
    <w:rsid w:val="0003711C"/>
    <w:rsid w:val="00046F05"/>
    <w:rsid w:val="0005092E"/>
    <w:rsid w:val="00050D1F"/>
    <w:rsid w:val="00052EBC"/>
    <w:rsid w:val="00056080"/>
    <w:rsid w:val="00067120"/>
    <w:rsid w:val="0007011B"/>
    <w:rsid w:val="000833C2"/>
    <w:rsid w:val="000836FE"/>
    <w:rsid w:val="000A02E3"/>
    <w:rsid w:val="000A18E2"/>
    <w:rsid w:val="000A27E2"/>
    <w:rsid w:val="000A6765"/>
    <w:rsid w:val="000B1834"/>
    <w:rsid w:val="000B5903"/>
    <w:rsid w:val="000B70F2"/>
    <w:rsid w:val="000D43E5"/>
    <w:rsid w:val="000E2B03"/>
    <w:rsid w:val="000F1A3F"/>
    <w:rsid w:val="000F1D5F"/>
    <w:rsid w:val="000F569D"/>
    <w:rsid w:val="000F5E10"/>
    <w:rsid w:val="000F6CEE"/>
    <w:rsid w:val="00103E8E"/>
    <w:rsid w:val="00105E0E"/>
    <w:rsid w:val="0010668F"/>
    <w:rsid w:val="00107EE7"/>
    <w:rsid w:val="0011091E"/>
    <w:rsid w:val="00140942"/>
    <w:rsid w:val="0015600C"/>
    <w:rsid w:val="001631D6"/>
    <w:rsid w:val="00167E1A"/>
    <w:rsid w:val="001735EE"/>
    <w:rsid w:val="001754AF"/>
    <w:rsid w:val="00181356"/>
    <w:rsid w:val="00183EA8"/>
    <w:rsid w:val="00192755"/>
    <w:rsid w:val="00197605"/>
    <w:rsid w:val="001A2E33"/>
    <w:rsid w:val="001A476C"/>
    <w:rsid w:val="001B6284"/>
    <w:rsid w:val="001C1751"/>
    <w:rsid w:val="001D34BF"/>
    <w:rsid w:val="001F3E82"/>
    <w:rsid w:val="001F5867"/>
    <w:rsid w:val="001F6AE5"/>
    <w:rsid w:val="0020314F"/>
    <w:rsid w:val="00203C65"/>
    <w:rsid w:val="002108EC"/>
    <w:rsid w:val="0021688A"/>
    <w:rsid w:val="00230400"/>
    <w:rsid w:val="00233921"/>
    <w:rsid w:val="00234F83"/>
    <w:rsid w:val="002366CF"/>
    <w:rsid w:val="00254283"/>
    <w:rsid w:val="0025513E"/>
    <w:rsid w:val="002572FC"/>
    <w:rsid w:val="0026130D"/>
    <w:rsid w:val="00263502"/>
    <w:rsid w:val="0026488A"/>
    <w:rsid w:val="00270ACA"/>
    <w:rsid w:val="00276DB1"/>
    <w:rsid w:val="0028205C"/>
    <w:rsid w:val="00284B78"/>
    <w:rsid w:val="00287CED"/>
    <w:rsid w:val="00294307"/>
    <w:rsid w:val="0029679D"/>
    <w:rsid w:val="002A2F10"/>
    <w:rsid w:val="002A6E5E"/>
    <w:rsid w:val="002A7B07"/>
    <w:rsid w:val="002B3843"/>
    <w:rsid w:val="002B54CC"/>
    <w:rsid w:val="002C1B15"/>
    <w:rsid w:val="002C5798"/>
    <w:rsid w:val="002D399D"/>
    <w:rsid w:val="002E6A1B"/>
    <w:rsid w:val="002F7249"/>
    <w:rsid w:val="003043EA"/>
    <w:rsid w:val="00305693"/>
    <w:rsid w:val="00310D36"/>
    <w:rsid w:val="003138C7"/>
    <w:rsid w:val="0031500B"/>
    <w:rsid w:val="00316782"/>
    <w:rsid w:val="003271A7"/>
    <w:rsid w:val="00334C68"/>
    <w:rsid w:val="0033509D"/>
    <w:rsid w:val="0034002E"/>
    <w:rsid w:val="00364BAF"/>
    <w:rsid w:val="00372641"/>
    <w:rsid w:val="00373B46"/>
    <w:rsid w:val="00392A17"/>
    <w:rsid w:val="00392E42"/>
    <w:rsid w:val="00393803"/>
    <w:rsid w:val="00397245"/>
    <w:rsid w:val="003A19AE"/>
    <w:rsid w:val="003A2B4B"/>
    <w:rsid w:val="003A3B0C"/>
    <w:rsid w:val="003B2DE9"/>
    <w:rsid w:val="003B7AF6"/>
    <w:rsid w:val="003C1E15"/>
    <w:rsid w:val="003C6ACE"/>
    <w:rsid w:val="003D26F4"/>
    <w:rsid w:val="003D409A"/>
    <w:rsid w:val="003D58C2"/>
    <w:rsid w:val="003D5C1E"/>
    <w:rsid w:val="003D6C32"/>
    <w:rsid w:val="003E3647"/>
    <w:rsid w:val="003E6AD4"/>
    <w:rsid w:val="003E7465"/>
    <w:rsid w:val="0040180E"/>
    <w:rsid w:val="00403ED8"/>
    <w:rsid w:val="00404310"/>
    <w:rsid w:val="00406A35"/>
    <w:rsid w:val="004121E7"/>
    <w:rsid w:val="00416F4F"/>
    <w:rsid w:val="00423F60"/>
    <w:rsid w:val="004246AD"/>
    <w:rsid w:val="00432FE8"/>
    <w:rsid w:val="004345FC"/>
    <w:rsid w:val="00436FEC"/>
    <w:rsid w:val="00437223"/>
    <w:rsid w:val="004428E3"/>
    <w:rsid w:val="0044373E"/>
    <w:rsid w:val="0045533C"/>
    <w:rsid w:val="00462597"/>
    <w:rsid w:val="00472D02"/>
    <w:rsid w:val="004743E6"/>
    <w:rsid w:val="00477FBA"/>
    <w:rsid w:val="00485028"/>
    <w:rsid w:val="0048559F"/>
    <w:rsid w:val="004867B8"/>
    <w:rsid w:val="0049071B"/>
    <w:rsid w:val="00491E39"/>
    <w:rsid w:val="00494DCC"/>
    <w:rsid w:val="004A078C"/>
    <w:rsid w:val="004A0E88"/>
    <w:rsid w:val="004A7C40"/>
    <w:rsid w:val="004B3429"/>
    <w:rsid w:val="004B44DF"/>
    <w:rsid w:val="004B7CC6"/>
    <w:rsid w:val="004D1C22"/>
    <w:rsid w:val="004D4C4F"/>
    <w:rsid w:val="004E1A37"/>
    <w:rsid w:val="004E2EF4"/>
    <w:rsid w:val="004E3660"/>
    <w:rsid w:val="004E4FBF"/>
    <w:rsid w:val="004E6870"/>
    <w:rsid w:val="00501DAA"/>
    <w:rsid w:val="00512329"/>
    <w:rsid w:val="005319A7"/>
    <w:rsid w:val="00540053"/>
    <w:rsid w:val="0054466F"/>
    <w:rsid w:val="00577C1E"/>
    <w:rsid w:val="00582E03"/>
    <w:rsid w:val="00587292"/>
    <w:rsid w:val="0059273C"/>
    <w:rsid w:val="00592D56"/>
    <w:rsid w:val="00596CD2"/>
    <w:rsid w:val="005A227E"/>
    <w:rsid w:val="005A33C6"/>
    <w:rsid w:val="005A7E24"/>
    <w:rsid w:val="005B36B1"/>
    <w:rsid w:val="005C21E8"/>
    <w:rsid w:val="005D7226"/>
    <w:rsid w:val="005E7CB6"/>
    <w:rsid w:val="005F7DAE"/>
    <w:rsid w:val="00606278"/>
    <w:rsid w:val="0061067F"/>
    <w:rsid w:val="00617102"/>
    <w:rsid w:val="00625C4B"/>
    <w:rsid w:val="006459B5"/>
    <w:rsid w:val="0065645B"/>
    <w:rsid w:val="006629DE"/>
    <w:rsid w:val="00662DA9"/>
    <w:rsid w:val="006656CD"/>
    <w:rsid w:val="006737F4"/>
    <w:rsid w:val="00676989"/>
    <w:rsid w:val="00681417"/>
    <w:rsid w:val="006977C3"/>
    <w:rsid w:val="006A29EA"/>
    <w:rsid w:val="006A616C"/>
    <w:rsid w:val="006B3EAA"/>
    <w:rsid w:val="006B764C"/>
    <w:rsid w:val="006C5618"/>
    <w:rsid w:val="006C5993"/>
    <w:rsid w:val="006D1B41"/>
    <w:rsid w:val="006D4FE1"/>
    <w:rsid w:val="006D5734"/>
    <w:rsid w:val="006F1293"/>
    <w:rsid w:val="007046F3"/>
    <w:rsid w:val="00713E2B"/>
    <w:rsid w:val="007226B4"/>
    <w:rsid w:val="00726A18"/>
    <w:rsid w:val="00734745"/>
    <w:rsid w:val="00737E6E"/>
    <w:rsid w:val="00743835"/>
    <w:rsid w:val="00755179"/>
    <w:rsid w:val="007669B2"/>
    <w:rsid w:val="007700D0"/>
    <w:rsid w:val="0077318D"/>
    <w:rsid w:val="00773E5A"/>
    <w:rsid w:val="007763E4"/>
    <w:rsid w:val="00790FC7"/>
    <w:rsid w:val="007A0B50"/>
    <w:rsid w:val="007B07EA"/>
    <w:rsid w:val="007B5096"/>
    <w:rsid w:val="007C417D"/>
    <w:rsid w:val="007C4C0B"/>
    <w:rsid w:val="007C5CBE"/>
    <w:rsid w:val="007C7065"/>
    <w:rsid w:val="007D0BD8"/>
    <w:rsid w:val="007D6C49"/>
    <w:rsid w:val="007D712F"/>
    <w:rsid w:val="007E0709"/>
    <w:rsid w:val="007E2BF7"/>
    <w:rsid w:val="007E3B11"/>
    <w:rsid w:val="007E57A2"/>
    <w:rsid w:val="007F1AD4"/>
    <w:rsid w:val="007F5B31"/>
    <w:rsid w:val="008053D9"/>
    <w:rsid w:val="00813869"/>
    <w:rsid w:val="00824318"/>
    <w:rsid w:val="0083505B"/>
    <w:rsid w:val="00847F25"/>
    <w:rsid w:val="00864962"/>
    <w:rsid w:val="00886F99"/>
    <w:rsid w:val="00891BC0"/>
    <w:rsid w:val="00892CEA"/>
    <w:rsid w:val="00894F67"/>
    <w:rsid w:val="008A0D18"/>
    <w:rsid w:val="008A360E"/>
    <w:rsid w:val="008A57F7"/>
    <w:rsid w:val="008A6734"/>
    <w:rsid w:val="008A78B6"/>
    <w:rsid w:val="008A7F1B"/>
    <w:rsid w:val="008B078F"/>
    <w:rsid w:val="008B6FAD"/>
    <w:rsid w:val="008C3C3A"/>
    <w:rsid w:val="00900973"/>
    <w:rsid w:val="00902C61"/>
    <w:rsid w:val="009053F9"/>
    <w:rsid w:val="009159CA"/>
    <w:rsid w:val="00931791"/>
    <w:rsid w:val="00937992"/>
    <w:rsid w:val="00937FBD"/>
    <w:rsid w:val="00942944"/>
    <w:rsid w:val="00955EFD"/>
    <w:rsid w:val="00956EAB"/>
    <w:rsid w:val="009606DC"/>
    <w:rsid w:val="00960D06"/>
    <w:rsid w:val="00960D27"/>
    <w:rsid w:val="00964051"/>
    <w:rsid w:val="00973EDA"/>
    <w:rsid w:val="00973F41"/>
    <w:rsid w:val="0097515E"/>
    <w:rsid w:val="00977A46"/>
    <w:rsid w:val="00990890"/>
    <w:rsid w:val="00993B7C"/>
    <w:rsid w:val="009965E4"/>
    <w:rsid w:val="009A3E39"/>
    <w:rsid w:val="009A6482"/>
    <w:rsid w:val="009B30E7"/>
    <w:rsid w:val="009C062A"/>
    <w:rsid w:val="009D02CD"/>
    <w:rsid w:val="009D091D"/>
    <w:rsid w:val="009D0C75"/>
    <w:rsid w:val="009D7D7B"/>
    <w:rsid w:val="009E0AE4"/>
    <w:rsid w:val="009E4758"/>
    <w:rsid w:val="009E5579"/>
    <w:rsid w:val="009F0386"/>
    <w:rsid w:val="00A102C7"/>
    <w:rsid w:val="00A105D5"/>
    <w:rsid w:val="00A141FC"/>
    <w:rsid w:val="00A2005C"/>
    <w:rsid w:val="00A32844"/>
    <w:rsid w:val="00A36873"/>
    <w:rsid w:val="00A43A60"/>
    <w:rsid w:val="00A45324"/>
    <w:rsid w:val="00A46DBD"/>
    <w:rsid w:val="00A54223"/>
    <w:rsid w:val="00A54976"/>
    <w:rsid w:val="00A64FF6"/>
    <w:rsid w:val="00A75482"/>
    <w:rsid w:val="00A8776F"/>
    <w:rsid w:val="00A947AF"/>
    <w:rsid w:val="00AC29E3"/>
    <w:rsid w:val="00AC7CC8"/>
    <w:rsid w:val="00AD601C"/>
    <w:rsid w:val="00AD6A05"/>
    <w:rsid w:val="00AE3CD0"/>
    <w:rsid w:val="00AE5857"/>
    <w:rsid w:val="00B0602B"/>
    <w:rsid w:val="00B135FB"/>
    <w:rsid w:val="00B16FAA"/>
    <w:rsid w:val="00B352A6"/>
    <w:rsid w:val="00B40483"/>
    <w:rsid w:val="00B422AA"/>
    <w:rsid w:val="00B5456F"/>
    <w:rsid w:val="00B74448"/>
    <w:rsid w:val="00B918DA"/>
    <w:rsid w:val="00B9619C"/>
    <w:rsid w:val="00BA5BB2"/>
    <w:rsid w:val="00BA7420"/>
    <w:rsid w:val="00BB7B0F"/>
    <w:rsid w:val="00BC018B"/>
    <w:rsid w:val="00BD35B2"/>
    <w:rsid w:val="00BD511D"/>
    <w:rsid w:val="00BE31C3"/>
    <w:rsid w:val="00BE55F0"/>
    <w:rsid w:val="00BF2597"/>
    <w:rsid w:val="00BF4668"/>
    <w:rsid w:val="00C10350"/>
    <w:rsid w:val="00C105DC"/>
    <w:rsid w:val="00C14B69"/>
    <w:rsid w:val="00C154B4"/>
    <w:rsid w:val="00C15F08"/>
    <w:rsid w:val="00C24139"/>
    <w:rsid w:val="00C261A3"/>
    <w:rsid w:val="00C34C94"/>
    <w:rsid w:val="00C365DB"/>
    <w:rsid w:val="00C41A7A"/>
    <w:rsid w:val="00C4404A"/>
    <w:rsid w:val="00C4628E"/>
    <w:rsid w:val="00C601D3"/>
    <w:rsid w:val="00C71230"/>
    <w:rsid w:val="00C713C3"/>
    <w:rsid w:val="00C8156B"/>
    <w:rsid w:val="00C84D36"/>
    <w:rsid w:val="00CA1D62"/>
    <w:rsid w:val="00CA7174"/>
    <w:rsid w:val="00CB59DB"/>
    <w:rsid w:val="00CD0A9A"/>
    <w:rsid w:val="00CD1BF8"/>
    <w:rsid w:val="00CD226B"/>
    <w:rsid w:val="00CE1063"/>
    <w:rsid w:val="00CE297A"/>
    <w:rsid w:val="00CE49FD"/>
    <w:rsid w:val="00CF173E"/>
    <w:rsid w:val="00CF4EF7"/>
    <w:rsid w:val="00CF5CEA"/>
    <w:rsid w:val="00D02849"/>
    <w:rsid w:val="00D1396A"/>
    <w:rsid w:val="00D20BE2"/>
    <w:rsid w:val="00D22F54"/>
    <w:rsid w:val="00D26FCF"/>
    <w:rsid w:val="00D27B24"/>
    <w:rsid w:val="00D31D15"/>
    <w:rsid w:val="00D34F1F"/>
    <w:rsid w:val="00D424E5"/>
    <w:rsid w:val="00D60D26"/>
    <w:rsid w:val="00D630F7"/>
    <w:rsid w:val="00D63955"/>
    <w:rsid w:val="00D80207"/>
    <w:rsid w:val="00D81E76"/>
    <w:rsid w:val="00D905A2"/>
    <w:rsid w:val="00D907BC"/>
    <w:rsid w:val="00D93BCE"/>
    <w:rsid w:val="00DA238B"/>
    <w:rsid w:val="00DA6B93"/>
    <w:rsid w:val="00DB3CD3"/>
    <w:rsid w:val="00DC37CA"/>
    <w:rsid w:val="00DD097F"/>
    <w:rsid w:val="00DD4D9A"/>
    <w:rsid w:val="00DD6FE8"/>
    <w:rsid w:val="00DE45D7"/>
    <w:rsid w:val="00DF3F3A"/>
    <w:rsid w:val="00E017D9"/>
    <w:rsid w:val="00E02EAC"/>
    <w:rsid w:val="00E046D0"/>
    <w:rsid w:val="00E0530F"/>
    <w:rsid w:val="00E32029"/>
    <w:rsid w:val="00E330A4"/>
    <w:rsid w:val="00E45678"/>
    <w:rsid w:val="00E47FE2"/>
    <w:rsid w:val="00E733A4"/>
    <w:rsid w:val="00E8166C"/>
    <w:rsid w:val="00EC526C"/>
    <w:rsid w:val="00EC58FE"/>
    <w:rsid w:val="00EC6485"/>
    <w:rsid w:val="00ED49D7"/>
    <w:rsid w:val="00ED668A"/>
    <w:rsid w:val="00EE10D3"/>
    <w:rsid w:val="00EE32AE"/>
    <w:rsid w:val="00EE6AA5"/>
    <w:rsid w:val="00EE7F3F"/>
    <w:rsid w:val="00EF04EE"/>
    <w:rsid w:val="00EF2299"/>
    <w:rsid w:val="00EF6652"/>
    <w:rsid w:val="00F00F03"/>
    <w:rsid w:val="00F042C7"/>
    <w:rsid w:val="00F0515F"/>
    <w:rsid w:val="00F20197"/>
    <w:rsid w:val="00F22924"/>
    <w:rsid w:val="00F37F8E"/>
    <w:rsid w:val="00F4364C"/>
    <w:rsid w:val="00F447AE"/>
    <w:rsid w:val="00F56489"/>
    <w:rsid w:val="00F661C5"/>
    <w:rsid w:val="00F708B1"/>
    <w:rsid w:val="00F74D3E"/>
    <w:rsid w:val="00F811DA"/>
    <w:rsid w:val="00FA4A3A"/>
    <w:rsid w:val="00FA6151"/>
    <w:rsid w:val="00FC15D0"/>
    <w:rsid w:val="00FC286D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724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3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D6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91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1BC0"/>
  </w:style>
  <w:style w:type="paragraph" w:styleId="aa">
    <w:name w:val="footer"/>
    <w:basedOn w:val="a"/>
    <w:link w:val="ab"/>
    <w:uiPriority w:val="99"/>
    <w:unhideWhenUsed/>
    <w:rsid w:val="00891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1BC0"/>
  </w:style>
  <w:style w:type="paragraph" w:styleId="ac">
    <w:name w:val="Revision"/>
    <w:hidden/>
    <w:uiPriority w:val="99"/>
    <w:semiHidden/>
    <w:rsid w:val="009D7D7B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9D7D7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D7D7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D7D7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7D7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D7D7B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01DAA"/>
    <w:rPr>
      <w:color w:val="0563C1" w:themeColor="hyperlink"/>
      <w:u w:val="single"/>
    </w:rPr>
  </w:style>
  <w:style w:type="paragraph" w:styleId="af3">
    <w:name w:val="endnote text"/>
    <w:basedOn w:val="a"/>
    <w:link w:val="af4"/>
    <w:uiPriority w:val="99"/>
    <w:unhideWhenUsed/>
    <w:rsid w:val="00CD226B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rsid w:val="00CD226B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CD226B"/>
    <w:rPr>
      <w:vertAlign w:val="superscript"/>
    </w:rPr>
  </w:style>
  <w:style w:type="paragraph" w:customStyle="1" w:styleId="1">
    <w:name w:val="Текст сноски1"/>
    <w:basedOn w:val="a"/>
    <w:next w:val="af6"/>
    <w:link w:val="af7"/>
    <w:uiPriority w:val="99"/>
    <w:semiHidden/>
    <w:unhideWhenUsed/>
    <w:rsid w:val="00270ACA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1"/>
    <w:uiPriority w:val="99"/>
    <w:semiHidden/>
    <w:rsid w:val="00270ACA"/>
    <w:rPr>
      <w:rFonts w:eastAsia="SimSun"/>
      <w:kern w:val="0"/>
      <w:sz w:val="20"/>
      <w:szCs w:val="20"/>
      <w:lang w:eastAsia="en-US"/>
    </w:rPr>
  </w:style>
  <w:style w:type="character" w:styleId="af8">
    <w:name w:val="footnote reference"/>
    <w:basedOn w:val="a0"/>
    <w:uiPriority w:val="99"/>
    <w:semiHidden/>
    <w:unhideWhenUsed/>
    <w:rsid w:val="00270ACA"/>
    <w:rPr>
      <w:vertAlign w:val="superscript"/>
    </w:rPr>
  </w:style>
  <w:style w:type="paragraph" w:styleId="af6">
    <w:name w:val="footnote text"/>
    <w:basedOn w:val="a"/>
    <w:link w:val="10"/>
    <w:uiPriority w:val="99"/>
    <w:unhideWhenUsed/>
    <w:rsid w:val="00270AC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f6"/>
    <w:uiPriority w:val="99"/>
    <w:rsid w:val="00270ACA"/>
    <w:rPr>
      <w:sz w:val="20"/>
      <w:szCs w:val="20"/>
    </w:rPr>
  </w:style>
  <w:style w:type="character" w:styleId="af9">
    <w:name w:val="FollowedHyperlink"/>
    <w:basedOn w:val="a0"/>
    <w:uiPriority w:val="99"/>
    <w:semiHidden/>
    <w:unhideWhenUsed/>
    <w:rsid w:val="00582E03"/>
    <w:rPr>
      <w:color w:val="954F72" w:themeColor="followedHyperlink"/>
      <w:u w:val="single"/>
    </w:rPr>
  </w:style>
  <w:style w:type="paragraph" w:styleId="afa">
    <w:name w:val="No Spacing"/>
    <w:uiPriority w:val="1"/>
    <w:qFormat/>
    <w:rsid w:val="005D72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4B6C6-5DB2-44E5-A8A9-C799F651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5</cp:revision>
  <cp:lastPrinted>2023-09-04T08:21:00Z</cp:lastPrinted>
  <dcterms:created xsi:type="dcterms:W3CDTF">2025-07-11T05:16:00Z</dcterms:created>
  <dcterms:modified xsi:type="dcterms:W3CDTF">2025-07-16T15:28:00Z</dcterms:modified>
</cp:coreProperties>
</file>