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theme/themeOverride2.xml" ContentType="application/vnd.openxmlformats-officedocument.themeOverride+xml"/>
  <Override PartName="/word/theme/themeOverride3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charts/colors7.xml" ContentType="application/vnd.ms-office.chartcolorstyle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olors5.xml" ContentType="application/vnd.ms-office.chartcolorstyle+xml"/>
  <Override PartName="/word/charts/colors6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olors4.xml" ContentType="application/vnd.ms-office.chartcolorstyle+xml"/>
  <Override PartName="/word/charts/colors3.xml" ContentType="application/vnd.ms-office.chartcolorstyle+xml"/>
  <Override PartName="/word/charts/style6.xml" ContentType="application/vnd.ms-office.chartstyle+xml"/>
  <Override PartName="/word/charts/style7.xml" ContentType="application/vnd.ms-office.chartstyle+xml"/>
  <Override PartName="/word/charts/chart2.xml" ContentType="application/vnd.openxmlformats-officedocument.drawingml.chart+xml"/>
  <Override PartName="/word/charts/chart3.xml" ContentType="application/vnd.openxmlformats-officedocument.drawingml.chart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charts/style4.xml" ContentType="application/vnd.ms-office.chartstyle+xml"/>
  <Override PartName="/word/charts/style5.xml" ContentType="application/vnd.ms-office.chartstyle+xml"/>
  <Override PartName="/word/charts/style3.xml" ContentType="application/vnd.ms-office.chartstyle+xml"/>
  <Override PartName="/word/charts/colors1.xml" ContentType="application/vnd.ms-office.chartcolorstyle+xml"/>
  <Override PartName="/word/charts/colors2.xml" ContentType="application/vnd.ms-office.chartcolorsty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harts/style1.xml" ContentType="application/vnd.ms-office.chartstyle+xml"/>
  <Override PartName="/word/charts/style2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1390" w:rsidRPr="008E1914" w:rsidRDefault="00CF1390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1914">
        <w:rPr>
          <w:rFonts w:ascii="Times New Roman" w:hAnsi="Times New Roman"/>
          <w:b/>
          <w:i/>
          <w:sz w:val="24"/>
          <w:szCs w:val="24"/>
        </w:rPr>
        <w:t>Дорошенко</w:t>
      </w:r>
      <w:r w:rsidR="008E19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i/>
          <w:sz w:val="24"/>
          <w:szCs w:val="24"/>
        </w:rPr>
        <w:t>С.В.</w:t>
      </w:r>
    </w:p>
    <w:p w:rsidR="00CF1390" w:rsidRPr="008E1914" w:rsidRDefault="00CF1390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д.э.н.,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зав.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8E1914" w:rsidRPr="008E1914">
        <w:rPr>
          <w:rFonts w:ascii="Times New Roman" w:hAnsi="Times New Roman"/>
          <w:sz w:val="24"/>
          <w:szCs w:val="24"/>
        </w:rPr>
        <w:t>С</w:t>
      </w:r>
      <w:r w:rsidRPr="008E1914">
        <w:rPr>
          <w:rFonts w:ascii="Times New Roman" w:hAnsi="Times New Roman"/>
          <w:sz w:val="24"/>
          <w:szCs w:val="24"/>
        </w:rPr>
        <w:t>ектором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исследований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адаптации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систем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Института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РАН</w:t>
      </w:r>
    </w:p>
    <w:p w:rsidR="00737716" w:rsidRPr="008E1914" w:rsidRDefault="000D7E7D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1914">
        <w:rPr>
          <w:rFonts w:ascii="Times New Roman" w:hAnsi="Times New Roman"/>
          <w:b/>
          <w:i/>
          <w:sz w:val="24"/>
          <w:szCs w:val="24"/>
        </w:rPr>
        <w:t>Кислая</w:t>
      </w:r>
      <w:r w:rsidR="008E19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i/>
          <w:sz w:val="24"/>
          <w:szCs w:val="24"/>
        </w:rPr>
        <w:t>Т.Н.</w:t>
      </w:r>
    </w:p>
    <w:p w:rsidR="00A628C4" w:rsidRPr="008E1914" w:rsidRDefault="000D7E7D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к.э.н.,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доцент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D1F82" w:rsidRPr="008E1914">
        <w:rPr>
          <w:rFonts w:ascii="Times New Roman" w:hAnsi="Times New Roman"/>
          <w:bCs/>
          <w:sz w:val="24"/>
          <w:szCs w:val="24"/>
        </w:rPr>
        <w:t>К</w:t>
      </w:r>
      <w:r w:rsidRPr="008E1914">
        <w:rPr>
          <w:rFonts w:ascii="Times New Roman" w:hAnsi="Times New Roman"/>
          <w:bCs/>
          <w:sz w:val="24"/>
          <w:szCs w:val="24"/>
        </w:rPr>
        <w:t>афедры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менеджмента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и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экономической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безопасности</w:t>
      </w:r>
      <w:r w:rsidR="008E1914">
        <w:rPr>
          <w:rFonts w:ascii="Times New Roman" w:hAnsi="Times New Roman"/>
          <w:bCs/>
          <w:sz w:val="24"/>
          <w:szCs w:val="24"/>
        </w:rPr>
        <w:t xml:space="preserve">, </w:t>
      </w:r>
      <w:r w:rsidRPr="008E1914">
        <w:rPr>
          <w:rFonts w:ascii="Times New Roman" w:hAnsi="Times New Roman"/>
          <w:bCs/>
          <w:sz w:val="24"/>
          <w:szCs w:val="24"/>
        </w:rPr>
        <w:t>Луганский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государственный</w:t>
      </w:r>
      <w:r w:rsidR="008E1914">
        <w:rPr>
          <w:rFonts w:ascii="Times New Roman" w:hAnsi="Times New Roman"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Cs/>
          <w:sz w:val="24"/>
          <w:szCs w:val="24"/>
        </w:rPr>
        <w:t>уни</w:t>
      </w:r>
      <w:r w:rsidR="00A777A0" w:rsidRPr="008E1914">
        <w:rPr>
          <w:rFonts w:ascii="Times New Roman" w:hAnsi="Times New Roman"/>
          <w:bCs/>
          <w:sz w:val="24"/>
          <w:szCs w:val="24"/>
        </w:rPr>
        <w:t>верситет</w:t>
      </w:r>
    </w:p>
    <w:p w:rsidR="005D3680" w:rsidRPr="008E1914" w:rsidRDefault="005D3680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94635" w:rsidRPr="008E1914" w:rsidRDefault="00B27E32" w:rsidP="008E1914">
      <w:pPr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АДАПТАЦИЯ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ВЫЗОВАМ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ВНЕШНЕЙ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СРЕДЫ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РАЗНЫХ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ПЕРИОДОВ</w:t>
      </w:r>
    </w:p>
    <w:p w:rsidR="00594635" w:rsidRPr="008E1914" w:rsidRDefault="00594635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  <w:highlight w:val="yellow"/>
        </w:rPr>
      </w:pPr>
    </w:p>
    <w:p w:rsidR="005D3680" w:rsidRPr="008E1914" w:rsidRDefault="005D3680" w:rsidP="008E191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8E1914">
        <w:rPr>
          <w:rFonts w:ascii="Times New Roman" w:hAnsi="Times New Roman"/>
          <w:b/>
          <w:i/>
          <w:sz w:val="24"/>
          <w:szCs w:val="24"/>
        </w:rPr>
        <w:t>Ключевые</w:t>
      </w:r>
      <w:r w:rsidR="008E1914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i/>
          <w:sz w:val="24"/>
          <w:szCs w:val="24"/>
        </w:rPr>
        <w:t>слова</w:t>
      </w:r>
      <w:r w:rsidRPr="008E1914">
        <w:rPr>
          <w:rFonts w:ascii="Times New Roman" w:hAnsi="Times New Roman"/>
          <w:i/>
          <w:sz w:val="24"/>
          <w:szCs w:val="24"/>
        </w:rPr>
        <w:t>: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85724E" w:rsidRPr="008E1914">
        <w:rPr>
          <w:rFonts w:ascii="Times New Roman" w:hAnsi="Times New Roman"/>
          <w:i/>
          <w:sz w:val="24"/>
          <w:szCs w:val="24"/>
        </w:rPr>
        <w:t>новые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85724E" w:rsidRPr="008E1914">
        <w:rPr>
          <w:rFonts w:ascii="Times New Roman" w:hAnsi="Times New Roman"/>
          <w:i/>
          <w:sz w:val="24"/>
          <w:szCs w:val="24"/>
        </w:rPr>
        <w:t>регионы,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Луганская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Народная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Республика,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промышленное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развитие,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интеграция,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адаптация,</w:t>
      </w:r>
      <w:r w:rsidR="008E1914">
        <w:rPr>
          <w:rFonts w:ascii="Times New Roman" w:hAnsi="Times New Roman"/>
          <w:i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</w:rPr>
        <w:t>институты</w:t>
      </w:r>
      <w:r w:rsidR="008E1914">
        <w:rPr>
          <w:rFonts w:ascii="Times New Roman" w:hAnsi="Times New Roman"/>
          <w:i/>
          <w:sz w:val="24"/>
          <w:szCs w:val="24"/>
        </w:rPr>
        <w:t>.</w:t>
      </w:r>
    </w:p>
    <w:p w:rsidR="005D3680" w:rsidRPr="008E1914" w:rsidRDefault="005D3680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lang w:val="en-US"/>
        </w:rPr>
      </w:pPr>
      <w:r w:rsidRPr="008E1914">
        <w:rPr>
          <w:rFonts w:ascii="Times New Roman" w:hAnsi="Times New Roman"/>
          <w:b/>
          <w:i/>
          <w:sz w:val="24"/>
          <w:szCs w:val="24"/>
          <w:lang w:val="en-US"/>
        </w:rPr>
        <w:t>Keywords:</w:t>
      </w:r>
      <w:r w:rsidR="008E191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85724E" w:rsidRPr="008E1914">
        <w:rPr>
          <w:rFonts w:ascii="Times New Roman" w:hAnsi="Times New Roman"/>
          <w:i/>
          <w:sz w:val="24"/>
          <w:szCs w:val="24"/>
          <w:lang w:val="en-US"/>
        </w:rPr>
        <w:t>new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85724E" w:rsidRPr="008E1914">
        <w:rPr>
          <w:rFonts w:ascii="Times New Roman" w:hAnsi="Times New Roman"/>
          <w:i/>
          <w:sz w:val="24"/>
          <w:szCs w:val="24"/>
          <w:lang w:val="en-US"/>
        </w:rPr>
        <w:t>regions,</w:t>
      </w:r>
      <w:r w:rsidR="008E1914">
        <w:rPr>
          <w:rFonts w:ascii="Times New Roman" w:hAnsi="Times New Roman"/>
          <w:b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Luhansk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People's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Republic,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industrial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development,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integration,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adaptation,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 xml:space="preserve"> </w:t>
      </w:r>
      <w:r w:rsidR="000350FB" w:rsidRPr="008E1914">
        <w:rPr>
          <w:rFonts w:ascii="Times New Roman" w:hAnsi="Times New Roman"/>
          <w:i/>
          <w:sz w:val="24"/>
          <w:szCs w:val="24"/>
          <w:lang w:val="en-US"/>
        </w:rPr>
        <w:t>institutions</w:t>
      </w:r>
      <w:r w:rsidR="008E1914">
        <w:rPr>
          <w:rFonts w:ascii="Times New Roman" w:hAnsi="Times New Roman"/>
          <w:i/>
          <w:sz w:val="24"/>
          <w:szCs w:val="24"/>
          <w:lang w:val="en-US"/>
        </w:rPr>
        <w:t>.</w:t>
      </w:r>
    </w:p>
    <w:p w:rsidR="00F65BEC" w:rsidRPr="008E1914" w:rsidRDefault="00F65BEC" w:rsidP="008E1914">
      <w:pPr>
        <w:spacing w:after="0" w:line="360" w:lineRule="auto"/>
        <w:ind w:firstLine="709"/>
        <w:jc w:val="both"/>
        <w:rPr>
          <w:rFonts w:ascii="Times New Roman" w:hAnsi="Times New Roman"/>
          <w:i/>
          <w:sz w:val="24"/>
          <w:szCs w:val="24"/>
          <w:lang w:val="en-US"/>
        </w:rPr>
      </w:pP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Луганск</w:t>
      </w:r>
      <w:r w:rsidR="00A777A0" w:rsidRPr="008E1914">
        <w:rPr>
          <w:rFonts w:ascii="Times New Roman" w:hAnsi="Times New Roman"/>
          <w:sz w:val="24"/>
          <w:szCs w:val="24"/>
        </w:rPr>
        <w:t>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Народн</w:t>
      </w:r>
      <w:r w:rsidR="00A777A0" w:rsidRPr="008E1914">
        <w:rPr>
          <w:rFonts w:ascii="Times New Roman" w:hAnsi="Times New Roman"/>
          <w:sz w:val="24"/>
          <w:szCs w:val="24"/>
        </w:rPr>
        <w:t>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</w:t>
      </w:r>
      <w:r w:rsidR="00A777A0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начала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1990-х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пережила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периода: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</w:t>
      </w:r>
      <w:r w:rsidR="00A777A0" w:rsidRPr="008E1914">
        <w:rPr>
          <w:rFonts w:ascii="Times New Roman" w:hAnsi="Times New Roman"/>
          <w:sz w:val="24"/>
          <w:szCs w:val="24"/>
        </w:rPr>
        <w:t>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</w:t>
      </w:r>
      <w:r w:rsidR="00A777A0" w:rsidRPr="008E1914">
        <w:rPr>
          <w:rFonts w:ascii="Times New Roman" w:hAnsi="Times New Roman"/>
          <w:sz w:val="24"/>
          <w:szCs w:val="24"/>
        </w:rPr>
        <w:t>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(1991-2013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гг.),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образовани</w:t>
      </w:r>
      <w:r w:rsidR="00A777A0" w:rsidRPr="008E1914">
        <w:rPr>
          <w:rFonts w:ascii="Times New Roman" w:hAnsi="Times New Roman"/>
          <w:sz w:val="24"/>
          <w:szCs w:val="24"/>
        </w:rPr>
        <w:t>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Луганская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Народная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Республика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(2014</w:t>
      </w:r>
      <w:r w:rsidR="008E1914" w:rsidRPr="008E1914">
        <w:rPr>
          <w:rFonts w:ascii="Times New Roman" w:hAnsi="Times New Roman"/>
          <w:sz w:val="24"/>
          <w:szCs w:val="24"/>
        </w:rPr>
        <w:t xml:space="preserve"> – </w:t>
      </w:r>
      <w:r w:rsidR="00A777A0" w:rsidRPr="008E1914">
        <w:rPr>
          <w:rFonts w:ascii="Times New Roman" w:hAnsi="Times New Roman"/>
          <w:sz w:val="24"/>
          <w:szCs w:val="24"/>
        </w:rPr>
        <w:t>сентябрь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г.)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Народная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8E1914"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субъект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Российской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Федерации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(с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30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сентября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777A0" w:rsidRPr="008E1914">
        <w:rPr>
          <w:rFonts w:ascii="Times New Roman" w:hAnsi="Times New Roman"/>
          <w:sz w:val="24"/>
          <w:szCs w:val="24"/>
        </w:rPr>
        <w:t>г.)</w:t>
      </w:r>
    </w:p>
    <w:p w:rsidR="000D7E7D" w:rsidRPr="008E1914" w:rsidRDefault="00A777A0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Это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всегда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промышленно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развиты</w:t>
      </w:r>
      <w:r w:rsidRPr="008E1914">
        <w:rPr>
          <w:rFonts w:ascii="Times New Roman" w:hAnsi="Times New Roman"/>
          <w:sz w:val="24"/>
          <w:szCs w:val="24"/>
        </w:rPr>
        <w:t>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1991-2013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входил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десятку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областей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</w:t>
      </w:r>
      <w:r w:rsidR="00AD6785" w:rsidRPr="008E1914">
        <w:rPr>
          <w:rFonts w:ascii="Times New Roman" w:hAnsi="Times New Roman"/>
          <w:sz w:val="24"/>
          <w:szCs w:val="24"/>
        </w:rPr>
        <w:t>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наиболее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высокой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долей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ВРП.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="00E34005" w:rsidRPr="008E1914">
        <w:rPr>
          <w:rFonts w:ascii="Times New Roman" w:hAnsi="Times New Roman"/>
          <w:sz w:val="24"/>
          <w:szCs w:val="24"/>
        </w:rPr>
        <w:t>Одновременно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данные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табл.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1</w:t>
      </w:r>
      <w:r w:rsidR="00AD6785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где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представлена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динамика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индексов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физического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объема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ВРП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Донецкой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областей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2004-2013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гг.,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отражают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34005" w:rsidRPr="008E1914">
        <w:rPr>
          <w:rFonts w:ascii="Times New Roman" w:hAnsi="Times New Roman"/>
          <w:sz w:val="24"/>
          <w:szCs w:val="24"/>
        </w:rPr>
        <w:t>планомерное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снижение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темпов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экономического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регионов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Донбасса</w:t>
      </w:r>
      <w:r w:rsidR="003E6DFC" w:rsidRPr="008E1914">
        <w:rPr>
          <w:rFonts w:ascii="Times New Roman" w:hAnsi="Times New Roman"/>
          <w:sz w:val="24"/>
          <w:szCs w:val="24"/>
        </w:rPr>
        <w:t>.</w:t>
      </w:r>
    </w:p>
    <w:p w:rsidR="00BC304A" w:rsidRPr="008E1914" w:rsidRDefault="00BC304A" w:rsidP="008E1914">
      <w:pPr>
        <w:spacing w:after="0" w:line="36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Таблица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1</w:t>
      </w:r>
    </w:p>
    <w:p w:rsidR="00BC304A" w:rsidRPr="008E1914" w:rsidRDefault="00BC304A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8E1914">
        <w:rPr>
          <w:rFonts w:ascii="Times New Roman" w:hAnsi="Times New Roman"/>
          <w:b/>
          <w:bCs/>
          <w:sz w:val="24"/>
          <w:szCs w:val="24"/>
        </w:rPr>
        <w:t>Индексы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физического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объема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ВРП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Донецкой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и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областей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в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2004-2013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гг.,</w:t>
      </w:r>
      <w:r w:rsidR="008E191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bCs/>
          <w:sz w:val="24"/>
          <w:szCs w:val="24"/>
        </w:rPr>
        <w:t>%</w:t>
      </w:r>
    </w:p>
    <w:tbl>
      <w:tblPr>
        <w:tblW w:w="9356" w:type="dxa"/>
        <w:tblInd w:w="-5" w:type="dxa"/>
        <w:tblLayout w:type="fixed"/>
        <w:tblLook w:val="04A0"/>
      </w:tblPr>
      <w:tblGrid>
        <w:gridCol w:w="1269"/>
        <w:gridCol w:w="14"/>
        <w:gridCol w:w="790"/>
        <w:gridCol w:w="16"/>
        <w:gridCol w:w="792"/>
        <w:gridCol w:w="15"/>
        <w:gridCol w:w="793"/>
        <w:gridCol w:w="14"/>
        <w:gridCol w:w="795"/>
        <w:gridCol w:w="12"/>
        <w:gridCol w:w="796"/>
        <w:gridCol w:w="11"/>
        <w:gridCol w:w="797"/>
        <w:gridCol w:w="10"/>
        <w:gridCol w:w="807"/>
        <w:gridCol w:w="808"/>
        <w:gridCol w:w="808"/>
        <w:gridCol w:w="809"/>
      </w:tblGrid>
      <w:tr w:rsidR="00BC304A" w:rsidRPr="008E1914" w:rsidTr="008E1914">
        <w:trPr>
          <w:trHeight w:val="27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Области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2007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2008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2009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2012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2013</w:t>
            </w:r>
          </w:p>
        </w:tc>
      </w:tr>
      <w:tr w:rsidR="00BC304A" w:rsidRPr="008E1914" w:rsidTr="008E1914">
        <w:trPr>
          <w:trHeight w:val="270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hAnsi="Times New Roman"/>
                <w:sz w:val="24"/>
                <w:szCs w:val="24"/>
              </w:rPr>
              <w:t>Индексы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объема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ВРП,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в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ценах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предыдущего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года,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C304A" w:rsidRPr="008E1914" w:rsidTr="008E1914">
        <w:trPr>
          <w:trHeight w:val="27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Донецкая</w:t>
            </w:r>
            <w:r w:rsid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110,8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104,6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81,6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111,4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94,7</w:t>
            </w:r>
          </w:p>
        </w:tc>
      </w:tr>
      <w:tr w:rsidR="00BC304A" w:rsidRPr="008E1914" w:rsidTr="008E1914">
        <w:trPr>
          <w:trHeight w:val="270"/>
        </w:trPr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Луганская</w:t>
            </w:r>
          </w:p>
        </w:tc>
        <w:tc>
          <w:tcPr>
            <w:tcW w:w="8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108,2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100,3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104,3</w:t>
            </w:r>
          </w:p>
        </w:tc>
        <w:tc>
          <w:tcPr>
            <w:tcW w:w="8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105,2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98,9</w:t>
            </w:r>
          </w:p>
        </w:tc>
        <w:tc>
          <w:tcPr>
            <w:tcW w:w="8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86,7</w:t>
            </w:r>
          </w:p>
        </w:tc>
        <w:tc>
          <w:tcPr>
            <w:tcW w:w="8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102,3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109,1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99,1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92,2</w:t>
            </w:r>
          </w:p>
        </w:tc>
      </w:tr>
      <w:tr w:rsidR="00BC304A" w:rsidRPr="008E1914" w:rsidTr="008E1914">
        <w:trPr>
          <w:trHeight w:val="270"/>
        </w:trPr>
        <w:tc>
          <w:tcPr>
            <w:tcW w:w="935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hAnsi="Times New Roman"/>
                <w:sz w:val="24"/>
                <w:szCs w:val="24"/>
              </w:rPr>
              <w:t>Индексы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физического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объема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ВРП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на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душу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населения,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в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ценах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предыдущего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года,</w:t>
            </w:r>
            <w:r w:rsidR="008E19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E1914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BC304A" w:rsidRPr="008E1914" w:rsidTr="008E1914">
        <w:trPr>
          <w:trHeight w:val="27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Донецкая</w:t>
            </w:r>
            <w:r w:rsid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98,2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105,5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98,0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111,9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112,2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97,8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95,3</w:t>
            </w:r>
          </w:p>
        </w:tc>
      </w:tr>
      <w:tr w:rsidR="00BC304A" w:rsidRPr="008E1914" w:rsidTr="008E1914">
        <w:trPr>
          <w:trHeight w:val="270"/>
        </w:trPr>
        <w:tc>
          <w:tcPr>
            <w:tcW w:w="12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Луганская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109,6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101,6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105,6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106,4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87,6</w:t>
            </w:r>
          </w:p>
        </w:tc>
        <w:tc>
          <w:tcPr>
            <w:tcW w:w="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103,2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110,0</w:t>
            </w:r>
          </w:p>
        </w:tc>
        <w:tc>
          <w:tcPr>
            <w:tcW w:w="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99,9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304A" w:rsidRPr="008E1914" w:rsidRDefault="00BC304A" w:rsidP="008E191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E1914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92,9</w:t>
            </w:r>
          </w:p>
        </w:tc>
      </w:tr>
    </w:tbl>
    <w:p w:rsidR="00AD6785" w:rsidRPr="008E1914" w:rsidRDefault="00BC304A" w:rsidP="008E19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iCs/>
        </w:rPr>
        <w:t>Источник: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составлено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авторами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на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основе</w:t>
      </w:r>
      <w:r w:rsidR="008E1914" w:rsidRPr="008E1914">
        <w:rPr>
          <w:rFonts w:ascii="Times New Roman" w:hAnsi="Times New Roman"/>
        </w:rPr>
        <w:t xml:space="preserve"> </w:t>
      </w:r>
      <w:r w:rsidR="00E34005" w:rsidRPr="008E1914">
        <w:rPr>
          <w:rFonts w:ascii="Times New Roman" w:hAnsi="Times New Roman"/>
        </w:rPr>
        <w:t>доступных</w:t>
      </w:r>
      <w:r w:rsidR="008E1914" w:rsidRPr="008E1914">
        <w:rPr>
          <w:rFonts w:ascii="Times New Roman" w:hAnsi="Times New Roman"/>
        </w:rPr>
        <w:t xml:space="preserve"> </w:t>
      </w:r>
      <w:r w:rsidR="00E34005" w:rsidRPr="008E1914">
        <w:rPr>
          <w:rFonts w:ascii="Times New Roman" w:hAnsi="Times New Roman"/>
        </w:rPr>
        <w:t>ранее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данных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Государственной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службы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статистики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Украины</w:t>
      </w: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lastRenderedPageBreak/>
        <w:t>Согласно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информации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открытых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источников,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выделялась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масштабами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добычи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каменного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угля,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мощностями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первичной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переработки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нефти,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металлорежущих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станков,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оконного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стекла,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синтетических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смол,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пластмасс,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кальцинированной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соды,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тарного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картона.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60225" w:rsidRPr="008E1914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егион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имел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многоотраслевой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лидировала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перерабатывающая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порядка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72%.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Основу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менее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топливно-энергетического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составляли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добывающие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(в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основном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угледобывающие)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имевшие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около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18%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общем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объеме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производства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итоге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сформировались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крупнейших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узла: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специализацией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металлообработке,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легкой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Лисичанско-Рубежанско-Северодонецкий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химия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нефтехимия;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Алчевско-Стахановский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металлургические,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угольные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машиностроительные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Основным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торговым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партнером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всегда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оставалась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Российская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Федерация</w:t>
      </w:r>
      <w:r w:rsidR="00560225" w:rsidRPr="008E1914">
        <w:rPr>
          <w:rStyle w:val="a5"/>
          <w:rFonts w:ascii="Times New Roman" w:hAnsi="Times New Roman"/>
          <w:sz w:val="24"/>
          <w:szCs w:val="24"/>
        </w:rPr>
        <w:footnoteReference w:id="1"/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.</w:t>
      </w:r>
    </w:p>
    <w:p w:rsidR="00682DF3" w:rsidRPr="008E1914" w:rsidRDefault="00560225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1990-х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г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промышленност</w:t>
      </w:r>
      <w:r w:rsidR="00AC0670" w:rsidRPr="008E1914">
        <w:rPr>
          <w:rFonts w:ascii="Times New Roman" w:hAnsi="Times New Roman"/>
          <w:sz w:val="24"/>
          <w:szCs w:val="24"/>
        </w:rPr>
        <w:t>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понесла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серьезный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урон</w:t>
      </w:r>
      <w:r w:rsidR="00682DF3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Согласно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статистике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СНГ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(рис.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1),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индексы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объемов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1991-1999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г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были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диапазоне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72-99%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уровню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предыдущего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682DF3" w:rsidRPr="008E1914">
        <w:rPr>
          <w:rFonts w:ascii="Times New Roman" w:hAnsi="Times New Roman"/>
          <w:sz w:val="24"/>
          <w:szCs w:val="24"/>
        </w:rPr>
        <w:t>года.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053FE8" w:rsidRPr="008E1914" w:rsidRDefault="00053FE8" w:rsidP="008E1914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95788" cy="2147888"/>
            <wp:effectExtent l="19050" t="0" r="23812" b="4762"/>
            <wp:docPr id="11" name="Диаграмма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53FE8" w:rsidRPr="008E1914" w:rsidRDefault="00053FE8" w:rsidP="008E1914">
      <w:pPr>
        <w:spacing w:after="120" w:line="240" w:lineRule="auto"/>
        <w:ind w:firstLine="709"/>
        <w:jc w:val="both"/>
        <w:rPr>
          <w:rFonts w:ascii="Times New Roman" w:hAnsi="Times New Roman"/>
        </w:rPr>
      </w:pPr>
      <w:r w:rsidRPr="008E1914">
        <w:rPr>
          <w:rFonts w:ascii="Times New Roman" w:hAnsi="Times New Roman"/>
          <w:iCs/>
        </w:rPr>
        <w:t>Источник: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составлено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авторами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на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основе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данных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Международного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статистического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комитета</w:t>
      </w:r>
      <w:r w:rsidR="008E1914" w:rsidRPr="008E1914">
        <w:rPr>
          <w:rFonts w:ascii="Times New Roman" w:hAnsi="Times New Roman"/>
        </w:rPr>
        <w:t xml:space="preserve"> </w:t>
      </w:r>
      <w:r w:rsidRPr="008E1914">
        <w:rPr>
          <w:rFonts w:ascii="Times New Roman" w:hAnsi="Times New Roman"/>
        </w:rPr>
        <w:t>СНГ.</w:t>
      </w:r>
      <w:r w:rsidR="008E1914" w:rsidRPr="008E1914">
        <w:rPr>
          <w:rFonts w:ascii="Times New Roman" w:hAnsi="Times New Roman"/>
        </w:rPr>
        <w:t xml:space="preserve"> </w:t>
      </w:r>
      <w:hyperlink r:id="rId9" w:history="1">
        <w:r w:rsidRPr="008E1914">
          <w:rPr>
            <w:rFonts w:ascii="Times New Roman" w:hAnsi="Times New Roman"/>
          </w:rPr>
          <w:t>https://new.cisstat.org/web/guest/cis-stat-home?iFrameId=4212723</w:t>
        </w:r>
      </w:hyperlink>
    </w:p>
    <w:p w:rsidR="00053FE8" w:rsidRPr="008E1914" w:rsidRDefault="00053FE8" w:rsidP="008E19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</w:t>
      </w:r>
      <w:r w:rsidR="00560225" w:rsidRPr="008E1914">
        <w:rPr>
          <w:rFonts w:ascii="Times New Roman" w:hAnsi="Times New Roman"/>
          <w:b/>
          <w:sz w:val="24"/>
          <w:szCs w:val="24"/>
        </w:rPr>
        <w:t>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1.</w:t>
      </w:r>
      <w:r w:rsidR="008E1914">
        <w:rPr>
          <w:rFonts w:ascii="Times New Roman" w:hAnsi="Times New Roman"/>
          <w:b/>
          <w:sz w:val="24"/>
          <w:szCs w:val="24"/>
        </w:rPr>
        <w:br/>
      </w:r>
      <w:r w:rsidRPr="008E1914">
        <w:rPr>
          <w:rFonts w:ascii="Times New Roman" w:hAnsi="Times New Roman"/>
          <w:b/>
          <w:sz w:val="24"/>
          <w:szCs w:val="24"/>
        </w:rPr>
        <w:t>Индексы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объема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продукции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Украины</w:t>
      </w:r>
      <w:r w:rsidR="008E1914">
        <w:rPr>
          <w:rFonts w:ascii="Times New Roman" w:hAnsi="Times New Roman"/>
          <w:b/>
          <w:sz w:val="24"/>
          <w:szCs w:val="24"/>
        </w:rPr>
        <w:t xml:space="preserve">  </w:t>
      </w:r>
      <w:r w:rsidRPr="008E1914">
        <w:rPr>
          <w:rFonts w:ascii="Times New Roman" w:hAnsi="Times New Roman"/>
          <w:b/>
          <w:sz w:val="24"/>
          <w:szCs w:val="24"/>
        </w:rPr>
        <w:t>(в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постоянных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ценах),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предыдущему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году</w:t>
      </w:r>
    </w:p>
    <w:p w:rsidR="00FC6FF2" w:rsidRPr="008E1914" w:rsidRDefault="00FC6FF2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C6FF2" w:rsidRPr="008E1914" w:rsidRDefault="008E1914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Негативные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последствия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наблюдались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после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мирового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кризиса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2008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г.,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когда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началось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быстрое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увеличение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до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этого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достаточно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высокой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доли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импорта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объеме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реализованной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промышленной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продукции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внутреннем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рынке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страны.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первую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очередь,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коснулось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таких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отраслей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перерабатывающей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сферы,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как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машиностроение,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химическая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легкая</w:t>
      </w:r>
      <w:r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промышленность</w:t>
      </w:r>
      <w:r w:rsidR="00FC6FF2" w:rsidRPr="008E1914">
        <w:rPr>
          <w:rStyle w:val="a5"/>
          <w:rFonts w:ascii="Times New Roman" w:hAnsi="Times New Roman"/>
          <w:sz w:val="24"/>
          <w:szCs w:val="24"/>
        </w:rPr>
        <w:footnoteReference w:id="2"/>
      </w:r>
      <w:r w:rsidR="00FC6FF2" w:rsidRPr="008E1914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D7E7D" w:rsidRPr="008E1914" w:rsidRDefault="00FC6FF2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Д</w:t>
      </w:r>
      <w:r w:rsidR="000D7E7D" w:rsidRPr="008E1914">
        <w:rPr>
          <w:rFonts w:ascii="Times New Roman" w:hAnsi="Times New Roman"/>
          <w:sz w:val="24"/>
          <w:szCs w:val="24"/>
        </w:rPr>
        <w:t>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характеризовался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существенным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ухудшением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инвестиционного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климата,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снижением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социально-экономического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развития,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особенно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отдельных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городах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районах.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Украинские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конце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1990-х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предпринимали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определенные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попытки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улучшить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инвестиционный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климат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территориях,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сложились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неблагоприятные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социально-экономические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условия.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Несколько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территорий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попали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этот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список.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Принятый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1999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государственный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закон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определял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порядок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введения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функционирования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специального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режима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инвестиционной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деятельности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территориях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приоритетного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области.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Целью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введения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такого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режима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являлось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привлечение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инвестиций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приоритетные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отрасли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создания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рабочих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мест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трудоустройства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работников,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высвобождаемых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связи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закрытием,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реструктуризацией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перепрофилированием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горнодобывающих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других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предприятий,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внедрение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технологий,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внешнеэкономических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связей,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увеличение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поставок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внутренний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рынок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высококачественных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товаров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услуг,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создание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современной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производственной,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транспортной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рыночной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инфраструктуры,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эффективное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использование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природных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ресурсов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D7E7D" w:rsidRPr="008E1914">
        <w:rPr>
          <w:rFonts w:ascii="Times New Roman" w:hAnsi="Times New Roman"/>
          <w:sz w:val="24"/>
          <w:szCs w:val="24"/>
        </w:rPr>
        <w:t>.</w:t>
      </w: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Первый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этап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закона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определенные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положительные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результаты: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создано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различных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совместных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преимущественно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российскими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партнерами.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приходом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прозападного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правительства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закрыты,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российские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инвесторы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просто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«выдавлены»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Поэтому,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ряда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исследователей,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закон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принес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высоких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положительных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результатов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Приток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внешних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инвестиций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оставался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значительно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ниже,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аналогичных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других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областей,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упомянутых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законе</w:t>
      </w:r>
      <w:r w:rsidR="00AC0670" w:rsidRPr="008E1914">
        <w:rPr>
          <w:rStyle w:val="a5"/>
          <w:rFonts w:ascii="Times New Roman" w:hAnsi="Times New Roman"/>
          <w:sz w:val="24"/>
          <w:szCs w:val="24"/>
        </w:rPr>
        <w:footnoteReference w:id="3"/>
      </w:r>
      <w:r w:rsidR="00AC0670" w:rsidRPr="008E1914">
        <w:rPr>
          <w:rFonts w:ascii="Times New Roman" w:hAnsi="Times New Roman"/>
          <w:sz w:val="24"/>
          <w:szCs w:val="24"/>
        </w:rPr>
        <w:t>.</w:t>
      </w: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Динамика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индексов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2007-2013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представлена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C0670" w:rsidRPr="008E1914">
        <w:rPr>
          <w:rFonts w:ascii="Times New Roman" w:hAnsi="Times New Roman"/>
          <w:sz w:val="24"/>
          <w:szCs w:val="24"/>
        </w:rPr>
        <w:t>2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Очевидно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мировой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кризис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достаточно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серьезно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отразился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вызвав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существенное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сокращение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производства.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Заметное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снижение,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особенно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перерабатывающего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наблюдается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0D7E7D" w:rsidRDefault="000D7E7D" w:rsidP="005320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38663" cy="2424112"/>
            <wp:effectExtent l="19050" t="0" r="14287" b="0"/>
            <wp:docPr id="9" name="Диаграмма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5320B8" w:rsidRPr="005320B8" w:rsidRDefault="005320B8" w:rsidP="005320B8">
      <w:pPr>
        <w:spacing w:after="120" w:line="360" w:lineRule="auto"/>
        <w:ind w:firstLine="709"/>
        <w:jc w:val="both"/>
        <w:rPr>
          <w:rFonts w:ascii="Times New Roman" w:hAnsi="Times New Roman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 xml:space="preserve">статистики Луганской области </w:t>
      </w:r>
    </w:p>
    <w:p w:rsidR="000D7E7D" w:rsidRPr="008E1914" w:rsidRDefault="000D7E7D" w:rsidP="00532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1" w:name="_Hlk173166123"/>
      <w:r w:rsidRPr="008E1914">
        <w:rPr>
          <w:rFonts w:ascii="Times New Roman" w:hAnsi="Times New Roman"/>
          <w:b/>
          <w:sz w:val="24"/>
          <w:szCs w:val="24"/>
        </w:rPr>
        <w:t>Рис</w:t>
      </w:r>
      <w:r w:rsidR="00AC0670" w:rsidRPr="008E1914">
        <w:rPr>
          <w:rFonts w:ascii="Times New Roman" w:hAnsi="Times New Roman"/>
          <w:b/>
          <w:sz w:val="24"/>
          <w:szCs w:val="24"/>
        </w:rPr>
        <w:t>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AC0670" w:rsidRPr="008E1914">
        <w:rPr>
          <w:rFonts w:ascii="Times New Roman" w:hAnsi="Times New Roman"/>
          <w:b/>
          <w:sz w:val="24"/>
          <w:szCs w:val="24"/>
        </w:rPr>
        <w:t>2</w:t>
      </w:r>
      <w:r w:rsidRPr="008E1914">
        <w:rPr>
          <w:rFonts w:ascii="Times New Roman" w:hAnsi="Times New Roman"/>
          <w:b/>
          <w:sz w:val="24"/>
          <w:szCs w:val="24"/>
        </w:rPr>
        <w:t>.</w:t>
      </w:r>
      <w:r w:rsidR="005320B8">
        <w:rPr>
          <w:rFonts w:ascii="Times New Roman" w:hAnsi="Times New Roman"/>
          <w:b/>
          <w:sz w:val="24"/>
          <w:szCs w:val="24"/>
        </w:rPr>
        <w:br/>
      </w:r>
      <w:r w:rsidRPr="008E1914">
        <w:rPr>
          <w:rFonts w:ascii="Times New Roman" w:hAnsi="Times New Roman"/>
          <w:b/>
          <w:sz w:val="24"/>
          <w:szCs w:val="24"/>
        </w:rPr>
        <w:t>Индексы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промышленного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производства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области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2007-2013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bookmarkEnd w:id="1"/>
    <w:p w:rsidR="00AC0670" w:rsidRPr="008E1914" w:rsidRDefault="00AC0670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D7E7D" w:rsidRDefault="000D7E7D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738688" cy="3019425"/>
            <wp:effectExtent l="19050" t="0" r="23812" b="0"/>
            <wp:docPr id="4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5320B8" w:rsidRPr="008E1914" w:rsidRDefault="005320B8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0D7E7D" w:rsidRPr="008E1914" w:rsidRDefault="000D7E7D" w:rsidP="00532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</w:t>
      </w:r>
      <w:r w:rsidR="00AC0670" w:rsidRPr="008E1914">
        <w:rPr>
          <w:rFonts w:ascii="Times New Roman" w:hAnsi="Times New Roman"/>
          <w:b/>
          <w:sz w:val="24"/>
          <w:szCs w:val="24"/>
        </w:rPr>
        <w:t>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AC0670" w:rsidRPr="008E1914">
        <w:rPr>
          <w:rFonts w:ascii="Times New Roman" w:hAnsi="Times New Roman"/>
          <w:b/>
          <w:sz w:val="24"/>
          <w:szCs w:val="24"/>
        </w:rPr>
        <w:t>3.</w:t>
      </w:r>
      <w:r w:rsidR="005320B8">
        <w:rPr>
          <w:rFonts w:ascii="Times New Roman" w:hAnsi="Times New Roman"/>
          <w:b/>
          <w:sz w:val="24"/>
          <w:szCs w:val="24"/>
        </w:rPr>
        <w:br/>
      </w:r>
      <w:r w:rsidRPr="008E1914">
        <w:rPr>
          <w:rFonts w:ascii="Times New Roman" w:hAnsi="Times New Roman"/>
          <w:b/>
          <w:sz w:val="24"/>
          <w:szCs w:val="24"/>
        </w:rPr>
        <w:t>Индексы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объема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продукции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перерабатывающей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по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видам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экономической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деятельности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области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2007-2013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</w:t>
      </w:r>
      <w:r w:rsidR="00AC0670" w:rsidRPr="008E1914">
        <w:rPr>
          <w:rFonts w:ascii="Times New Roman" w:hAnsi="Times New Roman"/>
          <w:b/>
          <w:sz w:val="24"/>
          <w:szCs w:val="24"/>
        </w:rPr>
        <w:t>г.</w:t>
      </w:r>
      <w:r w:rsidRPr="008E1914">
        <w:rPr>
          <w:rFonts w:ascii="Times New Roman" w:hAnsi="Times New Roman"/>
          <w:b/>
          <w:sz w:val="24"/>
          <w:szCs w:val="24"/>
        </w:rPr>
        <w:t>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0670" w:rsidRPr="008E1914" w:rsidRDefault="00AC0670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Динамика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индексов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разрезе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видов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деятельности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2007-2013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представлена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3.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Графики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повторяют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траекторию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индексов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(рис.</w:t>
      </w:r>
      <w:r w:rsidR="005320B8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2).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Одновременно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выделяется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катастрофическое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снижение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химии,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деревообработке,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текстильном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Аналогичная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картина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наблюдалась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видам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деятельности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2012-2013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наибольшее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снижение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продолжило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тренд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предыдущих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лет.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27626B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Следует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отметить,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2004-2008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847F5F" w:rsidRPr="008E1914">
        <w:rPr>
          <w:rFonts w:ascii="Times New Roman" w:hAnsi="Times New Roman"/>
          <w:sz w:val="24"/>
          <w:szCs w:val="24"/>
        </w:rPr>
        <w:t>гг.</w:t>
      </w:r>
      <w:r w:rsidR="005320B8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сопровождался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достаточно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активной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разработкой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различных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концепций,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затрагивающих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отдельные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национальной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очередь,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обеспечивающие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конкурентоспособность,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числе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имевшие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значительный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Некоторые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принятых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документов: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Общегосударственная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высоких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наукоемких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технологий;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реформирования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горно-металлургического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Общегосударственная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минерально-сырьевой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базы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2006-2011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годы;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Концепция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легкой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="009F0A3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региональном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местными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властями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утверждались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годовые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27626B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причин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институциональной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активности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подготовка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2002-2007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вступлению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ВТО,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состоялось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апреле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заведомо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невыгодных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страны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3E6DFC" w:rsidRPr="008E1914">
        <w:rPr>
          <w:rFonts w:ascii="Times New Roman" w:hAnsi="Times New Roman"/>
          <w:sz w:val="24"/>
          <w:szCs w:val="24"/>
        </w:rPr>
        <w:t>условиях.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показал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опыт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большинства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постсоветского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постсоциалистического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пространства,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присоединения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ранее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принятые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национальные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стратегии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необходимо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пересм</w:t>
      </w:r>
      <w:r w:rsidR="005320B8">
        <w:rPr>
          <w:rFonts w:ascii="Times New Roman" w:hAnsi="Times New Roman"/>
          <w:sz w:val="24"/>
          <w:szCs w:val="24"/>
        </w:rPr>
        <w:t>а</w:t>
      </w:r>
      <w:r w:rsidRPr="008E1914">
        <w:rPr>
          <w:rFonts w:ascii="Times New Roman" w:hAnsi="Times New Roman"/>
          <w:sz w:val="24"/>
          <w:szCs w:val="24"/>
        </w:rPr>
        <w:t>тр</w:t>
      </w:r>
      <w:r w:rsidR="003E6DFC" w:rsidRPr="008E1914">
        <w:rPr>
          <w:rFonts w:ascii="Times New Roman" w:hAnsi="Times New Roman"/>
          <w:sz w:val="24"/>
          <w:szCs w:val="24"/>
        </w:rPr>
        <w:t>ивать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прежде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всего,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позиции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защиты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интересов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отечественных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производителей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обеспечения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конкурентоспособности,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попытки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многих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безуспешными.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27626B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Правительство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приняло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концепцию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общегосударственной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основным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приоритетом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инновационное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связи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предусматривалось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увеличение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инновационной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6,5%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15-20%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30-35%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инновационного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сектора,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прежде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21%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32%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Вместе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удельный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энергосырьевого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сектора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планировалось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сократить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52%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37%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последнюю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роль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выборе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</w:t>
      </w:r>
      <w:r w:rsidR="005320B8">
        <w:rPr>
          <w:rFonts w:ascii="Times New Roman" w:hAnsi="Times New Roman"/>
          <w:sz w:val="24"/>
          <w:szCs w:val="24"/>
        </w:rPr>
        <w:t>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сыграла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ориентация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властей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«зеленой»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повесткой.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серьезного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удара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хозяйственной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Ориентировочный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финансирования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предполагался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порядка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$300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млрд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4"/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финансовый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кризис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2008-2009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существенно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скорректировал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намеченные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«притормозил»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скорость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движения,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подтверждают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рис</w:t>
      </w:r>
      <w:r w:rsidR="00D04B95" w:rsidRPr="008E1914">
        <w:rPr>
          <w:rFonts w:ascii="Times New Roman" w:hAnsi="Times New Roman"/>
          <w:sz w:val="24"/>
          <w:szCs w:val="24"/>
        </w:rPr>
        <w:t>унков</w:t>
      </w:r>
      <w:r w:rsidRPr="008E1914">
        <w:rPr>
          <w:rFonts w:ascii="Times New Roman" w:hAnsi="Times New Roman"/>
          <w:sz w:val="24"/>
          <w:szCs w:val="24"/>
        </w:rPr>
        <w:t>.</w:t>
      </w:r>
    </w:p>
    <w:p w:rsidR="00D75736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Одновременно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разработана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Стратегия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5"/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320B8" w:rsidRPr="008E1914">
        <w:rPr>
          <w:rFonts w:ascii="Times New Roman" w:hAnsi="Times New Roman"/>
          <w:sz w:val="24"/>
          <w:szCs w:val="24"/>
        </w:rPr>
        <w:t>реализация</w:t>
      </w:r>
      <w:r w:rsidR="005320B8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разделена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этапа,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отличавшихся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стартовыми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условиями,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ресурсным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ориентирами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тактике: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2008-2010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(преимущественно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инерционное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развитие)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2011-2015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(трансформационное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направлении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становления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инновационной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экономики).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предполагалось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реализовать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задачи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реформированию,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перестройке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модернизации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хозяйственного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экологическому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оздоровлению,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совершенствованию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политики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существенному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повышению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жизни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населения.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Ключевая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роль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решении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задач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отводилась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промышленному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комплексу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проблемы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многом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нерешенными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экономическим,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5320B8">
        <w:rPr>
          <w:rFonts w:ascii="Times New Roman" w:hAnsi="Times New Roman"/>
          <w:sz w:val="24"/>
          <w:szCs w:val="24"/>
        </w:rPr>
        <w:t xml:space="preserve"> 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политическим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причинам.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27626B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Несмотря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изобилие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документов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инвестиции,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предусмотренные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них,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направлялись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только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центральные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</w:t>
      </w:r>
      <w:r w:rsidR="00FC6FF2" w:rsidRPr="008E1914">
        <w:rPr>
          <w:rFonts w:ascii="Times New Roman" w:hAnsi="Times New Roman"/>
          <w:sz w:val="24"/>
          <w:szCs w:val="24"/>
        </w:rPr>
        <w:t>падные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Украины.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Восток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держали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голодном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пайке».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постепенно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закрывались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согласно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статистике,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оставался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донором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национального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бюджета.</w:t>
      </w:r>
    </w:p>
    <w:p w:rsidR="000D7E7D" w:rsidRPr="008E1914" w:rsidRDefault="000D7E7D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highlight w:val="yellow"/>
        </w:rPr>
      </w:pP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итоге,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2014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подошла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значительным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сокращением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своего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индустриальных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потерь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заметно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снизился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</w:t>
      </w:r>
      <w:r w:rsidR="00D04B95" w:rsidRPr="008E1914">
        <w:rPr>
          <w:rFonts w:ascii="Times New Roman" w:hAnsi="Times New Roman"/>
          <w:sz w:val="24"/>
          <w:szCs w:val="24"/>
        </w:rPr>
        <w:t>ень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жизни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населения,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внутри</w:t>
      </w:r>
      <w:r w:rsidR="00D04B95" w:rsidRPr="008E1914">
        <w:rPr>
          <w:rFonts w:ascii="Times New Roman" w:hAnsi="Times New Roman"/>
          <w:sz w:val="24"/>
          <w:szCs w:val="24"/>
        </w:rPr>
        <w:t>административное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</w:t>
      </w:r>
      <w:r w:rsidR="00D04B95" w:rsidRPr="008E1914">
        <w:rPr>
          <w:rFonts w:ascii="Times New Roman" w:hAnsi="Times New Roman"/>
          <w:sz w:val="24"/>
          <w:szCs w:val="24"/>
        </w:rPr>
        <w:t>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региона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стало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еще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дифференцированным</w:t>
      </w:r>
      <w:r w:rsidRPr="008E1914">
        <w:rPr>
          <w:rFonts w:ascii="Times New Roman" w:hAnsi="Times New Roman"/>
          <w:sz w:val="24"/>
          <w:szCs w:val="24"/>
        </w:rPr>
        <w:t>.</w:t>
      </w:r>
    </w:p>
    <w:p w:rsidR="0027626B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Следствием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подписания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Соглашения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ассоциации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создании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Зоны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свободной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торговли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Европейским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союзом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разрыв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кооперационных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связей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СНГ,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дальнейшая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деиндустриализация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большинства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радикально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изменилась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рынков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сбыта.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Многие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сегменты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смогли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переориентироваться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экспорт.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примеру,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товарной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экспорта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удельный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сократился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18,9%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9,9%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Style w:val="a5"/>
          <w:rFonts w:ascii="Times New Roman" w:hAnsi="Times New Roman"/>
          <w:sz w:val="24"/>
          <w:szCs w:val="24"/>
        </w:rPr>
        <w:t xml:space="preserve"> 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6"/>
      </w:r>
    </w:p>
    <w:p w:rsidR="00E00ADA" w:rsidRPr="008E1914" w:rsidRDefault="0027626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Образование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Донецкой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Н</w:t>
      </w:r>
      <w:r w:rsidRPr="008E1914">
        <w:rPr>
          <w:rFonts w:ascii="Times New Roman" w:hAnsi="Times New Roman"/>
          <w:sz w:val="24"/>
          <w:szCs w:val="24"/>
        </w:rPr>
        <w:t>ародных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04B95" w:rsidRPr="008E1914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провозглашено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апреле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D04B95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результат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несогласия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«майданным»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Киевом.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Начало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действий,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транспортная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блокада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стороны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послужили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причиной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остановки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деятельности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большинства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320B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окончания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активной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фазы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боевых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действий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некоторые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постепенно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начали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запуск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отражена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динамика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отдельных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показателей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320B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2014-2022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0350FB" w:rsidRPr="008E1914">
        <w:rPr>
          <w:rFonts w:ascii="Times New Roman" w:hAnsi="Times New Roman"/>
          <w:sz w:val="24"/>
          <w:szCs w:val="24"/>
        </w:rPr>
        <w:t>Очевиден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заметный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рост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заработной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платы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2014-2022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2019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происходит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снижение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среднесписочной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численности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занятых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промышлен</w:t>
      </w:r>
      <w:r w:rsidR="00C35692">
        <w:rPr>
          <w:rFonts w:ascii="Times New Roman" w:hAnsi="Times New Roman"/>
          <w:sz w:val="24"/>
          <w:szCs w:val="24"/>
        </w:rPr>
        <w:t>н</w:t>
      </w:r>
      <w:r w:rsidR="00E00ADA" w:rsidRPr="008E1914">
        <w:rPr>
          <w:rFonts w:ascii="Times New Roman" w:hAnsi="Times New Roman"/>
          <w:sz w:val="24"/>
          <w:szCs w:val="24"/>
        </w:rPr>
        <w:t>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одновременно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подросла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доля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занятых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перерабатывающей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промышленности.</w:t>
      </w:r>
    </w:p>
    <w:p w:rsidR="00DA14F1" w:rsidRDefault="00BC7D4F" w:rsidP="005320B8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38638" cy="2786063"/>
            <wp:effectExtent l="19050" t="0" r="2381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5320B8" w:rsidRPr="008E1914" w:rsidRDefault="005320B8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BC7D4F" w:rsidRPr="008E1914" w:rsidRDefault="00BC7D4F" w:rsidP="005320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4.</w:t>
      </w:r>
      <w:r w:rsidR="005320B8">
        <w:rPr>
          <w:rFonts w:ascii="Times New Roman" w:hAnsi="Times New Roman"/>
          <w:b/>
          <w:sz w:val="24"/>
          <w:szCs w:val="24"/>
        </w:rPr>
        <w:br/>
      </w:r>
      <w:r w:rsidRPr="008E1914">
        <w:rPr>
          <w:rFonts w:ascii="Times New Roman" w:hAnsi="Times New Roman"/>
          <w:b/>
          <w:sz w:val="24"/>
          <w:szCs w:val="24"/>
        </w:rPr>
        <w:t>Объем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продукции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874E3" w:rsidRPr="008E1914">
        <w:rPr>
          <w:rFonts w:ascii="Times New Roman" w:hAnsi="Times New Roman"/>
          <w:b/>
          <w:sz w:val="24"/>
          <w:szCs w:val="24"/>
        </w:rPr>
        <w:t>номинальная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874E3" w:rsidRPr="008E1914">
        <w:rPr>
          <w:rFonts w:ascii="Times New Roman" w:hAnsi="Times New Roman"/>
          <w:b/>
          <w:sz w:val="24"/>
          <w:szCs w:val="24"/>
        </w:rPr>
        <w:t>зарплата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874E3"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874E3" w:rsidRPr="008E1914">
        <w:rPr>
          <w:rFonts w:ascii="Times New Roman" w:hAnsi="Times New Roman"/>
          <w:b/>
          <w:sz w:val="24"/>
          <w:szCs w:val="24"/>
        </w:rPr>
        <w:t>Народной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874E3" w:rsidRPr="008E1914">
        <w:rPr>
          <w:rFonts w:ascii="Times New Roman" w:hAnsi="Times New Roman"/>
          <w:b/>
          <w:sz w:val="24"/>
          <w:szCs w:val="24"/>
        </w:rPr>
        <w:t>Республик</w:t>
      </w:r>
      <w:r w:rsidR="00D2258B" w:rsidRPr="008E1914">
        <w:rPr>
          <w:rFonts w:ascii="Times New Roman" w:hAnsi="Times New Roman"/>
          <w:b/>
          <w:sz w:val="24"/>
          <w:szCs w:val="24"/>
        </w:rPr>
        <w:t>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</w:t>
      </w:r>
      <w:r w:rsidR="00B874E3" w:rsidRPr="008E1914">
        <w:rPr>
          <w:rFonts w:ascii="Times New Roman" w:hAnsi="Times New Roman"/>
          <w:b/>
          <w:sz w:val="24"/>
          <w:szCs w:val="24"/>
        </w:rPr>
        <w:t>015-2022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FC6FF2" w:rsidRPr="008E1914" w:rsidRDefault="00FC6FF2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E6DFC" w:rsidRPr="008E1914" w:rsidRDefault="003E6DFC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Основными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замедляющими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индустриальное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институциональными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факторами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высокая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стоимость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недостаток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энергоресурсов,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возникшие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результате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блокады,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отсутствие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сертификации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производимой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320B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менее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лидирующие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своих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начали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работу.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отмечалось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Министерством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торговли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еще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около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488,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271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503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7"/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BC7D4F" w:rsidRPr="008E1914" w:rsidRDefault="00BC7D4F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BC7D4F" w:rsidRDefault="00BC7D4F" w:rsidP="005233A8">
      <w:pPr>
        <w:shd w:val="clear" w:color="auto" w:fill="FFFFFF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410075" cy="1866900"/>
            <wp:effectExtent l="19050" t="0" r="9525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233A8" w:rsidRPr="008E1914" w:rsidRDefault="005233A8" w:rsidP="005233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BC7D4F" w:rsidRPr="008E1914" w:rsidRDefault="00BC7D4F" w:rsidP="0052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5.</w:t>
      </w:r>
      <w:r w:rsidR="005233A8">
        <w:rPr>
          <w:rFonts w:ascii="Times New Roman" w:hAnsi="Times New Roman"/>
          <w:b/>
          <w:sz w:val="24"/>
          <w:szCs w:val="24"/>
        </w:rPr>
        <w:br/>
      </w:r>
      <w:r w:rsidR="00D2258B" w:rsidRPr="008E1914">
        <w:rPr>
          <w:rFonts w:ascii="Times New Roman" w:hAnsi="Times New Roman"/>
          <w:b/>
          <w:sz w:val="24"/>
          <w:szCs w:val="24"/>
        </w:rPr>
        <w:t>Показатели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занятости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Народной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D2258B" w:rsidRPr="008E1914">
        <w:rPr>
          <w:rFonts w:ascii="Times New Roman" w:hAnsi="Times New Roman"/>
          <w:b/>
          <w:sz w:val="24"/>
          <w:szCs w:val="24"/>
        </w:rPr>
        <w:t>Республики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</w:t>
      </w:r>
      <w:r w:rsidR="00D2258B" w:rsidRPr="008E1914">
        <w:rPr>
          <w:rFonts w:ascii="Times New Roman" w:hAnsi="Times New Roman"/>
          <w:b/>
          <w:sz w:val="24"/>
          <w:szCs w:val="24"/>
        </w:rPr>
        <w:t>14</w:t>
      </w:r>
      <w:r w:rsidRPr="008E1914">
        <w:rPr>
          <w:rFonts w:ascii="Times New Roman" w:hAnsi="Times New Roman"/>
          <w:b/>
          <w:sz w:val="24"/>
          <w:szCs w:val="24"/>
        </w:rPr>
        <w:t>-20</w:t>
      </w:r>
      <w:r w:rsidR="00D2258B" w:rsidRPr="008E1914">
        <w:rPr>
          <w:rFonts w:ascii="Times New Roman" w:hAnsi="Times New Roman"/>
          <w:b/>
          <w:sz w:val="24"/>
          <w:szCs w:val="24"/>
        </w:rPr>
        <w:t>22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3E6DFC" w:rsidRPr="008E1914" w:rsidRDefault="003E6DFC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035B3" w:rsidRPr="008E1914" w:rsidRDefault="00B035B3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Структура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реализованной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представлена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7.</w:t>
      </w:r>
    </w:p>
    <w:p w:rsidR="00BA5FEB" w:rsidRDefault="00BA5FEB" w:rsidP="005233A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367213" cy="1919288"/>
            <wp:effectExtent l="19050" t="0" r="14287" b="4762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5233A8" w:rsidRPr="008E1914" w:rsidRDefault="005233A8" w:rsidP="005233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CC4894" w:rsidRPr="008E1914" w:rsidRDefault="00CC4894" w:rsidP="0052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</w:t>
      </w:r>
      <w:r w:rsidR="00B27E32" w:rsidRPr="008E1914">
        <w:rPr>
          <w:rFonts w:ascii="Times New Roman" w:hAnsi="Times New Roman"/>
          <w:b/>
          <w:sz w:val="24"/>
          <w:szCs w:val="24"/>
        </w:rPr>
        <w:t>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6</w:t>
      </w:r>
      <w:r w:rsidRPr="008E1914">
        <w:rPr>
          <w:rFonts w:ascii="Times New Roman" w:hAnsi="Times New Roman"/>
          <w:b/>
          <w:sz w:val="24"/>
          <w:szCs w:val="24"/>
        </w:rPr>
        <w:t>.</w:t>
      </w:r>
      <w:r w:rsidR="005233A8">
        <w:rPr>
          <w:rFonts w:ascii="Times New Roman" w:hAnsi="Times New Roman"/>
          <w:b/>
          <w:sz w:val="24"/>
          <w:szCs w:val="24"/>
        </w:rPr>
        <w:br/>
      </w:r>
      <w:r w:rsidR="00B27E32" w:rsidRPr="008E1914">
        <w:rPr>
          <w:rFonts w:ascii="Times New Roman" w:hAnsi="Times New Roman"/>
          <w:b/>
          <w:sz w:val="24"/>
          <w:szCs w:val="24"/>
        </w:rPr>
        <w:t>Структура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реализованной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промышленной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продукции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(товаров,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услуг)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Народной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Республики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2015-2022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9B0A66" w:rsidRDefault="009B0A66" w:rsidP="005233A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500563" cy="1995488"/>
            <wp:effectExtent l="19050" t="0" r="14287" b="4762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5233A8" w:rsidRPr="008E1914" w:rsidRDefault="005233A8" w:rsidP="005233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CC4894" w:rsidRPr="008E1914" w:rsidRDefault="00CC4894" w:rsidP="0052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7</w:t>
      </w:r>
      <w:r w:rsidRPr="008E1914">
        <w:rPr>
          <w:rFonts w:ascii="Times New Roman" w:hAnsi="Times New Roman"/>
          <w:b/>
          <w:sz w:val="24"/>
          <w:szCs w:val="24"/>
        </w:rPr>
        <w:t>.</w:t>
      </w:r>
      <w:r w:rsidR="005233A8">
        <w:rPr>
          <w:rFonts w:ascii="Times New Roman" w:hAnsi="Times New Roman"/>
          <w:b/>
          <w:sz w:val="24"/>
          <w:szCs w:val="24"/>
        </w:rPr>
        <w:br/>
      </w:r>
      <w:r w:rsidR="009B0A66" w:rsidRPr="008E1914">
        <w:rPr>
          <w:rFonts w:ascii="Times New Roman" w:hAnsi="Times New Roman"/>
          <w:b/>
          <w:sz w:val="24"/>
          <w:szCs w:val="24"/>
        </w:rPr>
        <w:t>Соотношение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9B0A66" w:rsidRPr="008E1914">
        <w:rPr>
          <w:rFonts w:ascii="Times New Roman" w:hAnsi="Times New Roman"/>
          <w:b/>
          <w:sz w:val="24"/>
          <w:szCs w:val="24"/>
        </w:rPr>
        <w:t>добывающей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9B0A66" w:rsidRPr="008E1914">
        <w:rPr>
          <w:rFonts w:ascii="Times New Roman" w:hAnsi="Times New Roman"/>
          <w:b/>
          <w:sz w:val="24"/>
          <w:szCs w:val="24"/>
        </w:rPr>
        <w:t>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9B0A66" w:rsidRPr="008E1914">
        <w:rPr>
          <w:rFonts w:ascii="Times New Roman" w:hAnsi="Times New Roman"/>
          <w:b/>
          <w:sz w:val="24"/>
          <w:szCs w:val="24"/>
        </w:rPr>
        <w:t>перерабатывающей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промышленности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Народной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Республики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2015-2022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571EA4" w:rsidRPr="008E1914" w:rsidRDefault="00571EA4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2014-2022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снизилась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добывающей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переработки.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рис.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представлена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динамика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изменений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структуры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реализованной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отраслей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перерабатывающей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промышленности.</w:t>
      </w:r>
    </w:p>
    <w:p w:rsidR="009F0A3B" w:rsidRPr="008E1914" w:rsidRDefault="009F0A3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2015-2017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значительного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сокращения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доминировало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продуктов,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втором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месте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существенно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прибавила,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одновременно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началось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заметное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снижение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машиностроения.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Металлургическая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составляла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73%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экспорта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BA5FEB" w:rsidRDefault="00BA5FEB" w:rsidP="005233A8">
      <w:pPr>
        <w:spacing w:after="0" w:line="36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867275" cy="2028825"/>
            <wp:effectExtent l="19050" t="0" r="9525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233A8" w:rsidRPr="008E1914" w:rsidRDefault="005233A8" w:rsidP="005233A8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320B8">
        <w:rPr>
          <w:rFonts w:ascii="Times New Roman" w:hAnsi="Times New Roman"/>
          <w:iCs/>
        </w:rPr>
        <w:t>Источник:</w:t>
      </w:r>
      <w:r w:rsidRPr="005320B8">
        <w:rPr>
          <w:rFonts w:ascii="Times New Roman" w:hAnsi="Times New Roman"/>
        </w:rPr>
        <w:t xml:space="preserve"> составлено авторами на основе данных </w:t>
      </w:r>
      <w:r w:rsidRPr="005320B8">
        <w:rPr>
          <w:rFonts w:ascii="Times New Roman" w:hAnsi="Times New Roman"/>
          <w:bCs/>
        </w:rPr>
        <w:t>статистики Луганской области</w:t>
      </w:r>
    </w:p>
    <w:p w:rsidR="00CC4894" w:rsidRPr="008E1914" w:rsidRDefault="00CC4894" w:rsidP="005233A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b/>
          <w:sz w:val="24"/>
          <w:szCs w:val="24"/>
        </w:rPr>
        <w:t>Рисунок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B27E32" w:rsidRPr="008E1914">
        <w:rPr>
          <w:rFonts w:ascii="Times New Roman" w:hAnsi="Times New Roman"/>
          <w:b/>
          <w:sz w:val="24"/>
          <w:szCs w:val="24"/>
        </w:rPr>
        <w:t>8</w:t>
      </w:r>
      <w:r w:rsidRPr="008E1914">
        <w:rPr>
          <w:rFonts w:ascii="Times New Roman" w:hAnsi="Times New Roman"/>
          <w:b/>
          <w:sz w:val="24"/>
          <w:szCs w:val="24"/>
        </w:rPr>
        <w:t>.</w:t>
      </w:r>
      <w:r w:rsidR="005233A8">
        <w:rPr>
          <w:rFonts w:ascii="Times New Roman" w:hAnsi="Times New Roman"/>
          <w:b/>
          <w:sz w:val="24"/>
          <w:szCs w:val="24"/>
        </w:rPr>
        <w:br/>
      </w:r>
      <w:r w:rsidR="00571EA4" w:rsidRPr="008E1914">
        <w:rPr>
          <w:rFonts w:ascii="Times New Roman" w:hAnsi="Times New Roman"/>
          <w:b/>
          <w:sz w:val="24"/>
          <w:szCs w:val="24"/>
        </w:rPr>
        <w:t>Структура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реализованной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продукции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перерабатывающих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b/>
          <w:sz w:val="24"/>
          <w:szCs w:val="24"/>
        </w:rPr>
        <w:t>отраслей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Луганской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Народной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Республики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в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2015-2022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гг.,</w:t>
      </w:r>
      <w:r w:rsidR="008E1914">
        <w:rPr>
          <w:rFonts w:ascii="Times New Roman" w:hAnsi="Times New Roman"/>
          <w:b/>
          <w:sz w:val="24"/>
          <w:szCs w:val="24"/>
        </w:rPr>
        <w:t xml:space="preserve"> </w:t>
      </w:r>
      <w:r w:rsidRPr="008E1914">
        <w:rPr>
          <w:rFonts w:ascii="Times New Roman" w:hAnsi="Times New Roman"/>
          <w:b/>
          <w:sz w:val="24"/>
          <w:szCs w:val="24"/>
        </w:rPr>
        <w:t>%</w:t>
      </w:r>
    </w:p>
    <w:p w:rsidR="00BC7D4F" w:rsidRPr="008E1914" w:rsidRDefault="00BC7D4F" w:rsidP="008E191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571EA4" w:rsidRPr="008E1914" w:rsidRDefault="00571EA4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Были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запущены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значимые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легкой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Предпринимались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попытки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загрузить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заказами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рамках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давальческой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схемы.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примеру,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июне-августе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пятью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луганскими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отшито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тыс.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комплектов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первоклассников,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первым,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весьма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успешным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опытом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пошиву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детской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одежды.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Развивалась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пищевая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промышленность.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осуществляли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производственную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деятельность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74,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80.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571EA4" w:rsidRPr="008E1914" w:rsidRDefault="00571EA4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Наибольшую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долю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реализованной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снова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занимать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металлургическое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почти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65%,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22,5%,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машиностроение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6,6%.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целом,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течение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2020-2022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гг.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наблюдался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практически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всем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позициям.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Однако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отдельным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видам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достигнут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уровень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571EA4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например,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ферросплавам,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шоколадной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муке,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молоку.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E1914">
        <w:rPr>
          <w:rFonts w:ascii="Times New Roman" w:hAnsi="Times New Roman"/>
          <w:sz w:val="24"/>
          <w:szCs w:val="24"/>
        </w:rPr>
        <w:t>Осознавая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важность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сохранения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органы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власти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достаточно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быстро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приступили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разработке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различных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краткосрочные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периоды.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Например,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осенью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571EA4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утверждена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71EA4" w:rsidRPr="008E1914">
        <w:rPr>
          <w:rFonts w:ascii="Times New Roman" w:hAnsi="Times New Roman"/>
          <w:sz w:val="24"/>
          <w:szCs w:val="24"/>
        </w:rPr>
        <w:t>«</w:t>
      </w:r>
      <w:r w:rsidRPr="008E1914">
        <w:rPr>
          <w:rFonts w:ascii="Times New Roman" w:hAnsi="Times New Roman"/>
          <w:sz w:val="24"/>
          <w:szCs w:val="24"/>
        </w:rPr>
        <w:t>Программа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реструктуризации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угольной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июнь-декабрь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="00571EA4" w:rsidRPr="008E1914">
        <w:rPr>
          <w:rFonts w:ascii="Times New Roman" w:hAnsi="Times New Roman"/>
          <w:sz w:val="24"/>
          <w:szCs w:val="24"/>
        </w:rPr>
        <w:t>»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8"/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основной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задачей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которой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ставилось</w:t>
      </w:r>
      <w:r w:rsidR="008E1914" w:rsidRPr="00C356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C35692">
        <w:rPr>
          <w:rFonts w:ascii="Times New Roman" w:eastAsia="Times New Roman" w:hAnsi="Times New Roman"/>
          <w:sz w:val="24"/>
          <w:szCs w:val="24"/>
          <w:lang w:eastAsia="ru-RU"/>
        </w:rPr>
        <w:t>гарантированное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обеспечение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гидроэкологической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безопасности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действующих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предприятий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угольной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val="uk-UA" w:eastAsia="ru-RU"/>
        </w:rPr>
        <w:t>отрасли</w:t>
      </w:r>
      <w:r w:rsidR="008E1914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прилегающих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территорий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городов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поселков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ЛНР,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предотвращение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негативных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последствий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ликвидации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шахт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на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состояние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окружающей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среды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здоровье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людей,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также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разработка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нормативно-правовой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базы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реструктуризации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угольной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отрасли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233A8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еспублики.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Позднее,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2018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г</w:t>
      </w:r>
      <w:r w:rsidR="00571EA4" w:rsidRPr="008E1914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при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обсуждении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блока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«Промышленность»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рамках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разрабатываемой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программы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социально-экономического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eastAsia="Times New Roman" w:hAnsi="Times New Roman"/>
          <w:sz w:val="24"/>
          <w:szCs w:val="24"/>
          <w:lang w:eastAsia="ru-RU"/>
        </w:rPr>
        <w:t>развития</w:t>
      </w:r>
      <w:r w:rsidR="008E191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571EA4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заявлено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необходимости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ближайшие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трех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важнейших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проектов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приоритетных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отраслях: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проект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«Энергобезопасность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энергоснабжение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предприятий»,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проект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запуску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трех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печей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Стахановском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заводе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ферросплавов,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проект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запуску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мощностей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Алчевском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металлургическом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комбинате.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Кроме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того,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предполагалось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запустить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значимые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легкой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внедрения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проектов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ожидалось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увеличение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прироста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уровне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менее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сравнению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итогами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571EA4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создание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рабочих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мест.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Следует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отметить,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2015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571EA4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обострились,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стороны,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проблем</w:t>
      </w:r>
      <w:r w:rsidR="005233A8">
        <w:rPr>
          <w:rFonts w:ascii="Times New Roman" w:hAnsi="Times New Roman"/>
          <w:sz w:val="24"/>
          <w:szCs w:val="24"/>
        </w:rPr>
        <w:t>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безработицы,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другой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кадрового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обеспечения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механизмов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страхования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случай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безработицы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видов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услуг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содействие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трудоустройстве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граждан,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обратившихся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поисках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путем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предоставления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работодателям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дотации.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предоставлялись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работодателю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качестве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компенсации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(возмещения)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фактически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понесенных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работодателем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расходов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выплату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заработной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граждан,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трудоустроенных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направлению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отделения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Фонда,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уплату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единого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взноса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общеобязательное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социальное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страхование.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Примером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эффективного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партнера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Территориальное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отделение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Фонда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Стаханов,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дотировало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организацию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временной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занятости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населения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выступало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гарантом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трудоустройства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молодежи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рабочее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место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специальности,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полученной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учебных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заведениях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</w:t>
      </w:r>
      <w:r w:rsidR="009F0A3B" w:rsidRPr="008E1914">
        <w:rPr>
          <w:rFonts w:ascii="Times New Roman" w:hAnsi="Times New Roman"/>
          <w:sz w:val="24"/>
          <w:szCs w:val="24"/>
        </w:rPr>
        <w:t>НР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9"/>
      </w:r>
      <w:r w:rsidRPr="008E1914">
        <w:rPr>
          <w:rFonts w:ascii="Times New Roman" w:hAnsi="Times New Roman"/>
          <w:sz w:val="24"/>
          <w:szCs w:val="24"/>
        </w:rPr>
        <w:t>.</w:t>
      </w:r>
    </w:p>
    <w:p w:rsidR="00BA5FEB" w:rsidRPr="008E1914" w:rsidRDefault="009F0A3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П</w:t>
      </w:r>
      <w:r w:rsidR="00BA5FEB" w:rsidRPr="008E1914">
        <w:rPr>
          <w:rFonts w:ascii="Times New Roman" w:hAnsi="Times New Roman"/>
          <w:sz w:val="24"/>
          <w:szCs w:val="24"/>
        </w:rPr>
        <w:t>редпринятые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действия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привели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позитивным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результатам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адаптации</w:t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4B599E" w:rsidRPr="008E1914">
        <w:rPr>
          <w:rFonts w:ascii="Times New Roman" w:hAnsi="Times New Roman"/>
          <w:sz w:val="24"/>
          <w:szCs w:val="24"/>
        </w:rPr>
        <w:t>П</w:t>
      </w:r>
      <w:r w:rsidR="00BA5FEB" w:rsidRPr="008E1914">
        <w:rPr>
          <w:rFonts w:ascii="Times New Roman" w:hAnsi="Times New Roman"/>
          <w:sz w:val="24"/>
          <w:szCs w:val="24"/>
        </w:rPr>
        <w:t>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данным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Госкомстата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Государственного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таможенного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комитета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месяцев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сравнении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аналогичным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периодом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объем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реализованной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среднем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увеличился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1,9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перерабатывающей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2,8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этом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рост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металлургическом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производстве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был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6,3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этот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период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4,9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выросло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производство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стали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без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полуфабрикатов,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полученных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непр</w:t>
      </w:r>
      <w:r w:rsidR="00BC3651" w:rsidRPr="008E1914">
        <w:rPr>
          <w:rFonts w:ascii="Times New Roman" w:hAnsi="Times New Roman"/>
          <w:sz w:val="24"/>
          <w:szCs w:val="24"/>
        </w:rPr>
        <w:t>ерывным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C3651" w:rsidRPr="008E1914">
        <w:rPr>
          <w:rFonts w:ascii="Times New Roman" w:hAnsi="Times New Roman"/>
          <w:sz w:val="24"/>
          <w:szCs w:val="24"/>
        </w:rPr>
        <w:t>литьем,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C3651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C3651" w:rsidRPr="008E1914">
        <w:rPr>
          <w:rFonts w:ascii="Times New Roman" w:hAnsi="Times New Roman"/>
          <w:sz w:val="24"/>
          <w:szCs w:val="24"/>
        </w:rPr>
        <w:t>ферросплавов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C3651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35,8%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0"/>
      </w:r>
      <w:r w:rsidR="00BA5FEB" w:rsidRPr="008E1914">
        <w:rPr>
          <w:rFonts w:ascii="Times New Roman" w:hAnsi="Times New Roman"/>
          <w:sz w:val="24"/>
          <w:szCs w:val="24"/>
        </w:rPr>
        <w:t>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Особое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значение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имело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поскольку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обеспечивают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продовольственную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безопасность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очередь,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видам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продукции,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пшеничная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мука,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хлеб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хлебобулочные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изделия,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мясо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птицы,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имеют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наибольший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удельный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пищепрома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соответственно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41,6%,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24%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17%.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9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месяцев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сравнении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аналогичным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периодом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муки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возросло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61,8%,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крупы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30,6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%;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мяса,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включая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субпродукты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17,8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%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11"/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Загруженность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мощностей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ведущих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варьировала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15%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100%.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освобождения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ходе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С</w:t>
      </w:r>
      <w:r w:rsidRPr="008E1914">
        <w:rPr>
          <w:rFonts w:ascii="Times New Roman" w:hAnsi="Times New Roman"/>
          <w:sz w:val="24"/>
          <w:szCs w:val="24"/>
        </w:rPr>
        <w:t>пециальной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операции,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площадь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посевных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площадей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увеличилась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четыре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раза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12"/>
      </w:r>
      <w:r w:rsidRPr="008E1914">
        <w:rPr>
          <w:rFonts w:ascii="Times New Roman" w:hAnsi="Times New Roman"/>
          <w:sz w:val="24"/>
          <w:szCs w:val="24"/>
        </w:rPr>
        <w:t>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Таким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образом,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условиях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политической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непризнанности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февраля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4B599E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Fonts w:ascii="Times New Roman" w:hAnsi="Times New Roman"/>
          <w:sz w:val="24"/>
          <w:szCs w:val="24"/>
        </w:rPr>
        <w:t>),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почти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восьмилетней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экономической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блокады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стороны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Украины,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временной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утраты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части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соответственно,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ресурсов,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продолжающихся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действий,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благодаря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предпринятым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мерам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сохранению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потенциала,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постоянной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помощи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стороны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Народная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смогла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адаптироваться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кризисной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ситуации,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впоследствии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позволило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нарастить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производства.</w:t>
      </w:r>
    </w:p>
    <w:p w:rsidR="002D620E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30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сентября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были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подписаны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международные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договоры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вхождении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Российской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Федерации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четырех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</w:t>
      </w:r>
      <w:r w:rsidR="00DB0DA1" w:rsidRPr="008E1914">
        <w:rPr>
          <w:rFonts w:ascii="Times New Roman" w:hAnsi="Times New Roman"/>
          <w:sz w:val="24"/>
          <w:szCs w:val="24"/>
        </w:rPr>
        <w:t>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Донецкой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Народных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Запорожской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Херсонской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областей.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позиции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военных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действий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="00DB0DA1" w:rsidRPr="008E1914">
        <w:rPr>
          <w:rFonts w:ascii="Times New Roman" w:hAnsi="Times New Roman"/>
          <w:sz w:val="24"/>
          <w:szCs w:val="24"/>
        </w:rPr>
        <w:t>еспублика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оказалась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благоприятных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условиях</w:t>
      </w:r>
      <w:r w:rsidR="002D620E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BA5FEB" w:rsidRPr="008E1914" w:rsidRDefault="00DB0DA1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Согласно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сведени</w:t>
      </w:r>
      <w:r w:rsidR="005233A8">
        <w:rPr>
          <w:rFonts w:ascii="Times New Roman" w:hAnsi="Times New Roman"/>
          <w:sz w:val="24"/>
          <w:szCs w:val="24"/>
        </w:rPr>
        <w:t>ям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официальных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выступлений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главы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Минпромторга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удельный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вес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структуре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233A8">
        <w:rPr>
          <w:rFonts w:ascii="Times New Roman" w:hAnsi="Times New Roman"/>
          <w:sz w:val="24"/>
          <w:szCs w:val="24"/>
        </w:rPr>
        <w:t>Р</w:t>
      </w:r>
      <w:r w:rsidR="00BA5FEB"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составил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77,5%;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реализация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предприятиями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обрабатывающей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отрасли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увеличилась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почти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19%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сравнению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прошлым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периодом,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среднемесячная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зарплата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выросла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37%.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планируется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привлечь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около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млрд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рублей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инвестиций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менее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тысяч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рабочих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мест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3"/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BA5FEB" w:rsidRPr="008E1914" w:rsidRDefault="002D620E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А</w:t>
      </w:r>
      <w:r w:rsidR="00DB0DA1" w:rsidRPr="008E1914">
        <w:rPr>
          <w:rFonts w:ascii="Times New Roman" w:hAnsi="Times New Roman"/>
          <w:sz w:val="24"/>
          <w:szCs w:val="24"/>
        </w:rPr>
        <w:t>ктивно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внедр</w:t>
      </w:r>
      <w:r w:rsidRPr="008E1914">
        <w:rPr>
          <w:rFonts w:ascii="Times New Roman" w:hAnsi="Times New Roman"/>
          <w:sz w:val="24"/>
          <w:szCs w:val="24"/>
        </w:rPr>
        <w:t>яются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механизм</w:t>
      </w:r>
      <w:r w:rsidRPr="008E1914">
        <w:rPr>
          <w:rFonts w:ascii="Times New Roman" w:hAnsi="Times New Roman"/>
          <w:sz w:val="24"/>
          <w:szCs w:val="24"/>
        </w:rPr>
        <w:t>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адаптации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комплекса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новым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условиям.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Первым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таким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адаптивным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механизмом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федерального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стало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DB0DA1" w:rsidRPr="008E1914">
        <w:rPr>
          <w:rFonts w:ascii="Times New Roman" w:hAnsi="Times New Roman"/>
          <w:sz w:val="24"/>
          <w:szCs w:val="24"/>
        </w:rPr>
        <w:t>с</w:t>
      </w:r>
      <w:r w:rsidR="00BA5FEB" w:rsidRPr="008E1914">
        <w:rPr>
          <w:rFonts w:ascii="Times New Roman" w:hAnsi="Times New Roman"/>
          <w:sz w:val="24"/>
          <w:szCs w:val="24"/>
        </w:rPr>
        <w:t>оздание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31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декабря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2050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свободной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экономической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зоны</w:t>
      </w:r>
      <w:r w:rsidR="00EF6CB3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направленной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обеспечение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«устойчиво</w:t>
      </w:r>
      <w:r w:rsidR="00EF6CB3" w:rsidRPr="008E1914">
        <w:rPr>
          <w:rFonts w:ascii="Times New Roman" w:hAnsi="Times New Roman"/>
          <w:sz w:val="24"/>
          <w:szCs w:val="24"/>
        </w:rPr>
        <w:t>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социально-экономическо</w:t>
      </w:r>
      <w:r w:rsidR="00EF6CB3" w:rsidRPr="008E1914">
        <w:rPr>
          <w:rFonts w:ascii="Times New Roman" w:hAnsi="Times New Roman"/>
          <w:sz w:val="24"/>
          <w:szCs w:val="24"/>
        </w:rPr>
        <w:t>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</w:t>
      </w:r>
      <w:r w:rsidR="00EF6CB3" w:rsidRPr="008E1914">
        <w:rPr>
          <w:rFonts w:ascii="Times New Roman" w:hAnsi="Times New Roman"/>
          <w:sz w:val="24"/>
          <w:szCs w:val="24"/>
        </w:rPr>
        <w:t>я</w:t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привлечение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инвестиций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действующих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производств,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</w:t>
      </w:r>
      <w:r w:rsidR="00EF6CB3" w:rsidRPr="008E1914">
        <w:rPr>
          <w:rFonts w:ascii="Times New Roman" w:hAnsi="Times New Roman"/>
          <w:sz w:val="24"/>
          <w:szCs w:val="24"/>
        </w:rPr>
        <w:t>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транспортной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инфраструктур,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строительной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отрасли,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туризма,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здравоохранения,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сельского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хозяйства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санаторно-курортной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сферы,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также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повышения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качества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жизни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граждан»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4"/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начало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июля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="00EF6CB3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реестр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СЭЗ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насчитывал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161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участника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5"/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которых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почти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половина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находятся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территории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</w:t>
      </w:r>
      <w:r w:rsidR="00F620B6" w:rsidRPr="008E1914">
        <w:rPr>
          <w:rFonts w:ascii="Times New Roman" w:hAnsi="Times New Roman"/>
          <w:sz w:val="24"/>
          <w:szCs w:val="24"/>
        </w:rPr>
        <w:t>НР</w:t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Единый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налог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участников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СЭЗ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снижен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30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7,6%,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налог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прибыль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13,5%.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Первым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региональным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механизмом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адаптации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стала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</w:t>
      </w:r>
      <w:r w:rsidR="00EF6CB3" w:rsidRPr="008E1914">
        <w:rPr>
          <w:rFonts w:ascii="Times New Roman" w:hAnsi="Times New Roman"/>
          <w:sz w:val="24"/>
          <w:szCs w:val="24"/>
        </w:rPr>
        <w:t>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</w:t>
      </w:r>
      <w:r w:rsidR="00EF6CB3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Народной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2024-2026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годы»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16"/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финансирования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составит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около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250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руб.,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F620B6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будет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предоставлено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150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руб.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счет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средств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смогут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возместить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50%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затрат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приобретение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оборудования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(но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руб.);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80%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затрат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оплату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услуг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ресурсоснабжающих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организаций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подключению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коммунальной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инфраструктуре;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80%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затрат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уплату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взноса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заключении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договора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лизинга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оборудования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50%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стоимости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оборудования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17"/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F6CB3" w:rsidRPr="008E1914">
        <w:rPr>
          <w:rFonts w:ascii="Times New Roman" w:hAnsi="Times New Roman"/>
          <w:sz w:val="24"/>
          <w:szCs w:val="24"/>
        </w:rPr>
        <w:t>П</w:t>
      </w:r>
      <w:r w:rsidRPr="008E1914">
        <w:rPr>
          <w:rFonts w:ascii="Times New Roman" w:hAnsi="Times New Roman"/>
          <w:sz w:val="24"/>
          <w:szCs w:val="24"/>
        </w:rPr>
        <w:t>ланируется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увеличить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темпы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модернизации,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обновления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производственных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мощностей,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стимулировать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инвестиционную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активность.</w:t>
      </w:r>
    </w:p>
    <w:p w:rsidR="00BA5FEB" w:rsidRPr="008E1914" w:rsidRDefault="00EF6CB3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Республика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среди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инициирова</w:t>
      </w:r>
      <w:r w:rsidR="002D620E" w:rsidRPr="008E1914">
        <w:rPr>
          <w:rFonts w:ascii="Times New Roman" w:hAnsi="Times New Roman"/>
          <w:sz w:val="24"/>
          <w:szCs w:val="24"/>
        </w:rPr>
        <w:t>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формирование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еще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механизма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адаптации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некоммерческой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организации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«Фонд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Народной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Республики»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8"/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Главная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цель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ФРП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заключается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предоставлении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поддержки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предприятиям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сектора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экономики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Р</w:t>
      </w:r>
      <w:r w:rsidR="00BA5FEB" w:rsidRPr="008E1914">
        <w:rPr>
          <w:rFonts w:ascii="Times New Roman" w:hAnsi="Times New Roman"/>
          <w:sz w:val="24"/>
          <w:szCs w:val="24"/>
        </w:rPr>
        <w:t>еспублики.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Фонд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выдает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займы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размере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 xml:space="preserve">до </w:t>
      </w:r>
      <w:r w:rsidR="00BA5FEB" w:rsidRPr="008E1914">
        <w:rPr>
          <w:rFonts w:ascii="Times New Roman" w:hAnsi="Times New Roman"/>
          <w:sz w:val="24"/>
          <w:szCs w:val="24"/>
        </w:rPr>
        <w:t>100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руб.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1-2%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годовых,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срок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7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проекты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технологического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перевооружения,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модернизации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производства,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разработки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новой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высокотехнологичной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продукции,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импортозамещения,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комплектующих,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повышения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производительности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труда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19"/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Региональный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</w:t>
      </w:r>
      <w:r w:rsidR="002D620E" w:rsidRPr="008E1914">
        <w:rPr>
          <w:rFonts w:ascii="Times New Roman" w:hAnsi="Times New Roman"/>
          <w:sz w:val="24"/>
          <w:szCs w:val="24"/>
        </w:rPr>
        <w:t>РП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участвует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государственной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программы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«Социально-экономическое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Народной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Республики»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досрочно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завершил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выполнение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="00731B0B" w:rsidRPr="008E1914">
        <w:rPr>
          <w:rFonts w:ascii="Times New Roman" w:hAnsi="Times New Roman"/>
          <w:sz w:val="24"/>
          <w:szCs w:val="24"/>
        </w:rPr>
        <w:t>.</w:t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которого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финансовая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помощь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виде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грантов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целевых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займов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была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</w:t>
      </w:r>
      <w:r w:rsidR="002D620E" w:rsidRPr="008E1914">
        <w:rPr>
          <w:rFonts w:ascii="Times New Roman" w:hAnsi="Times New Roman"/>
          <w:sz w:val="24"/>
          <w:szCs w:val="24"/>
        </w:rPr>
        <w:t>казана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14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предприятиям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региона.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Общая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численность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работающих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предприятиях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получивших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займы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регионального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ФРП,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составляет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3000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чел.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20"/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Планируется,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что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731B0B" w:rsidRPr="008E1914">
        <w:rPr>
          <w:rFonts w:ascii="Times New Roman" w:hAnsi="Times New Roman"/>
          <w:sz w:val="24"/>
          <w:szCs w:val="24"/>
        </w:rPr>
        <w:t>первые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капитализация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</w:t>
      </w:r>
      <w:r w:rsidR="002D620E" w:rsidRPr="008E1914">
        <w:rPr>
          <w:rFonts w:ascii="Times New Roman" w:hAnsi="Times New Roman"/>
          <w:sz w:val="24"/>
          <w:szCs w:val="24"/>
        </w:rPr>
        <w:t>РП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составит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3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млрд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рублей.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Общая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же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сумма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капитализации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всех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ФРП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регионов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2023–2025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г</w:t>
      </w:r>
      <w:r w:rsidR="00731B0B" w:rsidRPr="008E1914">
        <w:rPr>
          <w:rFonts w:ascii="Times New Roman" w:hAnsi="Times New Roman"/>
          <w:sz w:val="24"/>
          <w:szCs w:val="24"/>
        </w:rPr>
        <w:t>г.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составит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млрд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рублей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c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созданием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более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000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рабочих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мест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21"/>
      </w:r>
      <w:r w:rsidR="00BA5FEB" w:rsidRPr="008E1914">
        <w:rPr>
          <w:rFonts w:ascii="Times New Roman" w:hAnsi="Times New Roman"/>
          <w:sz w:val="24"/>
          <w:szCs w:val="24"/>
        </w:rPr>
        <w:t>.</w:t>
      </w:r>
    </w:p>
    <w:p w:rsidR="00BA5FEB" w:rsidRPr="008E1914" w:rsidRDefault="00731B0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З</w:t>
      </w:r>
      <w:r w:rsidR="00BA5FEB" w:rsidRPr="008E1914">
        <w:rPr>
          <w:rFonts w:ascii="Times New Roman" w:hAnsi="Times New Roman"/>
          <w:sz w:val="24"/>
          <w:szCs w:val="24"/>
        </w:rPr>
        <w:t>акон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«О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политике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Народной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Республике»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22"/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является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еще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од</w:t>
      </w:r>
      <w:r w:rsidR="00C35692">
        <w:rPr>
          <w:rFonts w:ascii="Times New Roman" w:hAnsi="Times New Roman"/>
          <w:sz w:val="24"/>
          <w:szCs w:val="24"/>
        </w:rPr>
        <w:t>ним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меха</w:t>
      </w:r>
      <w:r w:rsidR="00E00ADA" w:rsidRPr="008E1914">
        <w:rPr>
          <w:rFonts w:ascii="Times New Roman" w:hAnsi="Times New Roman"/>
          <w:sz w:val="24"/>
          <w:szCs w:val="24"/>
        </w:rPr>
        <w:t>ни</w:t>
      </w:r>
      <w:r w:rsidRPr="008E1914">
        <w:rPr>
          <w:rFonts w:ascii="Times New Roman" w:hAnsi="Times New Roman"/>
          <w:sz w:val="24"/>
          <w:szCs w:val="24"/>
        </w:rPr>
        <w:t>змом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адаптации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региона.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законе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BA5FEB" w:rsidRPr="008E1914">
        <w:rPr>
          <w:rFonts w:ascii="Times New Roman" w:hAnsi="Times New Roman"/>
          <w:sz w:val="24"/>
          <w:szCs w:val="24"/>
        </w:rPr>
        <w:t>ыделены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четыре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цели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политики: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восстановление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</w:t>
      </w:r>
      <w:r w:rsidR="001945FD" w:rsidRPr="008E1914">
        <w:rPr>
          <w:rFonts w:ascii="Times New Roman" w:hAnsi="Times New Roman"/>
          <w:sz w:val="24"/>
          <w:szCs w:val="24"/>
        </w:rPr>
        <w:t>шленного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потенциала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предприятий</w:t>
      </w:r>
      <w:r w:rsidR="00BA5FEB" w:rsidRPr="008E1914">
        <w:rPr>
          <w:rFonts w:ascii="Times New Roman" w:hAnsi="Times New Roman"/>
          <w:sz w:val="24"/>
          <w:szCs w:val="24"/>
        </w:rPr>
        <w:t>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повышение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конкурентоспособности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технического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обеспечение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выхода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инновационной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продукции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высоких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технологий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внутренний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внешний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рынки;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обеспечение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занятости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населения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повышения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уровня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жизни.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Компетенции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Р</w:t>
      </w:r>
      <w:r w:rsidR="00BA5FEB" w:rsidRPr="008E1914">
        <w:rPr>
          <w:rFonts w:ascii="Times New Roman" w:hAnsi="Times New Roman"/>
          <w:sz w:val="24"/>
          <w:szCs w:val="24"/>
        </w:rPr>
        <w:t>еспублики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позволяют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решить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поставленные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задач</w:t>
      </w:r>
      <w:r w:rsidR="001945FD" w:rsidRPr="008E1914">
        <w:rPr>
          <w:rFonts w:ascii="Times New Roman" w:hAnsi="Times New Roman"/>
          <w:sz w:val="24"/>
          <w:szCs w:val="24"/>
        </w:rPr>
        <w:t>и.</w:t>
      </w:r>
    </w:p>
    <w:p w:rsidR="005E15DE" w:rsidRPr="008E1914" w:rsidRDefault="001945FD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Р</w:t>
      </w:r>
      <w:r w:rsidR="00FC6FF2" w:rsidRPr="008E1914">
        <w:rPr>
          <w:rFonts w:ascii="Times New Roman" w:hAnsi="Times New Roman"/>
          <w:sz w:val="24"/>
          <w:szCs w:val="24"/>
        </w:rPr>
        <w:t>азвиваются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другие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механизмы</w:t>
      </w:r>
      <w:r w:rsidR="00BA5FEB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способствующие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FC6FF2" w:rsidRPr="008E1914">
        <w:rPr>
          <w:rFonts w:ascii="Times New Roman" w:hAnsi="Times New Roman"/>
          <w:sz w:val="24"/>
          <w:szCs w:val="24"/>
        </w:rPr>
        <w:t>адаптации</w:t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Напри</w:t>
      </w:r>
      <w:r w:rsidR="00FC6FF2" w:rsidRPr="008E1914">
        <w:rPr>
          <w:rFonts w:ascii="Times New Roman" w:hAnsi="Times New Roman"/>
          <w:sz w:val="24"/>
          <w:szCs w:val="24"/>
        </w:rPr>
        <w:t>мер</w:t>
      </w:r>
      <w:r w:rsidR="00E00ADA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создан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Совет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региона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27F5C" w:rsidRPr="008E1914">
        <w:rPr>
          <w:rFonts w:ascii="Times New Roman" w:hAnsi="Times New Roman"/>
          <w:sz w:val="24"/>
          <w:szCs w:val="24"/>
        </w:rPr>
        <w:t>Одна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27F5C" w:rsidRPr="008E1914">
        <w:rPr>
          <w:rFonts w:ascii="Times New Roman" w:hAnsi="Times New Roman"/>
          <w:sz w:val="24"/>
          <w:szCs w:val="24"/>
        </w:rPr>
        <w:t>из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27F5C" w:rsidRPr="008E1914">
        <w:rPr>
          <w:rFonts w:ascii="Times New Roman" w:hAnsi="Times New Roman"/>
          <w:sz w:val="24"/>
          <w:szCs w:val="24"/>
        </w:rPr>
        <w:t>о</w:t>
      </w:r>
      <w:r w:rsidR="00BA5FEB" w:rsidRPr="008E1914">
        <w:rPr>
          <w:rFonts w:ascii="Times New Roman" w:hAnsi="Times New Roman"/>
          <w:sz w:val="24"/>
          <w:szCs w:val="24"/>
        </w:rPr>
        <w:t>сновны</w:t>
      </w:r>
      <w:r w:rsidR="00C27F5C" w:rsidRPr="008E1914">
        <w:rPr>
          <w:rFonts w:ascii="Times New Roman" w:hAnsi="Times New Roman"/>
          <w:sz w:val="24"/>
          <w:szCs w:val="24"/>
        </w:rPr>
        <w:t>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задач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деятельности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Совета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27F5C"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27F5C" w:rsidRPr="008E1914">
        <w:rPr>
          <w:rFonts w:ascii="Times New Roman" w:hAnsi="Times New Roman"/>
          <w:sz w:val="24"/>
          <w:szCs w:val="24"/>
        </w:rPr>
        <w:t>это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содействие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обеспечении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условий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для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развития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промышленной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инфраструктуры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Р</w:t>
      </w:r>
      <w:r w:rsidR="00BA5FEB" w:rsidRPr="008E1914">
        <w:rPr>
          <w:rFonts w:ascii="Times New Roman" w:hAnsi="Times New Roman"/>
          <w:sz w:val="24"/>
          <w:szCs w:val="24"/>
        </w:rPr>
        <w:t>еспублике</w:t>
      </w:r>
      <w:r w:rsidR="00BA5FEB" w:rsidRPr="008E1914">
        <w:rPr>
          <w:rStyle w:val="a5"/>
          <w:rFonts w:ascii="Times New Roman" w:hAnsi="Times New Roman"/>
          <w:sz w:val="24"/>
          <w:szCs w:val="24"/>
        </w:rPr>
        <w:footnoteReference w:id="23"/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Применение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подобного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инст</w:t>
      </w:r>
      <w:r w:rsidR="00E00ADA" w:rsidRPr="008E1914">
        <w:rPr>
          <w:rFonts w:ascii="Times New Roman" w:hAnsi="Times New Roman"/>
          <w:sz w:val="24"/>
          <w:szCs w:val="24"/>
        </w:rPr>
        <w:t>румента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не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только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способствует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адаптации,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ускоряет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E00ADA" w:rsidRPr="008E1914">
        <w:rPr>
          <w:rFonts w:ascii="Times New Roman" w:hAnsi="Times New Roman"/>
          <w:sz w:val="24"/>
          <w:szCs w:val="24"/>
        </w:rPr>
        <w:t>интеграцию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хозяйствующих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субъектов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региона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национальное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экономическое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пространство</w:t>
      </w:r>
      <w:r w:rsidR="00BA5FEB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Интеграции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способствует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межрегиональное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взаимодействие</w:t>
      </w:r>
      <w:r w:rsidR="002D620E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например,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рамках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Соглашения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создании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Содружества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«Донбасс»</w:t>
      </w:r>
      <w:r w:rsidR="005E15DE" w:rsidRPr="008E1914">
        <w:rPr>
          <w:rStyle w:val="a5"/>
          <w:rFonts w:ascii="Times New Roman" w:hAnsi="Times New Roman"/>
          <w:sz w:val="24"/>
          <w:szCs w:val="24"/>
        </w:rPr>
        <w:footnoteReference w:id="24"/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между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Луганской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Донецкой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народными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республиками,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Рос</w:t>
      </w:r>
      <w:r w:rsidR="002D620E" w:rsidRPr="008E1914">
        <w:rPr>
          <w:rFonts w:ascii="Times New Roman" w:hAnsi="Times New Roman"/>
          <w:sz w:val="24"/>
          <w:szCs w:val="24"/>
        </w:rPr>
        <w:t>товской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Воронежской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2D620E" w:rsidRPr="008E1914">
        <w:rPr>
          <w:rFonts w:ascii="Times New Roman" w:hAnsi="Times New Roman"/>
          <w:sz w:val="24"/>
          <w:szCs w:val="24"/>
        </w:rPr>
        <w:t>областями.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Целью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содружества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является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развитие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регионов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по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более,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чем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десяти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различным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направлениям,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включая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промышленную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инвестиционную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5E15DE" w:rsidRPr="008E1914">
        <w:rPr>
          <w:rFonts w:ascii="Times New Roman" w:hAnsi="Times New Roman"/>
          <w:sz w:val="24"/>
          <w:szCs w:val="24"/>
        </w:rPr>
        <w:t>сферы</w:t>
      </w:r>
      <w:r w:rsidR="00C27F5C" w:rsidRPr="008E1914">
        <w:rPr>
          <w:rFonts w:ascii="Times New Roman" w:hAnsi="Times New Roman"/>
          <w:sz w:val="24"/>
          <w:szCs w:val="24"/>
        </w:rPr>
        <w:t>.</w:t>
      </w:r>
    </w:p>
    <w:p w:rsidR="00BA5FEB" w:rsidRPr="008E1914" w:rsidRDefault="00BA5FEB" w:rsidP="008E1914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Особое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внимание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уделяется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«сердцу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Донбасса»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–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угольной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которая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получает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второе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дыхание.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Так,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между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Министерством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топлива,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энергетики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угольной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промышленности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ООО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«Торговый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«Донские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угли»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подписан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договор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аренды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правом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дальнейшего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выкупа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ряда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угледобывающих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предприятий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Р</w:t>
      </w:r>
      <w:r w:rsidRPr="008E1914">
        <w:rPr>
          <w:rFonts w:ascii="Times New Roman" w:hAnsi="Times New Roman"/>
          <w:sz w:val="24"/>
          <w:szCs w:val="24"/>
        </w:rPr>
        <w:t>еспублики.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Планируемый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инвестиций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первые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пять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составит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порядка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40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C35692">
        <w:rPr>
          <w:rFonts w:ascii="Times New Roman" w:hAnsi="Times New Roman"/>
          <w:sz w:val="24"/>
          <w:szCs w:val="24"/>
        </w:rPr>
        <w:t>млрд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руб.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Объем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добычи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угля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2024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C27F5C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оценивается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1,5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тонн,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2028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</w:t>
      </w:r>
      <w:r w:rsidR="00C27F5C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предполагается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увеличение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до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10,5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млн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тонн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год.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Совокупно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трудовой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коллектив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ООО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«Донские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угли»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только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на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территории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будет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составлять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почти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12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тыс</w:t>
      </w:r>
      <w:r w:rsidR="001945FD"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чел</w:t>
      </w:r>
      <w:r w:rsidR="001945FD" w:rsidRPr="008E1914">
        <w:rPr>
          <w:rFonts w:ascii="Times New Roman" w:hAnsi="Times New Roman"/>
          <w:sz w:val="24"/>
          <w:szCs w:val="24"/>
        </w:rPr>
        <w:t>.</w:t>
      </w:r>
      <w:r w:rsidRPr="008E1914">
        <w:rPr>
          <w:rStyle w:val="a5"/>
          <w:rFonts w:ascii="Times New Roman" w:hAnsi="Times New Roman"/>
          <w:sz w:val="24"/>
          <w:szCs w:val="24"/>
        </w:rPr>
        <w:footnoteReference w:id="25"/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p w:rsidR="00BA5FEB" w:rsidRPr="008E1914" w:rsidRDefault="005E15DE" w:rsidP="008E1914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E1914">
        <w:rPr>
          <w:rFonts w:ascii="Times New Roman" w:hAnsi="Times New Roman"/>
          <w:sz w:val="24"/>
          <w:szCs w:val="24"/>
        </w:rPr>
        <w:t>Таким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образом,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промышленность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ЛНР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обладает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весомым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9F0A3B" w:rsidRPr="008E1914">
        <w:rPr>
          <w:rFonts w:ascii="Times New Roman" w:hAnsi="Times New Roman"/>
          <w:sz w:val="24"/>
          <w:szCs w:val="24"/>
        </w:rPr>
        <w:t>адаптивным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потенциал</w:t>
      </w:r>
      <w:r w:rsidR="009F0A3B" w:rsidRPr="008E1914">
        <w:rPr>
          <w:rFonts w:ascii="Times New Roman" w:hAnsi="Times New Roman"/>
          <w:sz w:val="24"/>
          <w:szCs w:val="24"/>
        </w:rPr>
        <w:t>ом</w:t>
      </w:r>
      <w:r w:rsidR="001945FD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инстру</w:t>
      </w:r>
      <w:r w:rsidRPr="008E1914">
        <w:rPr>
          <w:rFonts w:ascii="Times New Roman" w:hAnsi="Times New Roman"/>
          <w:sz w:val="24"/>
          <w:szCs w:val="24"/>
        </w:rPr>
        <w:t>менты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государственной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поддержки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способствуют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его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реализации</w:t>
      </w:r>
      <w:r w:rsidRPr="008E1914">
        <w:rPr>
          <w:rFonts w:ascii="Times New Roman" w:hAnsi="Times New Roman"/>
          <w:sz w:val="24"/>
          <w:szCs w:val="24"/>
        </w:rPr>
        <w:t>.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Особого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внимания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требуют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кадровые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вопросы,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решение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которых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возможно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Pr="008E1914">
        <w:rPr>
          <w:rFonts w:ascii="Times New Roman" w:hAnsi="Times New Roman"/>
          <w:sz w:val="24"/>
          <w:szCs w:val="24"/>
        </w:rPr>
        <w:t>через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разработку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регионального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баланса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трудовых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ресурсов,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взаимодействи</w:t>
      </w:r>
      <w:r w:rsidRPr="008E1914">
        <w:rPr>
          <w:rFonts w:ascii="Times New Roman" w:hAnsi="Times New Roman"/>
          <w:sz w:val="24"/>
          <w:szCs w:val="24"/>
        </w:rPr>
        <w:t>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с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образоват</w:t>
      </w:r>
      <w:r w:rsidR="001945FD" w:rsidRPr="008E1914">
        <w:rPr>
          <w:rFonts w:ascii="Times New Roman" w:hAnsi="Times New Roman"/>
          <w:sz w:val="24"/>
          <w:szCs w:val="24"/>
        </w:rPr>
        <w:t>ельной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1945FD" w:rsidRPr="008E1914">
        <w:rPr>
          <w:rFonts w:ascii="Times New Roman" w:hAnsi="Times New Roman"/>
          <w:sz w:val="24"/>
          <w:szCs w:val="24"/>
        </w:rPr>
        <w:t>сферой</w:t>
      </w:r>
      <w:r w:rsidR="00AD6785" w:rsidRPr="008E1914">
        <w:rPr>
          <w:rFonts w:ascii="Times New Roman" w:hAnsi="Times New Roman"/>
          <w:sz w:val="24"/>
          <w:szCs w:val="24"/>
        </w:rPr>
        <w:t>,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в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том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числе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путем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AD6785" w:rsidRPr="008E1914">
        <w:rPr>
          <w:rFonts w:ascii="Times New Roman" w:hAnsi="Times New Roman"/>
          <w:sz w:val="24"/>
          <w:szCs w:val="24"/>
        </w:rPr>
        <w:t>внедрения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программ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целевой</w:t>
      </w:r>
      <w:r w:rsidR="008E1914">
        <w:rPr>
          <w:rFonts w:ascii="Times New Roman" w:hAnsi="Times New Roman"/>
          <w:sz w:val="24"/>
          <w:szCs w:val="24"/>
        </w:rPr>
        <w:t xml:space="preserve"> </w:t>
      </w:r>
      <w:r w:rsidR="00BA5FEB" w:rsidRPr="008E1914">
        <w:rPr>
          <w:rFonts w:ascii="Times New Roman" w:hAnsi="Times New Roman"/>
          <w:sz w:val="24"/>
          <w:szCs w:val="24"/>
        </w:rPr>
        <w:t>подготовки.</w:t>
      </w:r>
      <w:r w:rsidR="008E1914">
        <w:rPr>
          <w:rFonts w:ascii="Times New Roman" w:hAnsi="Times New Roman"/>
          <w:sz w:val="24"/>
          <w:szCs w:val="24"/>
        </w:rPr>
        <w:t xml:space="preserve"> </w:t>
      </w:r>
    </w:p>
    <w:sectPr w:rsidR="00BA5FEB" w:rsidRPr="008E1914" w:rsidSect="008E1914">
      <w:headerReference w:type="default" r:id="rId17"/>
      <w:footerReference w:type="default" r:id="rId18"/>
      <w:pgSz w:w="11906" w:h="16838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914" w:rsidRDefault="008E1914" w:rsidP="00A515A2">
      <w:pPr>
        <w:spacing w:after="0" w:line="240" w:lineRule="auto"/>
      </w:pPr>
      <w:r>
        <w:separator/>
      </w:r>
    </w:p>
  </w:endnote>
  <w:endnote w:type="continuationSeparator" w:id="0">
    <w:p w:rsidR="008E1914" w:rsidRDefault="008E1914" w:rsidP="00A515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940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8E1914" w:rsidRPr="008E1914" w:rsidRDefault="008E1914" w:rsidP="008E1914">
        <w:pPr>
          <w:pStyle w:val="af2"/>
          <w:jc w:val="center"/>
          <w:rPr>
            <w:rFonts w:ascii="Times New Roman" w:hAnsi="Times New Roman"/>
            <w:sz w:val="24"/>
            <w:szCs w:val="24"/>
          </w:rPr>
        </w:pPr>
        <w:r w:rsidRPr="008E1914">
          <w:rPr>
            <w:rFonts w:ascii="Times New Roman" w:hAnsi="Times New Roman"/>
            <w:sz w:val="24"/>
            <w:szCs w:val="24"/>
          </w:rPr>
          <w:fldChar w:fldCharType="begin"/>
        </w:r>
        <w:r w:rsidRPr="008E1914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8E1914">
          <w:rPr>
            <w:rFonts w:ascii="Times New Roman" w:hAnsi="Times New Roman"/>
            <w:sz w:val="24"/>
            <w:szCs w:val="24"/>
          </w:rPr>
          <w:fldChar w:fldCharType="separate"/>
        </w:r>
        <w:r w:rsidR="00C35692">
          <w:rPr>
            <w:rFonts w:ascii="Times New Roman" w:hAnsi="Times New Roman"/>
            <w:noProof/>
            <w:sz w:val="24"/>
            <w:szCs w:val="24"/>
          </w:rPr>
          <w:t>10</w:t>
        </w:r>
        <w:r w:rsidRPr="008E191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914" w:rsidRDefault="008E1914" w:rsidP="00A515A2">
      <w:pPr>
        <w:spacing w:after="0" w:line="240" w:lineRule="auto"/>
      </w:pPr>
      <w:r>
        <w:separator/>
      </w:r>
    </w:p>
  </w:footnote>
  <w:footnote w:type="continuationSeparator" w:id="0">
    <w:p w:rsidR="008E1914" w:rsidRDefault="008E1914" w:rsidP="00A515A2">
      <w:pPr>
        <w:spacing w:after="0" w:line="240" w:lineRule="auto"/>
      </w:pPr>
      <w:r>
        <w:continuationSeparator/>
      </w:r>
    </w:p>
  </w:footnote>
  <w:footnote w:id="1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Украина.</w:t>
      </w:r>
      <w:r>
        <w:t xml:space="preserve"> </w:t>
      </w:r>
      <w:r w:rsidRPr="008E1914">
        <w:t>Луганская</w:t>
      </w:r>
      <w:r>
        <w:t xml:space="preserve"> </w:t>
      </w:r>
      <w:r w:rsidRPr="008E1914">
        <w:t>область</w:t>
      </w:r>
      <w:r>
        <w:t xml:space="preserve">. – </w:t>
      </w:r>
      <w:r w:rsidRPr="008E1914">
        <w:t>https://fb.ru/article/148644/ukraina-luganskaya-oblast</w:t>
      </w:r>
    </w:p>
  </w:footnote>
  <w:footnote w:id="2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rPr>
          <w:i/>
        </w:rPr>
        <w:t>Никифоров А.</w:t>
      </w:r>
      <w:r>
        <w:t xml:space="preserve"> </w:t>
      </w:r>
      <w:r w:rsidRPr="008E1914">
        <w:t>Структурные</w:t>
      </w:r>
      <w:r>
        <w:t xml:space="preserve"> </w:t>
      </w:r>
      <w:r w:rsidRPr="008E1914">
        <w:t>проблемы</w:t>
      </w:r>
      <w:r>
        <w:t xml:space="preserve"> </w:t>
      </w:r>
      <w:r w:rsidRPr="008E1914">
        <w:t>украинской</w:t>
      </w:r>
      <w:r>
        <w:t xml:space="preserve"> </w:t>
      </w:r>
      <w:r w:rsidRPr="008E1914">
        <w:t>экономики</w:t>
      </w:r>
      <w:r>
        <w:t xml:space="preserve"> </w:t>
      </w:r>
      <w:r w:rsidRPr="008E1914">
        <w:t>в</w:t>
      </w:r>
      <w:r>
        <w:t xml:space="preserve"> </w:t>
      </w:r>
      <w:r w:rsidRPr="008E1914">
        <w:t>свете</w:t>
      </w:r>
      <w:r>
        <w:t xml:space="preserve"> </w:t>
      </w:r>
      <w:r w:rsidRPr="008E1914">
        <w:t>требований</w:t>
      </w:r>
      <w:r>
        <w:t xml:space="preserve"> </w:t>
      </w:r>
      <w:r w:rsidRPr="008E1914">
        <w:t>ее</w:t>
      </w:r>
      <w:r>
        <w:t xml:space="preserve"> </w:t>
      </w:r>
      <w:r w:rsidRPr="008E1914">
        <w:t>инновационного</w:t>
      </w:r>
      <w:r>
        <w:t xml:space="preserve"> </w:t>
      </w:r>
      <w:r w:rsidRPr="008E1914">
        <w:t>развития</w:t>
      </w:r>
      <w:r>
        <w:t xml:space="preserve"> </w:t>
      </w:r>
      <w:r w:rsidRPr="008E1914">
        <w:t>//</w:t>
      </w:r>
      <w:r>
        <w:t xml:space="preserve"> </w:t>
      </w:r>
      <w:r w:rsidRPr="008E1914">
        <w:t>Общество</w:t>
      </w:r>
      <w:r>
        <w:t xml:space="preserve"> </w:t>
      </w:r>
      <w:r w:rsidRPr="008E1914">
        <w:t>и</w:t>
      </w:r>
      <w:r>
        <w:t xml:space="preserve"> </w:t>
      </w:r>
      <w:r w:rsidRPr="008E1914">
        <w:t>экономика.</w:t>
      </w:r>
      <w:r>
        <w:t xml:space="preserve"> – </w:t>
      </w:r>
      <w:r w:rsidRPr="008E1914">
        <w:t>2013.</w:t>
      </w:r>
      <w:r>
        <w:t xml:space="preserve"> – </w:t>
      </w:r>
      <w:r w:rsidRPr="008E1914">
        <w:t>№</w:t>
      </w:r>
      <w:r>
        <w:t xml:space="preserve"> </w:t>
      </w:r>
      <w:r w:rsidRPr="008E1914">
        <w:t>6.</w:t>
      </w:r>
      <w:r>
        <w:t xml:space="preserve"> – </w:t>
      </w:r>
      <w:r w:rsidRPr="008E1914">
        <w:t>С.</w:t>
      </w:r>
      <w:r>
        <w:t xml:space="preserve"> </w:t>
      </w:r>
      <w:r w:rsidRPr="008E1914">
        <w:t>47-63.</w:t>
      </w:r>
    </w:p>
  </w:footnote>
  <w:footnote w:id="3">
    <w:p w:rsidR="008E1914" w:rsidRPr="008E1914" w:rsidRDefault="008E1914" w:rsidP="008E19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E191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i/>
          <w:iCs/>
          <w:sz w:val="20"/>
          <w:szCs w:val="20"/>
        </w:rPr>
        <w:t>Тисунова</w:t>
      </w:r>
      <w:r>
        <w:rPr>
          <w:rFonts w:ascii="Times New Roman" w:hAnsi="Times New Roman"/>
          <w:i/>
          <w:iCs/>
          <w:sz w:val="20"/>
          <w:szCs w:val="20"/>
        </w:rPr>
        <w:t xml:space="preserve"> </w:t>
      </w:r>
      <w:r w:rsidRPr="008E1914">
        <w:rPr>
          <w:rFonts w:ascii="Times New Roman" w:hAnsi="Times New Roman"/>
          <w:i/>
          <w:iCs/>
          <w:sz w:val="20"/>
          <w:szCs w:val="20"/>
        </w:rPr>
        <w:t>В.Н.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К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вопросу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об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условиях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создания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привлекательного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инвестиционного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климата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Луганской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области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//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Управление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проектами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развитие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производства.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E1914">
        <w:rPr>
          <w:rFonts w:ascii="Times New Roman" w:hAnsi="Times New Roman"/>
          <w:sz w:val="20"/>
          <w:szCs w:val="20"/>
        </w:rPr>
        <w:t>2002.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E1914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(5).</w:t>
      </w:r>
      <w:r>
        <w:rPr>
          <w:rFonts w:ascii="Times New Roman" w:hAnsi="Times New Roman"/>
          <w:sz w:val="20"/>
          <w:szCs w:val="20"/>
        </w:rPr>
        <w:t xml:space="preserve"> – </w:t>
      </w:r>
      <w:r w:rsidRPr="008E1914">
        <w:rPr>
          <w:rFonts w:ascii="Times New Roman" w:hAnsi="Times New Roman"/>
          <w:sz w:val="20"/>
          <w:szCs w:val="20"/>
        </w:rPr>
        <w:t>С.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93-98.</w:t>
      </w:r>
    </w:p>
  </w:footnote>
  <w:footnote w:id="4">
    <w:p w:rsidR="008E1914" w:rsidRPr="008E1914" w:rsidRDefault="008E1914" w:rsidP="008E191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E191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Кабмин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принял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концепцию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развития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промышленности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до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2017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года</w:t>
      </w:r>
      <w:r w:rsidR="005320B8">
        <w:rPr>
          <w:rFonts w:ascii="Times New Roman" w:hAnsi="Times New Roman"/>
          <w:sz w:val="20"/>
          <w:szCs w:val="20"/>
        </w:rPr>
        <w:t xml:space="preserve">. – </w:t>
      </w:r>
      <w:r w:rsidRPr="008E1914">
        <w:rPr>
          <w:rFonts w:ascii="Times New Roman" w:eastAsia="Times New Roman" w:hAnsi="Times New Roman"/>
          <w:color w:val="111111"/>
          <w:sz w:val="20"/>
          <w:szCs w:val="20"/>
          <w:lang w:eastAsia="ru-RU"/>
        </w:rPr>
        <w:t>https://www.kommersant.ru/doc/911090</w:t>
      </w:r>
    </w:p>
  </w:footnote>
  <w:footnote w:id="5">
    <w:p w:rsidR="008E1914" w:rsidRPr="005320B8" w:rsidRDefault="008E1914" w:rsidP="005320B8">
      <w:pPr>
        <w:pStyle w:val="12"/>
        <w:tabs>
          <w:tab w:val="left" w:pos="567"/>
          <w:tab w:val="left" w:pos="851"/>
        </w:tabs>
        <w:autoSpaceDE w:val="0"/>
        <w:autoSpaceDN w:val="0"/>
        <w:adjustRightInd w:val="0"/>
        <w:ind w:left="0" w:firstLine="709"/>
        <w:jc w:val="both"/>
      </w:pPr>
      <w:r w:rsidRPr="008E1914">
        <w:rPr>
          <w:rStyle w:val="a5"/>
          <w:sz w:val="20"/>
          <w:szCs w:val="20"/>
        </w:rPr>
        <w:footnoteRef/>
      </w:r>
      <w:r>
        <w:rPr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Стратегі</w:t>
      </w:r>
      <w:r w:rsidRPr="008E1914">
        <w:rPr>
          <w:bCs/>
          <w:sz w:val="20"/>
          <w:szCs w:val="20"/>
          <w:lang w:val="ru-RU"/>
        </w:rPr>
        <w:t>я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економічного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та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соціального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розвитку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Луганської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області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на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період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до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2015</w:t>
      </w:r>
      <w:r>
        <w:rPr>
          <w:bCs/>
          <w:sz w:val="20"/>
          <w:szCs w:val="20"/>
        </w:rPr>
        <w:t xml:space="preserve"> </w:t>
      </w:r>
      <w:r w:rsidRPr="008E1914">
        <w:rPr>
          <w:bCs/>
          <w:sz w:val="20"/>
          <w:szCs w:val="20"/>
        </w:rPr>
        <w:t>року</w:t>
      </w:r>
      <w:r w:rsidR="005320B8">
        <w:rPr>
          <w:bCs/>
          <w:sz w:val="20"/>
          <w:szCs w:val="20"/>
          <w:lang w:val="ru-RU"/>
        </w:rPr>
        <w:t xml:space="preserve">. – </w:t>
      </w:r>
      <w:hyperlink r:id="rId1" w:history="1">
        <w:r w:rsidR="005320B8" w:rsidRPr="005320B8">
          <w:rPr>
            <w:rStyle w:val="a6"/>
            <w:color w:val="auto"/>
            <w:sz w:val="20"/>
            <w:szCs w:val="20"/>
            <w:u w:val="none"/>
          </w:rPr>
          <w:t>http://oblrada.lg.ua/content/rishennya%E2%84%96-2410-vid-25092008-rpro-zatverdzhennya-strategii-ekonomichnogo-ta-sotsialnogo-roz</w:t>
        </w:r>
      </w:hyperlink>
    </w:p>
  </w:footnote>
  <w:footnote w:id="6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До</w:t>
      </w:r>
      <w:r>
        <w:t xml:space="preserve"> </w:t>
      </w:r>
      <w:r w:rsidRPr="008E1914">
        <w:t>чего</w:t>
      </w:r>
      <w:r>
        <w:t xml:space="preserve"> </w:t>
      </w:r>
      <w:r w:rsidRPr="008E1914">
        <w:t>власти</w:t>
      </w:r>
      <w:r>
        <w:t xml:space="preserve"> </w:t>
      </w:r>
      <w:r w:rsidRPr="008E1914">
        <w:t>довели</w:t>
      </w:r>
      <w:r>
        <w:t xml:space="preserve"> </w:t>
      </w:r>
      <w:r w:rsidRPr="008E1914">
        <w:t>промышленность</w:t>
      </w:r>
      <w:r>
        <w:t xml:space="preserve"> </w:t>
      </w:r>
      <w:r w:rsidRPr="008E1914">
        <w:t>Украины</w:t>
      </w:r>
      <w:r w:rsidR="005320B8">
        <w:t xml:space="preserve"> //</w:t>
      </w:r>
      <w:r>
        <w:t xml:space="preserve"> </w:t>
      </w:r>
      <w:r w:rsidRPr="008E1914">
        <w:t>Служба</w:t>
      </w:r>
      <w:r>
        <w:t xml:space="preserve"> </w:t>
      </w:r>
      <w:r w:rsidRPr="008E1914">
        <w:t>новостей</w:t>
      </w:r>
      <w:r>
        <w:t xml:space="preserve"> </w:t>
      </w:r>
      <w:r w:rsidRPr="008E1914">
        <w:t>ForPost</w:t>
      </w:r>
      <w:r>
        <w:t xml:space="preserve"> </w:t>
      </w:r>
      <w:r w:rsidRPr="008E1914">
        <w:t>09/01/2022</w:t>
      </w:r>
      <w:r w:rsidR="005320B8">
        <w:t xml:space="preserve">. – </w:t>
      </w:r>
      <w:r w:rsidRPr="008E1914">
        <w:t>https://sevastopol.su/news/do-chego-vlasti-doveli-promyshlennost-ukrainy</w:t>
      </w:r>
    </w:p>
  </w:footnote>
  <w:footnote w:id="7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Промышленный</w:t>
      </w:r>
      <w:r>
        <w:t xml:space="preserve"> </w:t>
      </w:r>
      <w:r w:rsidRPr="008E1914">
        <w:t>потенциал</w:t>
      </w:r>
      <w:r>
        <w:t xml:space="preserve"> </w:t>
      </w:r>
      <w:r w:rsidRPr="008E1914">
        <w:t>республики:</w:t>
      </w:r>
      <w:r>
        <w:t xml:space="preserve"> </w:t>
      </w:r>
      <w:r w:rsidRPr="008E1914">
        <w:t>положительная</w:t>
      </w:r>
      <w:r>
        <w:t xml:space="preserve"> </w:t>
      </w:r>
      <w:r w:rsidRPr="008E1914">
        <w:t>динамика</w:t>
      </w:r>
      <w:r>
        <w:t xml:space="preserve"> </w:t>
      </w:r>
      <w:r w:rsidRPr="008E1914">
        <w:t>по</w:t>
      </w:r>
      <w:r>
        <w:t xml:space="preserve"> </w:t>
      </w:r>
      <w:r w:rsidRPr="008E1914">
        <w:t>всем</w:t>
      </w:r>
      <w:r>
        <w:t xml:space="preserve"> </w:t>
      </w:r>
      <w:r w:rsidRPr="008E1914">
        <w:t>отраслям</w:t>
      </w:r>
      <w:r w:rsidR="005320B8">
        <w:t xml:space="preserve"> //</w:t>
      </w:r>
      <w:r>
        <w:t xml:space="preserve"> </w:t>
      </w:r>
      <w:r w:rsidRPr="008E1914">
        <w:t>Стаханов</w:t>
      </w:r>
      <w:r>
        <w:t xml:space="preserve"> </w:t>
      </w:r>
      <w:r w:rsidRPr="008E1914">
        <w:t>-</w:t>
      </w:r>
      <w:r>
        <w:t xml:space="preserve"> </w:t>
      </w:r>
      <w:r w:rsidRPr="008E1914">
        <w:t>официальный</w:t>
      </w:r>
      <w:r>
        <w:t xml:space="preserve"> </w:t>
      </w:r>
      <w:r w:rsidRPr="008E1914">
        <w:t>сайт</w:t>
      </w:r>
      <w:r>
        <w:t xml:space="preserve"> </w:t>
      </w:r>
      <w:r w:rsidRPr="008E1914">
        <w:t>Администрации.</w:t>
      </w:r>
      <w:r>
        <w:t xml:space="preserve"> </w:t>
      </w:r>
      <w:r w:rsidR="005320B8">
        <w:t>–</w:t>
      </w:r>
      <w:r>
        <w:t xml:space="preserve"> </w:t>
      </w:r>
      <w:hyperlink r:id="rId2" w:history="1">
        <w:r w:rsidRPr="005320B8">
          <w:rPr>
            <w:rStyle w:val="a6"/>
            <w:color w:val="auto"/>
            <w:u w:val="none"/>
          </w:rPr>
          <w:t>https://stakhanov.su/news/city_news/6091-promyshlennyy-potencial-respubliki-polozhitelnaya-dinamika-po-vsem-otraslyam.html</w:t>
        </w:r>
      </w:hyperlink>
    </w:p>
  </w:footnote>
  <w:footnote w:id="8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Постановление</w:t>
      </w:r>
      <w:r>
        <w:t xml:space="preserve"> </w:t>
      </w:r>
      <w:r w:rsidRPr="008E1914">
        <w:t>Совмина</w:t>
      </w:r>
      <w:r>
        <w:t xml:space="preserve"> </w:t>
      </w:r>
      <w:r w:rsidRPr="008E1914">
        <w:t>ЛНР:</w:t>
      </w:r>
      <w:r>
        <w:t xml:space="preserve"> </w:t>
      </w:r>
      <w:r w:rsidRPr="008E1914">
        <w:t>№</w:t>
      </w:r>
      <w:r>
        <w:t xml:space="preserve"> </w:t>
      </w:r>
      <w:r w:rsidRPr="008E1914">
        <w:t>02-04/273/15,</w:t>
      </w:r>
      <w:r>
        <w:t xml:space="preserve"> </w:t>
      </w:r>
      <w:r w:rsidRPr="008E1914">
        <w:t>23.09.2015</w:t>
      </w:r>
      <w:r w:rsidR="005233A8">
        <w:t xml:space="preserve">. – </w:t>
      </w:r>
      <w:r w:rsidRPr="008E1914">
        <w:t>http://lawdonbass.ru/zakonodatelstvo/postanovleniya_sovmina/ob_utverzhdenii_programmy_restrukturizacii_ugolnoy_promyshlennosti_luganskoy_narodnoy_respubliki_na_iyun___dekabr_2015_goda-02_04_273_15/</w:t>
      </w:r>
    </w:p>
  </w:footnote>
  <w:footnote w:id="9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Программа</w:t>
      </w:r>
      <w:r>
        <w:t xml:space="preserve"> </w:t>
      </w:r>
      <w:r w:rsidRPr="008E1914">
        <w:t>–</w:t>
      </w:r>
      <w:r>
        <w:t xml:space="preserve"> </w:t>
      </w:r>
      <w:r w:rsidRPr="008E1914">
        <w:t>2023:</w:t>
      </w:r>
      <w:r>
        <w:t xml:space="preserve"> </w:t>
      </w:r>
      <w:r w:rsidRPr="008E1914">
        <w:t>промышленность</w:t>
      </w:r>
      <w:r>
        <w:t xml:space="preserve"> </w:t>
      </w:r>
      <w:r w:rsidRPr="008E1914">
        <w:t>и</w:t>
      </w:r>
      <w:r>
        <w:t xml:space="preserve"> </w:t>
      </w:r>
      <w:r w:rsidRPr="008E1914">
        <w:t>трудоустройство</w:t>
      </w:r>
      <w:r w:rsidR="005233A8">
        <w:t xml:space="preserve">. – </w:t>
      </w:r>
      <w:r w:rsidRPr="008E1914">
        <w:t>https://rcz-lnr.ru/1110-programma-2023-promyshlennost-i-trudoustroystvo.html</w:t>
      </w:r>
    </w:p>
  </w:footnote>
  <w:footnote w:id="10">
    <w:p w:rsidR="008E1914" w:rsidRPr="008E1914" w:rsidRDefault="008E1914" w:rsidP="008E19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E191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МИНЭКОНОМ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ЛНР</w:t>
      </w:r>
      <w:r w:rsidR="005233A8">
        <w:rPr>
          <w:rFonts w:ascii="Times New Roman" w:hAnsi="Times New Roman"/>
          <w:sz w:val="20"/>
          <w:szCs w:val="20"/>
        </w:rPr>
        <w:t xml:space="preserve">. – </w:t>
      </w:r>
      <w:r w:rsidRPr="008E1914">
        <w:rPr>
          <w:rFonts w:ascii="Times New Roman" w:hAnsi="Times New Roman"/>
          <w:sz w:val="20"/>
          <w:szCs w:val="20"/>
        </w:rPr>
        <w:t>https://mer.lpr-reg.ru/news/6363c0598e37902cc8b4872e</w:t>
      </w:r>
    </w:p>
  </w:footnote>
  <w:footnote w:id="11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Там</w:t>
      </w:r>
      <w:r>
        <w:t xml:space="preserve"> </w:t>
      </w:r>
      <w:r w:rsidRPr="008E1914">
        <w:t>же</w:t>
      </w:r>
      <w:r w:rsidR="005233A8">
        <w:t>.</w:t>
      </w:r>
    </w:p>
  </w:footnote>
  <w:footnote w:id="12">
    <w:p w:rsidR="008E1914" w:rsidRPr="008E1914" w:rsidRDefault="008E1914" w:rsidP="005233A8">
      <w:pPr>
        <w:spacing w:after="0" w:line="240" w:lineRule="auto"/>
        <w:ind w:firstLine="709"/>
        <w:jc w:val="both"/>
      </w:pPr>
      <w:r w:rsidRPr="008E191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Пищевые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предприятия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ЛНР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2022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году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произвели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продукции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на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млрд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рублей</w:t>
      </w:r>
      <w:r w:rsidR="005233A8">
        <w:rPr>
          <w:rFonts w:ascii="Times New Roman" w:hAnsi="Times New Roman"/>
          <w:sz w:val="20"/>
          <w:szCs w:val="20"/>
        </w:rPr>
        <w:t xml:space="preserve">. – </w:t>
      </w:r>
      <w:hyperlink r:id="rId3" w:history="1">
        <w:r w:rsidRPr="005233A8">
          <w:rPr>
            <w:rStyle w:val="a6"/>
            <w:rFonts w:ascii="Times New Roman" w:hAnsi="Times New Roman"/>
            <w:color w:val="auto"/>
            <w:sz w:val="20"/>
            <w:szCs w:val="20"/>
            <w:u w:val="none"/>
          </w:rPr>
          <w:t>https://tass.ru/ekonomika/16704083</w:t>
        </w:r>
      </w:hyperlink>
    </w:p>
  </w:footnote>
  <w:footnote w:id="13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Министерство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и</w:t>
      </w:r>
      <w:r>
        <w:t xml:space="preserve"> </w:t>
      </w:r>
      <w:r w:rsidRPr="008E1914">
        <w:t>торговли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</w:t>
      </w:r>
      <w:r w:rsidR="00C35692">
        <w:t xml:space="preserve">. – </w:t>
      </w:r>
      <w:r w:rsidRPr="008E1914">
        <w:t>mpt.lpr-reg.ru/news/65e57d7f06dfca0678737e80mpt.lpr-reg.ru/news/65e57d7f06dfca0678737e80</w:t>
      </w:r>
      <w:r>
        <w:t xml:space="preserve"> </w:t>
      </w:r>
    </w:p>
  </w:footnote>
  <w:footnote w:id="14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Федеральный</w:t>
      </w:r>
      <w:r>
        <w:t xml:space="preserve"> </w:t>
      </w:r>
      <w:r w:rsidRPr="008E1914">
        <w:t>закон</w:t>
      </w:r>
      <w:r>
        <w:t xml:space="preserve"> </w:t>
      </w:r>
      <w:r w:rsidRPr="008E1914">
        <w:t>от</w:t>
      </w:r>
      <w:r>
        <w:t xml:space="preserve"> </w:t>
      </w:r>
      <w:r w:rsidRPr="008E1914">
        <w:t>24</w:t>
      </w:r>
      <w:r>
        <w:t xml:space="preserve"> </w:t>
      </w:r>
      <w:r w:rsidRPr="008E1914">
        <w:t>июня</w:t>
      </w:r>
      <w:r>
        <w:t xml:space="preserve"> </w:t>
      </w:r>
      <w:r w:rsidRPr="008E1914">
        <w:t>2023</w:t>
      </w:r>
      <w:r>
        <w:t xml:space="preserve"> </w:t>
      </w:r>
      <w:r w:rsidRPr="008E1914">
        <w:t>г.</w:t>
      </w:r>
      <w:r>
        <w:t xml:space="preserve"> </w:t>
      </w:r>
      <w:r w:rsidRPr="008E1914">
        <w:t>N</w:t>
      </w:r>
      <w:r>
        <w:t xml:space="preserve"> </w:t>
      </w:r>
      <w:r w:rsidRPr="008E1914">
        <w:t>266-ФЗ</w:t>
      </w:r>
      <w:r>
        <w:t xml:space="preserve"> </w:t>
      </w:r>
      <w:r w:rsidRPr="008E1914">
        <w:t>"О</w:t>
      </w:r>
      <w:r>
        <w:t xml:space="preserve"> </w:t>
      </w:r>
      <w:r w:rsidRPr="008E1914">
        <w:t>свободной</w:t>
      </w:r>
      <w:r>
        <w:t xml:space="preserve"> </w:t>
      </w:r>
      <w:r w:rsidRPr="008E1914">
        <w:t>экономической</w:t>
      </w:r>
      <w:r>
        <w:t xml:space="preserve"> </w:t>
      </w:r>
      <w:r w:rsidRPr="008E1914">
        <w:t>зоне</w:t>
      </w:r>
      <w:r>
        <w:t xml:space="preserve"> </w:t>
      </w:r>
      <w:r w:rsidRPr="008E1914">
        <w:t>на</w:t>
      </w:r>
      <w:r>
        <w:t xml:space="preserve"> </w:t>
      </w:r>
      <w:r w:rsidRPr="008E1914">
        <w:t>территориях</w:t>
      </w:r>
      <w:r>
        <w:t xml:space="preserve"> </w:t>
      </w:r>
      <w:r w:rsidRPr="008E1914">
        <w:t>Донецкой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Республики,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Республики,</w:t>
      </w:r>
      <w:r>
        <w:t xml:space="preserve"> </w:t>
      </w:r>
      <w:r w:rsidRPr="008E1914">
        <w:t>Запорожской</w:t>
      </w:r>
      <w:r>
        <w:t xml:space="preserve"> </w:t>
      </w:r>
      <w:r w:rsidRPr="008E1914">
        <w:t>области</w:t>
      </w:r>
      <w:r>
        <w:t xml:space="preserve"> </w:t>
      </w:r>
      <w:r w:rsidRPr="008E1914">
        <w:t>и</w:t>
      </w:r>
      <w:r>
        <w:t xml:space="preserve"> </w:t>
      </w:r>
      <w:r w:rsidRPr="008E1914">
        <w:t>Херсонской</w:t>
      </w:r>
      <w:r>
        <w:t xml:space="preserve"> </w:t>
      </w:r>
      <w:r w:rsidRPr="008E1914">
        <w:t>области"</w:t>
      </w:r>
      <w:r w:rsidR="00C35692">
        <w:t xml:space="preserve">. – </w:t>
      </w:r>
      <w:r w:rsidRPr="008E1914">
        <w:t>https://rg.ru/documents/2023/06/26/fz266.html</w:t>
      </w:r>
    </w:p>
  </w:footnote>
  <w:footnote w:id="15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161</w:t>
      </w:r>
      <w:r>
        <w:t xml:space="preserve"> </w:t>
      </w:r>
      <w:r w:rsidRPr="008E1914">
        <w:t>компания</w:t>
      </w:r>
      <w:r>
        <w:t xml:space="preserve"> </w:t>
      </w:r>
      <w:r w:rsidRPr="008E1914">
        <w:t>и</w:t>
      </w:r>
      <w:r>
        <w:t xml:space="preserve"> </w:t>
      </w:r>
      <w:r w:rsidRPr="008E1914">
        <w:t>предприятие</w:t>
      </w:r>
      <w:r>
        <w:t xml:space="preserve"> </w:t>
      </w:r>
      <w:r w:rsidRPr="008E1914">
        <w:t>решили</w:t>
      </w:r>
      <w:r>
        <w:t xml:space="preserve"> </w:t>
      </w:r>
      <w:r w:rsidRPr="008E1914">
        <w:t>инвестировать</w:t>
      </w:r>
      <w:r>
        <w:t xml:space="preserve"> </w:t>
      </w:r>
      <w:r w:rsidRPr="008E1914">
        <w:t>в</w:t>
      </w:r>
      <w:r>
        <w:t xml:space="preserve"> </w:t>
      </w:r>
      <w:r w:rsidRPr="008E1914">
        <w:t>развитие</w:t>
      </w:r>
      <w:r>
        <w:t xml:space="preserve"> </w:t>
      </w:r>
      <w:r w:rsidRPr="008E1914">
        <w:t>экономики</w:t>
      </w:r>
      <w:r>
        <w:t xml:space="preserve"> </w:t>
      </w:r>
      <w:r w:rsidRPr="008E1914">
        <w:t>новых</w:t>
      </w:r>
      <w:r>
        <w:t xml:space="preserve"> </w:t>
      </w:r>
      <w:r w:rsidRPr="008E1914">
        <w:t>регионов</w:t>
      </w:r>
      <w:r w:rsidR="00C35692">
        <w:t xml:space="preserve">. – </w:t>
      </w:r>
      <w:r w:rsidRPr="008E1914">
        <w:t>https://xn--p1aee.xn--p1ai/news/161-kompaniya-i-predpriyatie-reshili-investirovat-v-razvitie-ekonomiki-novykh-regionov/</w:t>
      </w:r>
    </w:p>
  </w:footnote>
  <w:footnote w:id="16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Постановление</w:t>
      </w:r>
      <w:r>
        <w:t xml:space="preserve"> </w:t>
      </w:r>
      <w:r w:rsidRPr="008E1914">
        <w:t>Правительства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</w:t>
      </w:r>
      <w:r>
        <w:t xml:space="preserve"> </w:t>
      </w:r>
      <w:r w:rsidRPr="008E1914">
        <w:t>от</w:t>
      </w:r>
      <w:r>
        <w:t xml:space="preserve"> </w:t>
      </w:r>
      <w:r w:rsidRPr="008E1914">
        <w:t>11.07.2023</w:t>
      </w:r>
      <w:r>
        <w:t xml:space="preserve"> </w:t>
      </w:r>
      <w:r w:rsidRPr="008E1914">
        <w:t>г.</w:t>
      </w:r>
      <w:r>
        <w:t xml:space="preserve"> </w:t>
      </w:r>
      <w:r w:rsidRPr="008E1914">
        <w:t>№</w:t>
      </w:r>
      <w:r>
        <w:t xml:space="preserve"> </w:t>
      </w:r>
      <w:r w:rsidRPr="008E1914">
        <w:t>13/23</w:t>
      </w:r>
      <w:r>
        <w:t xml:space="preserve"> </w:t>
      </w:r>
      <w:r w:rsidRPr="008E1914">
        <w:t>«Об</w:t>
      </w:r>
      <w:r>
        <w:t xml:space="preserve"> </w:t>
      </w:r>
      <w:r w:rsidRPr="008E1914">
        <w:t>утверждении</w:t>
      </w:r>
      <w:r>
        <w:t xml:space="preserve"> </w:t>
      </w:r>
      <w:r w:rsidRPr="008E1914">
        <w:t>государственной</w:t>
      </w:r>
      <w:r>
        <w:t xml:space="preserve"> </w:t>
      </w:r>
      <w:r w:rsidRPr="008E1914">
        <w:t>программы</w:t>
      </w:r>
      <w:r>
        <w:t xml:space="preserve"> </w:t>
      </w:r>
      <w:r w:rsidRPr="008E1914">
        <w:t>«Развитие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</w:t>
      </w:r>
      <w:r>
        <w:t xml:space="preserve"> </w:t>
      </w:r>
      <w:r w:rsidRPr="008E1914">
        <w:t>на</w:t>
      </w:r>
      <w:r>
        <w:t xml:space="preserve"> </w:t>
      </w:r>
      <w:r w:rsidRPr="008E1914">
        <w:t>2024-2026</w:t>
      </w:r>
      <w:r>
        <w:t xml:space="preserve"> </w:t>
      </w:r>
      <w:r w:rsidRPr="008E1914">
        <w:t>годы»</w:t>
      </w:r>
      <w:r w:rsidR="00C35692">
        <w:t xml:space="preserve">. – </w:t>
      </w:r>
      <w:r w:rsidRPr="008E1914">
        <w:t>https://sovminlnr.ru/akty-soveta-ministrov/postanovleniya/31794-ob-utverzhdenii-gosudarstvennoy-programmy-razvitie-promyshlennosti-luganskoy-narodnoy-respubliki-na-20242026-gody.html</w:t>
      </w:r>
    </w:p>
  </w:footnote>
  <w:footnote w:id="17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Объем</w:t>
      </w:r>
      <w:r>
        <w:t xml:space="preserve"> </w:t>
      </w:r>
      <w:r w:rsidRPr="008E1914">
        <w:t>финансирования</w:t>
      </w:r>
      <w:r>
        <w:t xml:space="preserve"> </w:t>
      </w:r>
      <w:r w:rsidRPr="008E1914">
        <w:t>программы</w:t>
      </w:r>
      <w:r>
        <w:t xml:space="preserve"> </w:t>
      </w:r>
      <w:r w:rsidRPr="008E1914">
        <w:t>развития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ЛНР</w:t>
      </w:r>
      <w:r>
        <w:t xml:space="preserve"> </w:t>
      </w:r>
      <w:r w:rsidRPr="008E1914">
        <w:t>составит</w:t>
      </w:r>
      <w:r>
        <w:t xml:space="preserve"> </w:t>
      </w:r>
      <w:r w:rsidRPr="008E1914">
        <w:t>около</w:t>
      </w:r>
      <w:r>
        <w:t xml:space="preserve"> </w:t>
      </w:r>
      <w:r w:rsidRPr="008E1914">
        <w:t>250</w:t>
      </w:r>
      <w:r>
        <w:t xml:space="preserve"> </w:t>
      </w:r>
      <w:r w:rsidRPr="008E1914">
        <w:t>млн</w:t>
      </w:r>
      <w:r>
        <w:t xml:space="preserve"> </w:t>
      </w:r>
      <w:r w:rsidRPr="008E1914">
        <w:t>руб.</w:t>
      </w:r>
      <w:r>
        <w:t xml:space="preserve"> </w:t>
      </w:r>
      <w:r w:rsidR="00C35692">
        <w:t>//</w:t>
      </w:r>
      <w:r>
        <w:t xml:space="preserve"> </w:t>
      </w:r>
      <w:r w:rsidRPr="008E1914">
        <w:t>Луганский</w:t>
      </w:r>
      <w:r>
        <w:t xml:space="preserve"> </w:t>
      </w:r>
      <w:r w:rsidRPr="008E1914">
        <w:t>Информационный</w:t>
      </w:r>
      <w:r>
        <w:t xml:space="preserve"> </w:t>
      </w:r>
      <w:r w:rsidRPr="008E1914">
        <w:t>Центр</w:t>
      </w:r>
      <w:r w:rsidR="00C35692">
        <w:t>. –</w:t>
      </w:r>
      <w:r>
        <w:t xml:space="preserve"> </w:t>
      </w:r>
      <w:r w:rsidRPr="008E1914">
        <w:t>https://lug-info.ru/news/obuem-finansirovaniya-programmy-razvitiya-promyshlennosti-lnr-sostavit-okolo-250-mln-rub/</w:t>
      </w:r>
    </w:p>
  </w:footnote>
  <w:footnote w:id="18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Р</w:t>
      </w:r>
      <w:r w:rsidRPr="008E1914">
        <w:rPr>
          <w:rFonts w:eastAsia="Times New Roman"/>
          <w:color w:val="222222"/>
          <w:lang w:eastAsia="ru-RU"/>
        </w:rPr>
        <w:t>аспоряжение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Правительства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Луганской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Народной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Республики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от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14.07.2023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№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31-р/23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«О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фонде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развития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промышленности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Луганской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Народной</w:t>
      </w:r>
      <w:r>
        <w:rPr>
          <w:rFonts w:eastAsia="Times New Roman"/>
          <w:color w:val="222222"/>
          <w:lang w:eastAsia="ru-RU"/>
        </w:rPr>
        <w:t xml:space="preserve"> </w:t>
      </w:r>
      <w:r w:rsidRPr="008E1914">
        <w:rPr>
          <w:rFonts w:eastAsia="Times New Roman"/>
          <w:color w:val="222222"/>
          <w:lang w:eastAsia="ru-RU"/>
        </w:rPr>
        <w:t>Республики»</w:t>
      </w:r>
      <w:r w:rsidR="00C35692">
        <w:rPr>
          <w:rFonts w:eastAsia="Times New Roman"/>
          <w:color w:val="222222"/>
          <w:lang w:eastAsia="ru-RU"/>
        </w:rPr>
        <w:t xml:space="preserve">. – </w:t>
      </w:r>
      <w:r w:rsidRPr="008E1914">
        <w:rPr>
          <w:rFonts w:eastAsia="Times New Roman"/>
          <w:color w:val="222222"/>
          <w:lang w:eastAsia="ru-RU"/>
        </w:rPr>
        <w:t>https://frp-lnr.ru/main/about</w:t>
      </w:r>
    </w:p>
  </w:footnote>
  <w:footnote w:id="19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Фонд</w:t>
      </w:r>
      <w:r>
        <w:t xml:space="preserve"> </w:t>
      </w:r>
      <w:r w:rsidRPr="008E1914">
        <w:t>развития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ЛНР</w:t>
      </w:r>
      <w:r w:rsidR="00C35692">
        <w:t xml:space="preserve">. – </w:t>
      </w:r>
      <w:r>
        <w:t xml:space="preserve"> </w:t>
      </w:r>
      <w:r w:rsidRPr="008E1914">
        <w:t>https://frp-lnr.ru/main</w:t>
      </w:r>
    </w:p>
  </w:footnote>
  <w:footnote w:id="20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В</w:t>
      </w:r>
      <w:r>
        <w:t xml:space="preserve"> </w:t>
      </w:r>
      <w:r w:rsidRPr="008E1914">
        <w:t>ЛНР</w:t>
      </w:r>
      <w:r>
        <w:t xml:space="preserve"> </w:t>
      </w:r>
      <w:r w:rsidRPr="008E1914">
        <w:t>предприятия</w:t>
      </w:r>
      <w:r>
        <w:t xml:space="preserve"> </w:t>
      </w:r>
      <w:r w:rsidRPr="008E1914">
        <w:t>получили</w:t>
      </w:r>
      <w:r>
        <w:t xml:space="preserve"> </w:t>
      </w:r>
      <w:r w:rsidRPr="008E1914">
        <w:t>поддержку</w:t>
      </w:r>
      <w:r>
        <w:t xml:space="preserve"> </w:t>
      </w:r>
      <w:r w:rsidRPr="008E1914">
        <w:t>государства</w:t>
      </w:r>
      <w:r>
        <w:t xml:space="preserve"> </w:t>
      </w:r>
      <w:r w:rsidR="00C35692">
        <w:t>//</w:t>
      </w:r>
      <w:r>
        <w:t xml:space="preserve"> </w:t>
      </w:r>
      <w:r w:rsidRPr="008E1914">
        <w:t>Российская</w:t>
      </w:r>
      <w:r>
        <w:t xml:space="preserve"> </w:t>
      </w:r>
      <w:r w:rsidRPr="008E1914">
        <w:t>газета</w:t>
      </w:r>
      <w:r w:rsidR="00C35692">
        <w:t>. –</w:t>
      </w:r>
      <w:r>
        <w:t xml:space="preserve"> </w:t>
      </w:r>
      <w:r w:rsidRPr="008E1914">
        <w:t>https://rg.ru/2024/01/31/reg-ufo/v-lnr-predpriiatiia-poluchili-podderzhku-gosudarstva.html</w:t>
      </w:r>
    </w:p>
  </w:footnote>
  <w:footnote w:id="21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Министерство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и</w:t>
      </w:r>
      <w:r>
        <w:t xml:space="preserve"> </w:t>
      </w:r>
      <w:r w:rsidRPr="008E1914">
        <w:t>торговли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</w:t>
      </w:r>
      <w:r w:rsidR="00C35692">
        <w:t>. –</w:t>
      </w:r>
      <w:r>
        <w:t xml:space="preserve"> </w:t>
      </w:r>
      <w:r w:rsidRPr="008E1914">
        <w:t>https://mpt.lpr-reg.ru/news/655e196c0eee5e0d6d85dc0d</w:t>
      </w:r>
    </w:p>
  </w:footnote>
  <w:footnote w:id="22">
    <w:p w:rsidR="008E1914" w:rsidRPr="008E1914" w:rsidRDefault="008E1914" w:rsidP="008E1914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8E1914">
        <w:rPr>
          <w:rStyle w:val="a5"/>
          <w:rFonts w:ascii="Times New Roman" w:hAnsi="Times New Roman"/>
          <w:sz w:val="20"/>
          <w:szCs w:val="20"/>
        </w:rPr>
        <w:footnoteRef/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Закон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Луганской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Народной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Республики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от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19.10.2023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№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6-1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«О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промышленной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политике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в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Луганской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Народной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Республике»</w:t>
      </w:r>
      <w:r w:rsidR="00C35692">
        <w:rPr>
          <w:rFonts w:ascii="Times New Roman" w:hAnsi="Times New Roman"/>
          <w:sz w:val="20"/>
          <w:szCs w:val="20"/>
        </w:rPr>
        <w:t>. –</w:t>
      </w:r>
      <w:r>
        <w:rPr>
          <w:rFonts w:ascii="Times New Roman" w:hAnsi="Times New Roman"/>
          <w:sz w:val="20"/>
          <w:szCs w:val="20"/>
        </w:rPr>
        <w:t xml:space="preserve"> </w:t>
      </w:r>
      <w:r w:rsidRPr="008E1914">
        <w:rPr>
          <w:rFonts w:ascii="Times New Roman" w:hAnsi="Times New Roman"/>
          <w:sz w:val="20"/>
          <w:szCs w:val="20"/>
        </w:rPr>
        <w:t>https://www.nslnr.su/zakonodatelstvo/normativno-pravovaya-baza/20594/</w:t>
      </w:r>
    </w:p>
  </w:footnote>
  <w:footnote w:id="23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Совет</w:t>
      </w:r>
      <w:r>
        <w:t xml:space="preserve"> </w:t>
      </w:r>
      <w:r w:rsidRPr="008E1914">
        <w:t>по</w:t>
      </w:r>
      <w:r>
        <w:t xml:space="preserve"> </w:t>
      </w:r>
      <w:r w:rsidRPr="008E1914">
        <w:t>развитию</w:t>
      </w:r>
      <w:r>
        <w:t xml:space="preserve"> </w:t>
      </w:r>
      <w:r w:rsidRPr="008E1914">
        <w:t>промышленности</w:t>
      </w:r>
      <w:r>
        <w:t xml:space="preserve"> </w:t>
      </w:r>
      <w:r w:rsidRPr="008E1914">
        <w:t>ЛНР</w:t>
      </w:r>
      <w:r>
        <w:t xml:space="preserve"> </w:t>
      </w:r>
      <w:r w:rsidRPr="008E1914">
        <w:t>создан</w:t>
      </w:r>
      <w:r>
        <w:t xml:space="preserve"> </w:t>
      </w:r>
      <w:r w:rsidRPr="008E1914">
        <w:t>правительством</w:t>
      </w:r>
      <w:r>
        <w:t xml:space="preserve"> </w:t>
      </w:r>
      <w:r w:rsidRPr="008E1914">
        <w:t>региона</w:t>
      </w:r>
      <w:r>
        <w:t xml:space="preserve"> </w:t>
      </w:r>
      <w:r w:rsidR="00C35692">
        <w:t>//</w:t>
      </w:r>
      <w:r>
        <w:t xml:space="preserve"> </w:t>
      </w:r>
      <w:r w:rsidRPr="008E1914">
        <w:t>Южная</w:t>
      </w:r>
      <w:r>
        <w:t xml:space="preserve"> </w:t>
      </w:r>
      <w:r w:rsidRPr="008E1914">
        <w:t>Служба</w:t>
      </w:r>
      <w:r>
        <w:t xml:space="preserve"> </w:t>
      </w:r>
      <w:r w:rsidRPr="008E1914">
        <w:t>Новостей</w:t>
      </w:r>
      <w:r w:rsidR="00C35692">
        <w:t>. –</w:t>
      </w:r>
      <w:r>
        <w:t xml:space="preserve"> </w:t>
      </w:r>
      <w:r w:rsidRPr="008E1914">
        <w:t>https://yugsn.ru/sovet-po-razvitiiu-promyslennosti-lnr-sozdan-pravitelstvom-regiona</w:t>
      </w:r>
    </w:p>
  </w:footnote>
  <w:footnote w:id="24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Закон</w:t>
      </w:r>
      <w:r>
        <w:t xml:space="preserve"> </w:t>
      </w:r>
      <w:r w:rsidRPr="008E1914">
        <w:t>Луганской</w:t>
      </w:r>
      <w:r>
        <w:t xml:space="preserve"> </w:t>
      </w:r>
      <w:r w:rsidRPr="008E1914">
        <w:t>Народной</w:t>
      </w:r>
      <w:r>
        <w:t xml:space="preserve"> </w:t>
      </w:r>
      <w:r w:rsidRPr="008E1914">
        <w:t>Республики</w:t>
      </w:r>
      <w:r>
        <w:t xml:space="preserve"> </w:t>
      </w:r>
      <w:r w:rsidRPr="008E1914">
        <w:t>от</w:t>
      </w:r>
      <w:r>
        <w:t xml:space="preserve"> </w:t>
      </w:r>
      <w:r w:rsidRPr="008E1914">
        <w:t>16.05.2024</w:t>
      </w:r>
      <w:r>
        <w:t xml:space="preserve"> </w:t>
      </w:r>
      <w:r w:rsidRPr="008E1914">
        <w:t>№</w:t>
      </w:r>
      <w:r>
        <w:t xml:space="preserve"> </w:t>
      </w:r>
      <w:r w:rsidRPr="008E1914">
        <w:t>68-I</w:t>
      </w:r>
      <w:r>
        <w:t xml:space="preserve"> </w:t>
      </w:r>
      <w:r w:rsidRPr="008E1914">
        <w:t>"Об</w:t>
      </w:r>
      <w:r>
        <w:t xml:space="preserve"> </w:t>
      </w:r>
      <w:r w:rsidRPr="008E1914">
        <w:t>утверждении</w:t>
      </w:r>
      <w:r>
        <w:t xml:space="preserve"> </w:t>
      </w:r>
      <w:r w:rsidRPr="008E1914">
        <w:t>заключения</w:t>
      </w:r>
      <w:r>
        <w:t xml:space="preserve"> </w:t>
      </w:r>
      <w:r w:rsidRPr="008E1914">
        <w:t>Соглашения</w:t>
      </w:r>
      <w:r>
        <w:t xml:space="preserve"> </w:t>
      </w:r>
      <w:r w:rsidRPr="008E1914">
        <w:t>о</w:t>
      </w:r>
      <w:r>
        <w:t xml:space="preserve"> </w:t>
      </w:r>
      <w:r w:rsidRPr="008E1914">
        <w:t>создании</w:t>
      </w:r>
      <w:r>
        <w:t xml:space="preserve"> </w:t>
      </w:r>
      <w:r w:rsidRPr="008E1914">
        <w:t>Содружества</w:t>
      </w:r>
      <w:r>
        <w:t xml:space="preserve"> </w:t>
      </w:r>
      <w:r w:rsidRPr="008E1914">
        <w:t>"Донбасс"</w:t>
      </w:r>
      <w:r w:rsidR="00C35692">
        <w:t>. –</w:t>
      </w:r>
      <w:r>
        <w:t xml:space="preserve"> </w:t>
      </w:r>
      <w:r w:rsidRPr="008E1914">
        <w:t>http://publication.pravo.gov.ru/document/8100202405170001</w:t>
      </w:r>
    </w:p>
  </w:footnote>
  <w:footnote w:id="25">
    <w:p w:rsidR="008E1914" w:rsidRPr="008E1914" w:rsidRDefault="008E1914" w:rsidP="008E1914">
      <w:pPr>
        <w:pStyle w:val="a3"/>
        <w:ind w:firstLine="709"/>
        <w:jc w:val="both"/>
      </w:pPr>
      <w:r w:rsidRPr="008E1914">
        <w:rPr>
          <w:rStyle w:val="a5"/>
        </w:rPr>
        <w:footnoteRef/>
      </w:r>
      <w:r>
        <w:t xml:space="preserve"> </w:t>
      </w:r>
      <w:r w:rsidRPr="008E1914">
        <w:t>На</w:t>
      </w:r>
      <w:r>
        <w:t xml:space="preserve"> </w:t>
      </w:r>
      <w:r w:rsidRPr="008E1914">
        <w:t>полях</w:t>
      </w:r>
      <w:r>
        <w:t xml:space="preserve"> </w:t>
      </w:r>
      <w:r w:rsidRPr="008E1914">
        <w:t>ПМЭФ</w:t>
      </w:r>
      <w:r>
        <w:t xml:space="preserve"> </w:t>
      </w:r>
      <w:r w:rsidRPr="008E1914">
        <w:t>между</w:t>
      </w:r>
      <w:r>
        <w:t xml:space="preserve"> </w:t>
      </w:r>
      <w:r w:rsidRPr="008E1914">
        <w:t>Минтопэнерго</w:t>
      </w:r>
      <w:r>
        <w:t xml:space="preserve"> </w:t>
      </w:r>
      <w:r w:rsidRPr="008E1914">
        <w:t>ЛНР</w:t>
      </w:r>
      <w:r>
        <w:t xml:space="preserve"> </w:t>
      </w:r>
      <w:r w:rsidRPr="008E1914">
        <w:t>и</w:t>
      </w:r>
      <w:r>
        <w:t xml:space="preserve"> </w:t>
      </w:r>
      <w:r w:rsidRPr="008E1914">
        <w:t>ООО</w:t>
      </w:r>
      <w:r>
        <w:t xml:space="preserve"> </w:t>
      </w:r>
      <w:r w:rsidRPr="008E1914">
        <w:t>"Торговый</w:t>
      </w:r>
      <w:r>
        <w:t xml:space="preserve"> </w:t>
      </w:r>
      <w:r w:rsidRPr="008E1914">
        <w:t>Дом</w:t>
      </w:r>
      <w:r>
        <w:t xml:space="preserve"> </w:t>
      </w:r>
      <w:r w:rsidRPr="008E1914">
        <w:t>"Донские</w:t>
      </w:r>
      <w:r>
        <w:t xml:space="preserve"> </w:t>
      </w:r>
      <w:r w:rsidRPr="008E1914">
        <w:t>угли"</w:t>
      </w:r>
      <w:r>
        <w:t xml:space="preserve"> </w:t>
      </w:r>
      <w:r w:rsidRPr="008E1914">
        <w:t>подписан</w:t>
      </w:r>
      <w:r>
        <w:t xml:space="preserve"> </w:t>
      </w:r>
      <w:r w:rsidRPr="008E1914">
        <w:t>договор</w:t>
      </w:r>
      <w:r>
        <w:t xml:space="preserve"> </w:t>
      </w:r>
      <w:r w:rsidRPr="008E1914">
        <w:t>аренды</w:t>
      </w:r>
      <w:r>
        <w:t xml:space="preserve"> </w:t>
      </w:r>
      <w:r w:rsidRPr="008E1914">
        <w:t>угледобывающих</w:t>
      </w:r>
      <w:r>
        <w:t xml:space="preserve"> </w:t>
      </w:r>
      <w:r w:rsidRPr="008E1914">
        <w:t>предприятий</w:t>
      </w:r>
      <w:r>
        <w:t xml:space="preserve"> </w:t>
      </w:r>
      <w:r w:rsidRPr="008E1914">
        <w:t>Республики</w:t>
      </w:r>
      <w:r w:rsidR="00C35692">
        <w:t xml:space="preserve">. – </w:t>
      </w:r>
      <w:r w:rsidRPr="008E1914">
        <w:t>https://t.me/mintopenergoLPR/976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E1914" w:rsidRPr="008E1914" w:rsidRDefault="008E1914" w:rsidP="008E1914">
    <w:pPr>
      <w:pStyle w:val="af0"/>
      <w:jc w:val="center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137B9"/>
    <w:multiLevelType w:val="hybridMultilevel"/>
    <w:tmpl w:val="935E0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C3E68"/>
    <w:multiLevelType w:val="hybridMultilevel"/>
    <w:tmpl w:val="954064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74518"/>
    <w:multiLevelType w:val="multilevel"/>
    <w:tmpl w:val="FB523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15A2"/>
    <w:rsid w:val="00000CEA"/>
    <w:rsid w:val="00003469"/>
    <w:rsid w:val="00003EED"/>
    <w:rsid w:val="000070D9"/>
    <w:rsid w:val="00014CDC"/>
    <w:rsid w:val="00022241"/>
    <w:rsid w:val="0003071D"/>
    <w:rsid w:val="00032A69"/>
    <w:rsid w:val="000350FB"/>
    <w:rsid w:val="000402F6"/>
    <w:rsid w:val="00042201"/>
    <w:rsid w:val="00050FEC"/>
    <w:rsid w:val="00053FE8"/>
    <w:rsid w:val="000562E6"/>
    <w:rsid w:val="000673CD"/>
    <w:rsid w:val="0007045B"/>
    <w:rsid w:val="0007058B"/>
    <w:rsid w:val="00074F61"/>
    <w:rsid w:val="000755A5"/>
    <w:rsid w:val="00077D00"/>
    <w:rsid w:val="000816AC"/>
    <w:rsid w:val="0008673D"/>
    <w:rsid w:val="00091518"/>
    <w:rsid w:val="000A3268"/>
    <w:rsid w:val="000A6785"/>
    <w:rsid w:val="000B3323"/>
    <w:rsid w:val="000B6AB9"/>
    <w:rsid w:val="000B71A5"/>
    <w:rsid w:val="000B72D3"/>
    <w:rsid w:val="000D361E"/>
    <w:rsid w:val="000D7E7D"/>
    <w:rsid w:val="000F378C"/>
    <w:rsid w:val="00100C64"/>
    <w:rsid w:val="00106BFB"/>
    <w:rsid w:val="00117987"/>
    <w:rsid w:val="00120E05"/>
    <w:rsid w:val="0012218E"/>
    <w:rsid w:val="001229DE"/>
    <w:rsid w:val="00127BF3"/>
    <w:rsid w:val="00127D19"/>
    <w:rsid w:val="0013078D"/>
    <w:rsid w:val="00134270"/>
    <w:rsid w:val="001361EF"/>
    <w:rsid w:val="00136DCA"/>
    <w:rsid w:val="00141F44"/>
    <w:rsid w:val="001421D4"/>
    <w:rsid w:val="001527CE"/>
    <w:rsid w:val="001600A1"/>
    <w:rsid w:val="00181F6F"/>
    <w:rsid w:val="001825A9"/>
    <w:rsid w:val="00183FD8"/>
    <w:rsid w:val="001842DF"/>
    <w:rsid w:val="0018733E"/>
    <w:rsid w:val="001945FD"/>
    <w:rsid w:val="00195398"/>
    <w:rsid w:val="001A1D1A"/>
    <w:rsid w:val="001A28B4"/>
    <w:rsid w:val="001A4F65"/>
    <w:rsid w:val="001A73C6"/>
    <w:rsid w:val="001B5E21"/>
    <w:rsid w:val="001B7801"/>
    <w:rsid w:val="001C2304"/>
    <w:rsid w:val="001C3A86"/>
    <w:rsid w:val="001C7D10"/>
    <w:rsid w:val="001D1794"/>
    <w:rsid w:val="001D18F9"/>
    <w:rsid w:val="001D351D"/>
    <w:rsid w:val="001D39EE"/>
    <w:rsid w:val="001E0FA5"/>
    <w:rsid w:val="001E6018"/>
    <w:rsid w:val="001F2FF3"/>
    <w:rsid w:val="001F476E"/>
    <w:rsid w:val="001F6525"/>
    <w:rsid w:val="002005AF"/>
    <w:rsid w:val="0021245E"/>
    <w:rsid w:val="0021303F"/>
    <w:rsid w:val="00214D14"/>
    <w:rsid w:val="0021734B"/>
    <w:rsid w:val="00221071"/>
    <w:rsid w:val="0022471A"/>
    <w:rsid w:val="0025257D"/>
    <w:rsid w:val="002625A9"/>
    <w:rsid w:val="0026260F"/>
    <w:rsid w:val="00262F98"/>
    <w:rsid w:val="00271AED"/>
    <w:rsid w:val="002734E7"/>
    <w:rsid w:val="00274062"/>
    <w:rsid w:val="0027626B"/>
    <w:rsid w:val="0027662A"/>
    <w:rsid w:val="002812FE"/>
    <w:rsid w:val="00291045"/>
    <w:rsid w:val="00292BE1"/>
    <w:rsid w:val="0029499F"/>
    <w:rsid w:val="00294AAB"/>
    <w:rsid w:val="002A6079"/>
    <w:rsid w:val="002A7047"/>
    <w:rsid w:val="002B25E7"/>
    <w:rsid w:val="002B7D43"/>
    <w:rsid w:val="002C2FA0"/>
    <w:rsid w:val="002C7D37"/>
    <w:rsid w:val="002D25E0"/>
    <w:rsid w:val="002D2C9E"/>
    <w:rsid w:val="002D4C6F"/>
    <w:rsid w:val="002D620E"/>
    <w:rsid w:val="002E12D3"/>
    <w:rsid w:val="002F5A2D"/>
    <w:rsid w:val="002F6E76"/>
    <w:rsid w:val="0030077D"/>
    <w:rsid w:val="00302128"/>
    <w:rsid w:val="0030551A"/>
    <w:rsid w:val="00315D7C"/>
    <w:rsid w:val="003351ED"/>
    <w:rsid w:val="00336D21"/>
    <w:rsid w:val="00337B33"/>
    <w:rsid w:val="00363209"/>
    <w:rsid w:val="00363DC3"/>
    <w:rsid w:val="00371049"/>
    <w:rsid w:val="00381073"/>
    <w:rsid w:val="00386AB5"/>
    <w:rsid w:val="00394D2E"/>
    <w:rsid w:val="00397844"/>
    <w:rsid w:val="003A3581"/>
    <w:rsid w:val="003B47B2"/>
    <w:rsid w:val="003C6199"/>
    <w:rsid w:val="003C6F08"/>
    <w:rsid w:val="003D2FCA"/>
    <w:rsid w:val="003D7471"/>
    <w:rsid w:val="003D7923"/>
    <w:rsid w:val="003E2BFF"/>
    <w:rsid w:val="003E401C"/>
    <w:rsid w:val="003E6DFC"/>
    <w:rsid w:val="003F1E3E"/>
    <w:rsid w:val="00401423"/>
    <w:rsid w:val="00401A69"/>
    <w:rsid w:val="00404FD4"/>
    <w:rsid w:val="00406252"/>
    <w:rsid w:val="00424408"/>
    <w:rsid w:val="004436C5"/>
    <w:rsid w:val="004529D2"/>
    <w:rsid w:val="0046724D"/>
    <w:rsid w:val="004769E6"/>
    <w:rsid w:val="00482402"/>
    <w:rsid w:val="004830C3"/>
    <w:rsid w:val="00492E6E"/>
    <w:rsid w:val="00495BF7"/>
    <w:rsid w:val="00495C69"/>
    <w:rsid w:val="004A3D00"/>
    <w:rsid w:val="004A4E84"/>
    <w:rsid w:val="004B599E"/>
    <w:rsid w:val="004B66AC"/>
    <w:rsid w:val="004D1CCA"/>
    <w:rsid w:val="004D359A"/>
    <w:rsid w:val="004D3B80"/>
    <w:rsid w:val="004D7CA9"/>
    <w:rsid w:val="004E57DD"/>
    <w:rsid w:val="004E7FD0"/>
    <w:rsid w:val="004F1463"/>
    <w:rsid w:val="004F3B9F"/>
    <w:rsid w:val="005024CF"/>
    <w:rsid w:val="005029E7"/>
    <w:rsid w:val="00503DC9"/>
    <w:rsid w:val="00505928"/>
    <w:rsid w:val="0051264F"/>
    <w:rsid w:val="00521A79"/>
    <w:rsid w:val="00521A93"/>
    <w:rsid w:val="005233A8"/>
    <w:rsid w:val="005241AA"/>
    <w:rsid w:val="00525F71"/>
    <w:rsid w:val="005320B8"/>
    <w:rsid w:val="00536207"/>
    <w:rsid w:val="00541D6B"/>
    <w:rsid w:val="00552B5F"/>
    <w:rsid w:val="0055325B"/>
    <w:rsid w:val="00556991"/>
    <w:rsid w:val="00560225"/>
    <w:rsid w:val="00564A72"/>
    <w:rsid w:val="00566767"/>
    <w:rsid w:val="00571EA4"/>
    <w:rsid w:val="00573F7A"/>
    <w:rsid w:val="00580B47"/>
    <w:rsid w:val="005821D3"/>
    <w:rsid w:val="005847CE"/>
    <w:rsid w:val="00590C6F"/>
    <w:rsid w:val="00594635"/>
    <w:rsid w:val="0059587D"/>
    <w:rsid w:val="00597EE8"/>
    <w:rsid w:val="005A2EAA"/>
    <w:rsid w:val="005A6DA2"/>
    <w:rsid w:val="005B0727"/>
    <w:rsid w:val="005B5C82"/>
    <w:rsid w:val="005C0EA1"/>
    <w:rsid w:val="005C5730"/>
    <w:rsid w:val="005C72C8"/>
    <w:rsid w:val="005D0C5D"/>
    <w:rsid w:val="005D2C5E"/>
    <w:rsid w:val="005D3680"/>
    <w:rsid w:val="005D3DA7"/>
    <w:rsid w:val="005D6596"/>
    <w:rsid w:val="005D7617"/>
    <w:rsid w:val="005E0678"/>
    <w:rsid w:val="005E15DE"/>
    <w:rsid w:val="005F482C"/>
    <w:rsid w:val="00601E26"/>
    <w:rsid w:val="006051DB"/>
    <w:rsid w:val="00622608"/>
    <w:rsid w:val="00624BBF"/>
    <w:rsid w:val="0063014C"/>
    <w:rsid w:val="00630759"/>
    <w:rsid w:val="006365E1"/>
    <w:rsid w:val="0064109A"/>
    <w:rsid w:val="006601BD"/>
    <w:rsid w:val="00664CD9"/>
    <w:rsid w:val="00674DAA"/>
    <w:rsid w:val="00676820"/>
    <w:rsid w:val="006775CF"/>
    <w:rsid w:val="006815E4"/>
    <w:rsid w:val="00682DF3"/>
    <w:rsid w:val="006849E2"/>
    <w:rsid w:val="0069302E"/>
    <w:rsid w:val="006971C5"/>
    <w:rsid w:val="006B35FB"/>
    <w:rsid w:val="006B54AD"/>
    <w:rsid w:val="006C5FB3"/>
    <w:rsid w:val="006D1863"/>
    <w:rsid w:val="006D23D1"/>
    <w:rsid w:val="006D3F9A"/>
    <w:rsid w:val="006D6C49"/>
    <w:rsid w:val="006E30DD"/>
    <w:rsid w:val="006E3EF2"/>
    <w:rsid w:val="006F2C16"/>
    <w:rsid w:val="00700AB5"/>
    <w:rsid w:val="0070127D"/>
    <w:rsid w:val="0070552A"/>
    <w:rsid w:val="00711B7B"/>
    <w:rsid w:val="00724093"/>
    <w:rsid w:val="0072534E"/>
    <w:rsid w:val="00725FD4"/>
    <w:rsid w:val="007272C5"/>
    <w:rsid w:val="00727497"/>
    <w:rsid w:val="00731B0B"/>
    <w:rsid w:val="00732946"/>
    <w:rsid w:val="00737716"/>
    <w:rsid w:val="00742D91"/>
    <w:rsid w:val="00746764"/>
    <w:rsid w:val="0075148E"/>
    <w:rsid w:val="00754623"/>
    <w:rsid w:val="00760AE9"/>
    <w:rsid w:val="007626DF"/>
    <w:rsid w:val="007640C6"/>
    <w:rsid w:val="00766633"/>
    <w:rsid w:val="0076685C"/>
    <w:rsid w:val="00772484"/>
    <w:rsid w:val="007761B4"/>
    <w:rsid w:val="00791549"/>
    <w:rsid w:val="007934CC"/>
    <w:rsid w:val="007953BF"/>
    <w:rsid w:val="00795E0C"/>
    <w:rsid w:val="007970D9"/>
    <w:rsid w:val="007973C2"/>
    <w:rsid w:val="00797558"/>
    <w:rsid w:val="007B22A3"/>
    <w:rsid w:val="007B4955"/>
    <w:rsid w:val="007B4E09"/>
    <w:rsid w:val="007D0280"/>
    <w:rsid w:val="007D470C"/>
    <w:rsid w:val="007E073F"/>
    <w:rsid w:val="007F57CA"/>
    <w:rsid w:val="008013B5"/>
    <w:rsid w:val="00802678"/>
    <w:rsid w:val="0080403E"/>
    <w:rsid w:val="00821D85"/>
    <w:rsid w:val="00833737"/>
    <w:rsid w:val="0083587D"/>
    <w:rsid w:val="00836418"/>
    <w:rsid w:val="00844208"/>
    <w:rsid w:val="00844B19"/>
    <w:rsid w:val="00847F5F"/>
    <w:rsid w:val="008565D4"/>
    <w:rsid w:val="0085724E"/>
    <w:rsid w:val="00857F10"/>
    <w:rsid w:val="00861E48"/>
    <w:rsid w:val="008702DD"/>
    <w:rsid w:val="00870DD0"/>
    <w:rsid w:val="00872DC3"/>
    <w:rsid w:val="00873906"/>
    <w:rsid w:val="00874D7A"/>
    <w:rsid w:val="00881B94"/>
    <w:rsid w:val="008823AA"/>
    <w:rsid w:val="00892F68"/>
    <w:rsid w:val="00894E36"/>
    <w:rsid w:val="008962AD"/>
    <w:rsid w:val="008A6531"/>
    <w:rsid w:val="008A74FF"/>
    <w:rsid w:val="008B2E7F"/>
    <w:rsid w:val="008C079F"/>
    <w:rsid w:val="008C2A30"/>
    <w:rsid w:val="008C6D59"/>
    <w:rsid w:val="008D635A"/>
    <w:rsid w:val="008D734F"/>
    <w:rsid w:val="008E1914"/>
    <w:rsid w:val="008F4185"/>
    <w:rsid w:val="008F5D2F"/>
    <w:rsid w:val="00901065"/>
    <w:rsid w:val="009024A9"/>
    <w:rsid w:val="00907EB2"/>
    <w:rsid w:val="0091212E"/>
    <w:rsid w:val="00914775"/>
    <w:rsid w:val="009147E3"/>
    <w:rsid w:val="0092344C"/>
    <w:rsid w:val="00927864"/>
    <w:rsid w:val="00933335"/>
    <w:rsid w:val="00935983"/>
    <w:rsid w:val="009376D2"/>
    <w:rsid w:val="00937A73"/>
    <w:rsid w:val="00940568"/>
    <w:rsid w:val="00941770"/>
    <w:rsid w:val="00947B6E"/>
    <w:rsid w:val="00954532"/>
    <w:rsid w:val="00966CC5"/>
    <w:rsid w:val="009675EF"/>
    <w:rsid w:val="00975E5D"/>
    <w:rsid w:val="009847A7"/>
    <w:rsid w:val="0099215D"/>
    <w:rsid w:val="009A6055"/>
    <w:rsid w:val="009B0A66"/>
    <w:rsid w:val="009C091B"/>
    <w:rsid w:val="009C3E70"/>
    <w:rsid w:val="009D0900"/>
    <w:rsid w:val="009D1F82"/>
    <w:rsid w:val="009D2662"/>
    <w:rsid w:val="009D6F10"/>
    <w:rsid w:val="009E1D2F"/>
    <w:rsid w:val="009E2E21"/>
    <w:rsid w:val="009F0A3B"/>
    <w:rsid w:val="00A04AF8"/>
    <w:rsid w:val="00A05E6B"/>
    <w:rsid w:val="00A06820"/>
    <w:rsid w:val="00A07EC7"/>
    <w:rsid w:val="00A22E0C"/>
    <w:rsid w:val="00A2536E"/>
    <w:rsid w:val="00A3059F"/>
    <w:rsid w:val="00A321D6"/>
    <w:rsid w:val="00A42C52"/>
    <w:rsid w:val="00A43806"/>
    <w:rsid w:val="00A44C4F"/>
    <w:rsid w:val="00A473BB"/>
    <w:rsid w:val="00A515A2"/>
    <w:rsid w:val="00A516AE"/>
    <w:rsid w:val="00A54FE8"/>
    <w:rsid w:val="00A55150"/>
    <w:rsid w:val="00A62545"/>
    <w:rsid w:val="00A628C4"/>
    <w:rsid w:val="00A677C3"/>
    <w:rsid w:val="00A7110A"/>
    <w:rsid w:val="00A777A0"/>
    <w:rsid w:val="00A83415"/>
    <w:rsid w:val="00A86183"/>
    <w:rsid w:val="00A87772"/>
    <w:rsid w:val="00A975AD"/>
    <w:rsid w:val="00AA224F"/>
    <w:rsid w:val="00AA5EA4"/>
    <w:rsid w:val="00AC060C"/>
    <w:rsid w:val="00AC0670"/>
    <w:rsid w:val="00AC1F0C"/>
    <w:rsid w:val="00AD0778"/>
    <w:rsid w:val="00AD6358"/>
    <w:rsid w:val="00AD6785"/>
    <w:rsid w:val="00AE16C6"/>
    <w:rsid w:val="00AE2891"/>
    <w:rsid w:val="00AE4CA1"/>
    <w:rsid w:val="00AF0CA1"/>
    <w:rsid w:val="00AF16DB"/>
    <w:rsid w:val="00B03562"/>
    <w:rsid w:val="00B035B3"/>
    <w:rsid w:val="00B23A74"/>
    <w:rsid w:val="00B27E32"/>
    <w:rsid w:val="00B41D84"/>
    <w:rsid w:val="00B4344E"/>
    <w:rsid w:val="00B442E5"/>
    <w:rsid w:val="00B53A86"/>
    <w:rsid w:val="00B61807"/>
    <w:rsid w:val="00B64330"/>
    <w:rsid w:val="00B71727"/>
    <w:rsid w:val="00B73156"/>
    <w:rsid w:val="00B75FCE"/>
    <w:rsid w:val="00B77DEB"/>
    <w:rsid w:val="00B8719C"/>
    <w:rsid w:val="00B874E3"/>
    <w:rsid w:val="00B92951"/>
    <w:rsid w:val="00B948D2"/>
    <w:rsid w:val="00BA0D38"/>
    <w:rsid w:val="00BA1E2C"/>
    <w:rsid w:val="00BA1FB1"/>
    <w:rsid w:val="00BA2553"/>
    <w:rsid w:val="00BA26BF"/>
    <w:rsid w:val="00BA5FEB"/>
    <w:rsid w:val="00BB0412"/>
    <w:rsid w:val="00BB074C"/>
    <w:rsid w:val="00BB1D79"/>
    <w:rsid w:val="00BC06E6"/>
    <w:rsid w:val="00BC304A"/>
    <w:rsid w:val="00BC3651"/>
    <w:rsid w:val="00BC37C0"/>
    <w:rsid w:val="00BC5B42"/>
    <w:rsid w:val="00BC62E2"/>
    <w:rsid w:val="00BC743C"/>
    <w:rsid w:val="00BC7D4F"/>
    <w:rsid w:val="00BD0A50"/>
    <w:rsid w:val="00BE13F1"/>
    <w:rsid w:val="00BE2D3D"/>
    <w:rsid w:val="00BF3299"/>
    <w:rsid w:val="00BF5CBC"/>
    <w:rsid w:val="00BF68C7"/>
    <w:rsid w:val="00C01237"/>
    <w:rsid w:val="00C01E25"/>
    <w:rsid w:val="00C04BFD"/>
    <w:rsid w:val="00C10235"/>
    <w:rsid w:val="00C11660"/>
    <w:rsid w:val="00C23A10"/>
    <w:rsid w:val="00C24BA6"/>
    <w:rsid w:val="00C27F5C"/>
    <w:rsid w:val="00C35692"/>
    <w:rsid w:val="00C425B5"/>
    <w:rsid w:val="00C46688"/>
    <w:rsid w:val="00C4746E"/>
    <w:rsid w:val="00C474F5"/>
    <w:rsid w:val="00C523AC"/>
    <w:rsid w:val="00C5621C"/>
    <w:rsid w:val="00C56B36"/>
    <w:rsid w:val="00C5781A"/>
    <w:rsid w:val="00C610EC"/>
    <w:rsid w:val="00C70633"/>
    <w:rsid w:val="00C70ECA"/>
    <w:rsid w:val="00C72C0C"/>
    <w:rsid w:val="00C75458"/>
    <w:rsid w:val="00C755A2"/>
    <w:rsid w:val="00C8104D"/>
    <w:rsid w:val="00C840D1"/>
    <w:rsid w:val="00C87B93"/>
    <w:rsid w:val="00C928AD"/>
    <w:rsid w:val="00CA22D8"/>
    <w:rsid w:val="00CA306E"/>
    <w:rsid w:val="00CB0260"/>
    <w:rsid w:val="00CB0554"/>
    <w:rsid w:val="00CC0E7D"/>
    <w:rsid w:val="00CC4894"/>
    <w:rsid w:val="00CC4F11"/>
    <w:rsid w:val="00CC6A1D"/>
    <w:rsid w:val="00CC79E0"/>
    <w:rsid w:val="00CD0DD8"/>
    <w:rsid w:val="00CD1217"/>
    <w:rsid w:val="00CD69D2"/>
    <w:rsid w:val="00CE12F1"/>
    <w:rsid w:val="00CE1F27"/>
    <w:rsid w:val="00CE34B7"/>
    <w:rsid w:val="00CE4680"/>
    <w:rsid w:val="00CF1390"/>
    <w:rsid w:val="00CF3013"/>
    <w:rsid w:val="00CF3DA1"/>
    <w:rsid w:val="00CF5E40"/>
    <w:rsid w:val="00CF7F04"/>
    <w:rsid w:val="00D03274"/>
    <w:rsid w:val="00D04B95"/>
    <w:rsid w:val="00D0607D"/>
    <w:rsid w:val="00D06DB8"/>
    <w:rsid w:val="00D1346D"/>
    <w:rsid w:val="00D13B37"/>
    <w:rsid w:val="00D174B2"/>
    <w:rsid w:val="00D2258B"/>
    <w:rsid w:val="00D2346E"/>
    <w:rsid w:val="00D25ECC"/>
    <w:rsid w:val="00D31891"/>
    <w:rsid w:val="00D35EF6"/>
    <w:rsid w:val="00D44561"/>
    <w:rsid w:val="00D527A2"/>
    <w:rsid w:val="00D571C5"/>
    <w:rsid w:val="00D6158E"/>
    <w:rsid w:val="00D64067"/>
    <w:rsid w:val="00D66221"/>
    <w:rsid w:val="00D67129"/>
    <w:rsid w:val="00D75736"/>
    <w:rsid w:val="00D84FCA"/>
    <w:rsid w:val="00D94610"/>
    <w:rsid w:val="00D96506"/>
    <w:rsid w:val="00DA133D"/>
    <w:rsid w:val="00DA14F1"/>
    <w:rsid w:val="00DB0DA1"/>
    <w:rsid w:val="00DB3689"/>
    <w:rsid w:val="00DC1992"/>
    <w:rsid w:val="00DC557F"/>
    <w:rsid w:val="00DE2977"/>
    <w:rsid w:val="00DE432E"/>
    <w:rsid w:val="00DF0B62"/>
    <w:rsid w:val="00DF1010"/>
    <w:rsid w:val="00DF178A"/>
    <w:rsid w:val="00DF2A21"/>
    <w:rsid w:val="00DF2B2A"/>
    <w:rsid w:val="00DF5DA4"/>
    <w:rsid w:val="00E00ADA"/>
    <w:rsid w:val="00E00E31"/>
    <w:rsid w:val="00E01C1D"/>
    <w:rsid w:val="00E1006A"/>
    <w:rsid w:val="00E11332"/>
    <w:rsid w:val="00E13A40"/>
    <w:rsid w:val="00E17262"/>
    <w:rsid w:val="00E20CE0"/>
    <w:rsid w:val="00E326D3"/>
    <w:rsid w:val="00E34005"/>
    <w:rsid w:val="00E50619"/>
    <w:rsid w:val="00E5177D"/>
    <w:rsid w:val="00E55E8D"/>
    <w:rsid w:val="00E61CC6"/>
    <w:rsid w:val="00E61F3D"/>
    <w:rsid w:val="00E63457"/>
    <w:rsid w:val="00E84F4F"/>
    <w:rsid w:val="00E87AFA"/>
    <w:rsid w:val="00E87FF5"/>
    <w:rsid w:val="00E91324"/>
    <w:rsid w:val="00E923DB"/>
    <w:rsid w:val="00EA0A87"/>
    <w:rsid w:val="00EA2DEE"/>
    <w:rsid w:val="00EA32C8"/>
    <w:rsid w:val="00EB011D"/>
    <w:rsid w:val="00EB14EB"/>
    <w:rsid w:val="00EB260B"/>
    <w:rsid w:val="00EB679D"/>
    <w:rsid w:val="00EC0271"/>
    <w:rsid w:val="00EC287B"/>
    <w:rsid w:val="00EC2E66"/>
    <w:rsid w:val="00EC637A"/>
    <w:rsid w:val="00ED1391"/>
    <w:rsid w:val="00ED6FD0"/>
    <w:rsid w:val="00ED70DE"/>
    <w:rsid w:val="00EF07D3"/>
    <w:rsid w:val="00EF427A"/>
    <w:rsid w:val="00EF6CB3"/>
    <w:rsid w:val="00F011F1"/>
    <w:rsid w:val="00F152B9"/>
    <w:rsid w:val="00F23005"/>
    <w:rsid w:val="00F336C1"/>
    <w:rsid w:val="00F33BB7"/>
    <w:rsid w:val="00F344A2"/>
    <w:rsid w:val="00F42D3F"/>
    <w:rsid w:val="00F440CE"/>
    <w:rsid w:val="00F51DF3"/>
    <w:rsid w:val="00F51F32"/>
    <w:rsid w:val="00F54338"/>
    <w:rsid w:val="00F569EE"/>
    <w:rsid w:val="00F60C2A"/>
    <w:rsid w:val="00F620B6"/>
    <w:rsid w:val="00F65612"/>
    <w:rsid w:val="00F65BEC"/>
    <w:rsid w:val="00F67042"/>
    <w:rsid w:val="00F671E8"/>
    <w:rsid w:val="00F7087D"/>
    <w:rsid w:val="00F71AD5"/>
    <w:rsid w:val="00F724A2"/>
    <w:rsid w:val="00F75E9E"/>
    <w:rsid w:val="00F76D91"/>
    <w:rsid w:val="00F77E22"/>
    <w:rsid w:val="00F82D9F"/>
    <w:rsid w:val="00F868E5"/>
    <w:rsid w:val="00FA0D70"/>
    <w:rsid w:val="00FB58DA"/>
    <w:rsid w:val="00FB5A16"/>
    <w:rsid w:val="00FB6BC9"/>
    <w:rsid w:val="00FB6C73"/>
    <w:rsid w:val="00FC6FF2"/>
    <w:rsid w:val="00FD2E13"/>
    <w:rsid w:val="00FD4196"/>
    <w:rsid w:val="00FD68B1"/>
    <w:rsid w:val="00FF3E6F"/>
    <w:rsid w:val="00FF4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FA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EF07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F07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single space,Текст сноски Знак Знак Знак,Текст сноски Знак Знак,Текст сноски-FN,Текст сноски Знак2,Текст сноски Знак Знак1,single space Знак Знак Знак,footnote text Знак Знак Знак,Текст сноски-FN Знак Знак Знак"/>
    <w:basedOn w:val="a"/>
    <w:link w:val="a4"/>
    <w:uiPriority w:val="99"/>
    <w:unhideWhenUsed/>
    <w:rsid w:val="00A515A2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aliases w:val="single space Знак,Текст сноски Знак Знак Знак Знак,Текст сноски Знак Знак Знак1,Текст сноски-FN Знак,Текст сноски Знак2 Знак,Текст сноски Знак Знак1 Знак,single space Знак Знак Знак Знак,footnote text Знак Знак Знак Знак"/>
    <w:link w:val="a3"/>
    <w:uiPriority w:val="99"/>
    <w:rsid w:val="00A515A2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unhideWhenUsed/>
    <w:rsid w:val="00A515A2"/>
    <w:rPr>
      <w:vertAlign w:val="superscript"/>
    </w:rPr>
  </w:style>
  <w:style w:type="character" w:customStyle="1" w:styleId="11">
    <w:name w:val="Гиперссылка1"/>
    <w:uiPriority w:val="99"/>
    <w:unhideWhenUsed/>
    <w:rsid w:val="00A515A2"/>
    <w:rPr>
      <w:color w:val="0563C1"/>
      <w:u w:val="single"/>
    </w:rPr>
  </w:style>
  <w:style w:type="character" w:styleId="a6">
    <w:name w:val="Hyperlink"/>
    <w:uiPriority w:val="99"/>
    <w:unhideWhenUsed/>
    <w:rsid w:val="00A515A2"/>
    <w:rPr>
      <w:color w:val="0563C1"/>
      <w:u w:val="single"/>
    </w:rPr>
  </w:style>
  <w:style w:type="table" w:styleId="a7">
    <w:name w:val="Table Grid"/>
    <w:basedOn w:val="a1"/>
    <w:uiPriority w:val="39"/>
    <w:rsid w:val="00EA32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Plain Text"/>
    <w:basedOn w:val="a"/>
    <w:link w:val="a9"/>
    <w:uiPriority w:val="99"/>
    <w:unhideWhenUsed/>
    <w:rsid w:val="00A22E0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9">
    <w:name w:val="Текст Знак"/>
    <w:link w:val="a8"/>
    <w:uiPriority w:val="99"/>
    <w:rsid w:val="00A22E0C"/>
    <w:rPr>
      <w:rFonts w:ascii="Consolas" w:hAnsi="Consolas"/>
      <w:sz w:val="21"/>
      <w:szCs w:val="21"/>
      <w:lang w:eastAsia="en-US"/>
    </w:rPr>
  </w:style>
  <w:style w:type="character" w:customStyle="1" w:styleId="10">
    <w:name w:val="Заголовок 1 Знак"/>
    <w:link w:val="1"/>
    <w:uiPriority w:val="9"/>
    <w:rsid w:val="00EF07D3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EF07D3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resultscount">
    <w:name w:val="resultscount"/>
    <w:rsid w:val="00EF07D3"/>
  </w:style>
  <w:style w:type="character" w:customStyle="1" w:styleId="queryoperator">
    <w:name w:val="queryoperator"/>
    <w:rsid w:val="00EF07D3"/>
  </w:style>
  <w:style w:type="character" w:customStyle="1" w:styleId="querysrchtext">
    <w:name w:val="querysrchtext"/>
    <w:rsid w:val="00EF07D3"/>
  </w:style>
  <w:style w:type="character" w:styleId="aa">
    <w:name w:val="Emphasis"/>
    <w:uiPriority w:val="20"/>
    <w:qFormat/>
    <w:rsid w:val="00EF07D3"/>
    <w:rPr>
      <w:i/>
      <w:iCs/>
    </w:rPr>
  </w:style>
  <w:style w:type="character" w:styleId="ab">
    <w:name w:val="Strong"/>
    <w:uiPriority w:val="22"/>
    <w:qFormat/>
    <w:rsid w:val="002B7D43"/>
    <w:rPr>
      <w:b/>
      <w:bCs/>
    </w:rPr>
  </w:style>
  <w:style w:type="paragraph" w:customStyle="1" w:styleId="pw-post-body-paragraph">
    <w:name w:val="pw-post-body-paragraph"/>
    <w:basedOn w:val="a"/>
    <w:rsid w:val="002B7D4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7D470C"/>
    <w:pPr>
      <w:spacing w:after="200" w:line="240" w:lineRule="auto"/>
    </w:pPr>
    <w:rPr>
      <w:iCs/>
      <w:color w:val="44546A"/>
      <w:sz w:val="18"/>
      <w:szCs w:val="18"/>
    </w:rPr>
  </w:style>
  <w:style w:type="paragraph" w:styleId="ad">
    <w:name w:val="Normal (Web)"/>
    <w:basedOn w:val="a"/>
    <w:uiPriority w:val="99"/>
    <w:semiHidden/>
    <w:unhideWhenUsed/>
    <w:rsid w:val="00DC55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27626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ru-RU"/>
    </w:rPr>
  </w:style>
  <w:style w:type="paragraph" w:styleId="ae">
    <w:name w:val="Balloon Text"/>
    <w:basedOn w:val="a"/>
    <w:link w:val="af"/>
    <w:uiPriority w:val="99"/>
    <w:semiHidden/>
    <w:unhideWhenUsed/>
    <w:rsid w:val="008E19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E1914"/>
    <w:rPr>
      <w:rFonts w:ascii="Tahoma" w:hAnsi="Tahoma" w:cs="Tahoma"/>
      <w:sz w:val="16"/>
      <w:szCs w:val="16"/>
      <w:lang w:eastAsia="en-US"/>
    </w:rPr>
  </w:style>
  <w:style w:type="paragraph" w:styleId="af0">
    <w:name w:val="header"/>
    <w:basedOn w:val="a"/>
    <w:link w:val="af1"/>
    <w:uiPriority w:val="99"/>
    <w:semiHidden/>
    <w:unhideWhenUsed/>
    <w:rsid w:val="008E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8E1914"/>
    <w:rPr>
      <w:sz w:val="22"/>
      <w:szCs w:val="22"/>
      <w:lang w:eastAsia="en-US"/>
    </w:rPr>
  </w:style>
  <w:style w:type="paragraph" w:styleId="af2">
    <w:name w:val="footer"/>
    <w:basedOn w:val="a"/>
    <w:link w:val="af3"/>
    <w:uiPriority w:val="99"/>
    <w:unhideWhenUsed/>
    <w:rsid w:val="008E19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8E191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5.xm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4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3.xml"/><Relationship Id="rId5" Type="http://schemas.openxmlformats.org/officeDocument/2006/relationships/webSettings" Target="webSettings.xml"/><Relationship Id="rId15" Type="http://schemas.openxmlformats.org/officeDocument/2006/relationships/chart" Target="charts/chart7.xml"/><Relationship Id="rId10" Type="http://schemas.openxmlformats.org/officeDocument/2006/relationships/chart" Target="charts/chart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ew.cisstat.org/web/guest/cis-stat-home?iFrameId=4212723" TargetMode="External"/><Relationship Id="rId14" Type="http://schemas.openxmlformats.org/officeDocument/2006/relationships/chart" Target="charts/chart6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ass.ru/ekonomika/16704083" TargetMode="External"/><Relationship Id="rId2" Type="http://schemas.openxmlformats.org/officeDocument/2006/relationships/hyperlink" Target="https://stakhanov.su/news/city_news/6091-promyshlennyy-potencial-respubliki-polozhitelnaya-dinamika-po-vsem-otraslyam.html" TargetMode="External"/><Relationship Id="rId1" Type="http://schemas.openxmlformats.org/officeDocument/2006/relationships/hyperlink" Target="http://oblrada.lg.ua/content/rishennya%E2%84%96-2410-vid-25092008-rpro-zatverdzhennya-strategii-ekonomichnogo-ta-sotsialnogo-roz" TargetMode="Externa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openxmlformats.org/officeDocument/2006/relationships/oleObject" Target="file:///C:\Users\Science\Documents\2023\&#1055;&#1091;&#1073;&#1083;&#1080;&#1082;&#1072;&#1094;&#1080;&#1080;\22_&#1052;&#1056;\data_2024-06-13_11-29-27.xlsx" TargetMode="External"/><Relationship Id="rId1" Type="http://schemas.openxmlformats.org/officeDocument/2006/relationships/themeOverride" Target="../theme/themeOverride1.xml"/><Relationship Id="rId4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microsoft.com/office/2011/relationships/chartColorStyle" Target="colors2.xml"/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Relationship Id="rId4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3.xml"/></Relationships>
</file>

<file path=word/charts/_rels/chart4.xml.rels><?xml version="1.0" encoding="UTF-8" standalone="yes"?>
<Relationships xmlns="http://schemas.openxmlformats.org/package/2006/relationships"><Relationship Id="rId3" Type="http://schemas.microsoft.com/office/2011/relationships/chartStyle" Target="style3.xml"/><Relationship Id="rId2" Type="http://schemas.microsoft.com/office/2011/relationships/chartColorStyle" Target="colors3.xml"/><Relationship Id="rId1" Type="http://schemas.openxmlformats.org/officeDocument/2006/relationships/oleObject" Target="&#1050;&#1085;&#1080;&#1075;&#1072;1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microsoft.com/office/2011/relationships/chartStyle" Target="style4.xml"/><Relationship Id="rId2" Type="http://schemas.microsoft.com/office/2011/relationships/chartColorStyle" Target="colors4.xml"/><Relationship Id="rId1" Type="http://schemas.openxmlformats.org/officeDocument/2006/relationships/oleObject" Target="&#1050;&#1085;&#1080;&#1075;&#1072;1" TargetMode="External"/></Relationships>
</file>

<file path=word/charts/_rels/chart6.xml.rels><?xml version="1.0" encoding="UTF-8" standalone="yes"?>
<Relationships xmlns="http://schemas.openxmlformats.org/package/2006/relationships"><Relationship Id="rId3" Type="http://schemas.microsoft.com/office/2011/relationships/chartStyle" Target="style5.xml"/><Relationship Id="rId2" Type="http://schemas.microsoft.com/office/2011/relationships/chartColorStyle" Target="colors5.xml"/><Relationship Id="rId1" Type="http://schemas.openxmlformats.org/officeDocument/2006/relationships/oleObject" Target="file:///C:\Users\Science\Documents\2024\&#1055;&#1091;&#1073;&#1083;&#1080;&#1082;&#1072;&#1094;&#1080;&#1080;\&#1052;&#1086;&#1089;&#1082;&#1074;&#1072;\7_&#1052;&#1053;&#1055;&#1050;\&#1050;&#1085;&#1080;&#1075;&#1072;1.xlsx" TargetMode="External"/></Relationships>
</file>

<file path=word/charts/_rels/chart7.xml.rels><?xml version="1.0" encoding="UTF-8" standalone="yes"?>
<Relationships xmlns="http://schemas.openxmlformats.org/package/2006/relationships"><Relationship Id="rId3" Type="http://schemas.microsoft.com/office/2011/relationships/chartStyle" Target="style6.xml"/><Relationship Id="rId2" Type="http://schemas.microsoft.com/office/2011/relationships/chartColorStyle" Target="colors6.xml"/><Relationship Id="rId1" Type="http://schemas.openxmlformats.org/officeDocument/2006/relationships/oleObject" Target="file:///C:\Users\Science\Documents\2024\&#1055;&#1091;&#1073;&#1083;&#1080;&#1082;&#1072;&#1094;&#1080;&#1080;\&#1052;&#1086;&#1089;&#1082;&#1074;&#1072;\7_&#1052;&#1053;&#1055;&#1050;\&#1050;&#1085;&#1080;&#1075;&#1072;1.xlsx" TargetMode="External"/></Relationships>
</file>

<file path=word/charts/_rels/chart8.xml.rels><?xml version="1.0" encoding="UTF-8" standalone="yes"?>
<Relationships xmlns="http://schemas.openxmlformats.org/package/2006/relationships"><Relationship Id="rId3" Type="http://schemas.microsoft.com/office/2011/relationships/chartStyle" Target="style7.xml"/><Relationship Id="rId2" Type="http://schemas.microsoft.com/office/2011/relationships/chartColorStyle" Target="colors7.xml"/><Relationship Id="rId1" Type="http://schemas.openxmlformats.org/officeDocument/2006/relationships/oleObject" Target="file:///C:\Users\Science\Documents\2024\&#1055;&#1091;&#1073;&#1083;&#1080;&#1082;&#1072;&#1094;&#1080;&#1080;\&#1052;&#1086;&#1089;&#1082;&#1074;&#1072;\7_&#1052;&#1053;&#1055;&#1050;\&#1050;&#1085;&#1080;&#1075;&#1072;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lineChart>
        <c:grouping val="standard"/>
        <c:ser>
          <c:idx val="0"/>
          <c:order val="0"/>
          <c:spPr>
            <a:ln w="28575" cap="rnd">
              <a:solidFill>
                <a:schemeClr val="dk1">
                  <a:tint val="885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dk1">
                  <a:tint val="88500"/>
                </a:schemeClr>
              </a:solidFill>
              <a:ln w="9525">
                <a:solidFill>
                  <a:schemeClr val="dk1">
                    <a:tint val="88500"/>
                  </a:schemeClr>
                </a:solidFill>
              </a:ln>
              <a:effectLst/>
            </c:spPr>
          </c:marker>
          <c:cat>
            <c:strRef>
              <c:f>Sheet1!$C$19:$AG$19</c:f>
              <c:strCache>
                <c:ptCount val="31"/>
                <c:pt idx="0">
                  <c:v>1991</c:v>
                </c:pt>
                <c:pt idx="1">
                  <c:v>1992</c:v>
                </c:pt>
                <c:pt idx="2">
                  <c:v>1993</c:v>
                </c:pt>
                <c:pt idx="3">
                  <c:v>1994</c:v>
                </c:pt>
                <c:pt idx="4">
                  <c:v>1995</c:v>
                </c:pt>
                <c:pt idx="5">
                  <c:v>1996</c:v>
                </c:pt>
                <c:pt idx="6">
                  <c:v>1997</c:v>
                </c:pt>
                <c:pt idx="7">
                  <c:v>1998</c:v>
                </c:pt>
                <c:pt idx="8">
                  <c:v>1999</c:v>
                </c:pt>
                <c:pt idx="9">
                  <c:v>2000</c:v>
                </c:pt>
                <c:pt idx="10">
                  <c:v>2001</c:v>
                </c:pt>
                <c:pt idx="11">
                  <c:v>2002</c:v>
                </c:pt>
                <c:pt idx="12">
                  <c:v>2003</c:v>
                </c:pt>
                <c:pt idx="13">
                  <c:v>2004</c:v>
                </c:pt>
                <c:pt idx="14">
                  <c:v>2005</c:v>
                </c:pt>
                <c:pt idx="15">
                  <c:v>2006</c:v>
                </c:pt>
                <c:pt idx="16">
                  <c:v>2007</c:v>
                </c:pt>
                <c:pt idx="17">
                  <c:v>2008</c:v>
                </c:pt>
                <c:pt idx="18">
                  <c:v>2009</c:v>
                </c:pt>
                <c:pt idx="19">
                  <c:v>2010</c:v>
                </c:pt>
                <c:pt idx="20">
                  <c:v>2011</c:v>
                </c:pt>
                <c:pt idx="21">
                  <c:v>2012</c:v>
                </c:pt>
                <c:pt idx="22">
                  <c:v>2013</c:v>
                </c:pt>
                <c:pt idx="23">
                  <c:v>2014</c:v>
                </c:pt>
                <c:pt idx="24">
                  <c:v>2015</c:v>
                </c:pt>
                <c:pt idx="25">
                  <c:v>2016</c:v>
                </c:pt>
                <c:pt idx="26">
                  <c:v>2017</c:v>
                </c:pt>
                <c:pt idx="27">
                  <c:v>2018</c:v>
                </c:pt>
                <c:pt idx="28">
                  <c:v>2019</c:v>
                </c:pt>
                <c:pt idx="29">
                  <c:v>2020</c:v>
                </c:pt>
                <c:pt idx="30">
                  <c:v>2021</c:v>
                </c:pt>
              </c:strCache>
            </c:strRef>
          </c:cat>
          <c:val>
            <c:numRef>
              <c:f>Sheet1!$C$20:$AG$20</c:f>
              <c:numCache>
                <c:formatCode>#,##0.0</c:formatCode>
                <c:ptCount val="31"/>
                <c:pt idx="0">
                  <c:v>95.2</c:v>
                </c:pt>
                <c:pt idx="1">
                  <c:v>93.6</c:v>
                </c:pt>
                <c:pt idx="2">
                  <c:v>92</c:v>
                </c:pt>
                <c:pt idx="3">
                  <c:v>72.7</c:v>
                </c:pt>
                <c:pt idx="4">
                  <c:v>88</c:v>
                </c:pt>
                <c:pt idx="5">
                  <c:v>94.9</c:v>
                </c:pt>
                <c:pt idx="6">
                  <c:v>99.7</c:v>
                </c:pt>
                <c:pt idx="7">
                  <c:v>99</c:v>
                </c:pt>
                <c:pt idx="8">
                  <c:v>104</c:v>
                </c:pt>
                <c:pt idx="9">
                  <c:v>112.4</c:v>
                </c:pt>
                <c:pt idx="10">
                  <c:v>114.2</c:v>
                </c:pt>
                <c:pt idx="11">
                  <c:v>107</c:v>
                </c:pt>
                <c:pt idx="12">
                  <c:v>115.8</c:v>
                </c:pt>
                <c:pt idx="13">
                  <c:v>112.5</c:v>
                </c:pt>
                <c:pt idx="14">
                  <c:v>103.1</c:v>
                </c:pt>
                <c:pt idx="15">
                  <c:v>106.2</c:v>
                </c:pt>
                <c:pt idx="16">
                  <c:v>107.6</c:v>
                </c:pt>
                <c:pt idx="17">
                  <c:v>94.8</c:v>
                </c:pt>
                <c:pt idx="18">
                  <c:v>78.099999999999994</c:v>
                </c:pt>
                <c:pt idx="19">
                  <c:v>112.2</c:v>
                </c:pt>
                <c:pt idx="20" formatCode="General">
                  <c:v>108</c:v>
                </c:pt>
                <c:pt idx="21">
                  <c:v>99.3</c:v>
                </c:pt>
                <c:pt idx="22">
                  <c:v>95.7</c:v>
                </c:pt>
                <c:pt idx="23">
                  <c:v>89.9</c:v>
                </c:pt>
                <c:pt idx="24">
                  <c:v>87.7</c:v>
                </c:pt>
                <c:pt idx="25">
                  <c:v>104</c:v>
                </c:pt>
                <c:pt idx="26">
                  <c:v>101.1</c:v>
                </c:pt>
                <c:pt idx="27">
                  <c:v>103</c:v>
                </c:pt>
                <c:pt idx="28">
                  <c:v>99.5</c:v>
                </c:pt>
                <c:pt idx="29">
                  <c:v>95.5</c:v>
                </c:pt>
                <c:pt idx="30">
                  <c:v>101.1</c:v>
                </c:pt>
              </c:numCache>
            </c:numRef>
          </c:val>
        </c:ser>
        <c:marker val="1"/>
        <c:axId val="76143232"/>
        <c:axId val="102244352"/>
      </c:lineChart>
      <c:catAx>
        <c:axId val="761432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2244352"/>
        <c:crosses val="autoZero"/>
        <c:auto val="1"/>
        <c:lblAlgn val="ctr"/>
        <c:lblOffset val="100"/>
      </c:catAx>
      <c:valAx>
        <c:axId val="102244352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1432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5"/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ser>
          <c:idx val="1"/>
          <c:order val="1"/>
          <c:tx>
            <c:strRef>
              <c:f>Лист1!$A$5</c:f>
              <c:strCache>
                <c:ptCount val="1"/>
                <c:pt idx="0">
                  <c:v>Добывающая промышленность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val>
            <c:numRef>
              <c:f>Лист1!$B$5:$H$5</c:f>
              <c:numCache>
                <c:formatCode>General</c:formatCode>
                <c:ptCount val="7"/>
                <c:pt idx="0">
                  <c:v>96.8</c:v>
                </c:pt>
                <c:pt idx="1">
                  <c:v>103.9</c:v>
                </c:pt>
                <c:pt idx="2">
                  <c:v>89.5</c:v>
                </c:pt>
                <c:pt idx="3">
                  <c:v>106</c:v>
                </c:pt>
                <c:pt idx="4">
                  <c:v>113.4</c:v>
                </c:pt>
                <c:pt idx="5">
                  <c:v>95</c:v>
                </c:pt>
                <c:pt idx="6">
                  <c:v>94.4</c:v>
                </c:pt>
              </c:numCache>
            </c:numRef>
          </c:val>
        </c:ser>
        <c:ser>
          <c:idx val="2"/>
          <c:order val="2"/>
          <c:tx>
            <c:strRef>
              <c:f>Лист1!$A$6</c:f>
              <c:strCache>
                <c:ptCount val="1"/>
                <c:pt idx="0">
                  <c:v>Перерабатывающая промышленность</c:v>
                </c:pt>
              </c:strCache>
            </c:strRef>
          </c:tx>
          <c:spPr>
            <a:solidFill>
              <a:schemeClr val="accent3">
                <a:tint val="65000"/>
              </a:schemeClr>
            </a:solidFill>
            <a:ln>
              <a:noFill/>
            </a:ln>
            <a:effectLst/>
          </c:spPr>
          <c:val>
            <c:numRef>
              <c:f>Лист1!$B$6:$H$6</c:f>
              <c:numCache>
                <c:formatCode>General</c:formatCode>
                <c:ptCount val="7"/>
                <c:pt idx="0">
                  <c:v>119.6</c:v>
                </c:pt>
                <c:pt idx="1">
                  <c:v>92.8</c:v>
                </c:pt>
                <c:pt idx="2">
                  <c:v>75.400000000000006</c:v>
                </c:pt>
                <c:pt idx="3">
                  <c:v>107.1</c:v>
                </c:pt>
                <c:pt idx="4">
                  <c:v>121.1</c:v>
                </c:pt>
                <c:pt idx="5">
                  <c:v>89.6</c:v>
                </c:pt>
                <c:pt idx="6">
                  <c:v>89.3</c:v>
                </c:pt>
              </c:numCache>
            </c:numRef>
          </c:val>
        </c:ser>
        <c:axId val="53138560"/>
        <c:axId val="53140096"/>
      </c:barChart>
      <c:lineChart>
        <c:grouping val="standard"/>
        <c:ser>
          <c:idx val="0"/>
          <c:order val="0"/>
          <c:tx>
            <c:strRef>
              <c:f>Лист1!$A$3</c:f>
              <c:strCache>
                <c:ptCount val="1"/>
                <c:pt idx="0">
                  <c:v>Промышленность</c:v>
                </c:pt>
              </c:strCache>
            </c:strRef>
          </c:tx>
          <c:spPr>
            <a:ln w="28575" cap="rnd">
              <a:solidFill>
                <a:schemeClr val="accent3">
                  <a:shade val="65000"/>
                </a:schemeClr>
              </a:solidFill>
              <a:round/>
            </a:ln>
            <a:effectLst/>
          </c:spPr>
          <c:marker>
            <c:symbol val="none"/>
          </c:marker>
          <c:cat>
            <c:strRef>
              <c:f>Лист1!$B$2:$H$2</c:f>
              <c:strCache>
                <c:ptCount val="7"/>
                <c:pt idx="0">
                  <c:v>2007</c:v>
                </c:pt>
                <c:pt idx="1">
                  <c:v>2008</c:v>
                </c:pt>
                <c:pt idx="2">
                  <c:v>2009</c:v>
                </c:pt>
                <c:pt idx="3">
                  <c:v>2010</c:v>
                </c:pt>
                <c:pt idx="4">
                  <c:v>2011</c:v>
                </c:pt>
                <c:pt idx="5">
                  <c:v>2012</c:v>
                </c:pt>
                <c:pt idx="6">
                  <c:v>2013*</c:v>
                </c:pt>
              </c:strCache>
            </c:strRef>
          </c:cat>
          <c:val>
            <c:numRef>
              <c:f>Лист1!$B$3:$H$3</c:f>
              <c:numCache>
                <c:formatCode>General</c:formatCode>
                <c:ptCount val="7"/>
                <c:pt idx="0">
                  <c:v>116</c:v>
                </c:pt>
                <c:pt idx="1">
                  <c:v>94.1</c:v>
                </c:pt>
                <c:pt idx="2">
                  <c:v>80.099999999999994</c:v>
                </c:pt>
                <c:pt idx="3">
                  <c:v>107.1</c:v>
                </c:pt>
                <c:pt idx="4">
                  <c:v>115.5</c:v>
                </c:pt>
                <c:pt idx="5">
                  <c:v>92.5</c:v>
                </c:pt>
                <c:pt idx="6">
                  <c:v>91.1</c:v>
                </c:pt>
              </c:numCache>
            </c:numRef>
          </c:val>
        </c:ser>
        <c:marker val="1"/>
        <c:axId val="53138560"/>
        <c:axId val="53140096"/>
      </c:lineChart>
      <c:catAx>
        <c:axId val="53138560"/>
        <c:scaling>
          <c:orientation val="minMax"/>
        </c:scaling>
        <c:axPos val="b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140096"/>
        <c:crosses val="autoZero"/>
        <c:auto val="1"/>
        <c:lblAlgn val="ctr"/>
        <c:lblOffset val="100"/>
      </c:catAx>
      <c:valAx>
        <c:axId val="5314009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5313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lrMapOvr bg1="lt1" tx1="dk1" bg2="lt2" tx2="dk2" accent1="accent1" accent2="accent2" accent3="accent3" accent4="accent4" accent5="accent5" accent6="accent6" hlink="hlink" folHlink="folHlink"/>
  <c:chart>
    <c:plotArea>
      <c:layout/>
      <c:barChart>
        <c:barDir val="bar"/>
        <c:grouping val="clustered"/>
        <c:ser>
          <c:idx val="0"/>
          <c:order val="0"/>
          <c:tx>
            <c:strRef>
              <c:f>Лист1!$B$2</c:f>
              <c:strCache>
                <c:ptCount val="1"/>
                <c:pt idx="0">
                  <c:v>2007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Лист1!$B$7:$B$14</c:f>
              <c:numCache>
                <c:formatCode>General</c:formatCode>
                <c:ptCount val="8"/>
                <c:pt idx="0">
                  <c:v>107.1</c:v>
                </c:pt>
                <c:pt idx="1">
                  <c:v>84.7</c:v>
                </c:pt>
                <c:pt idx="2">
                  <c:v>110.4</c:v>
                </c:pt>
                <c:pt idx="3">
                  <c:v>124.7</c:v>
                </c:pt>
                <c:pt idx="4">
                  <c:v>102</c:v>
                </c:pt>
                <c:pt idx="5">
                  <c:v>115.6</c:v>
                </c:pt>
                <c:pt idx="6">
                  <c:v>116.8</c:v>
                </c:pt>
                <c:pt idx="7">
                  <c:v>148.9</c:v>
                </c:pt>
              </c:numCache>
            </c:numRef>
          </c:val>
        </c:ser>
        <c:ser>
          <c:idx val="1"/>
          <c:order val="1"/>
          <c:tx>
            <c:strRef>
              <c:f>Лист1!$C$2</c:f>
              <c:strCache>
                <c:ptCount val="1"/>
                <c:pt idx="0">
                  <c:v>2008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Лист1!$C$7:$C$14</c:f>
              <c:numCache>
                <c:formatCode>General</c:formatCode>
                <c:ptCount val="8"/>
                <c:pt idx="0">
                  <c:v>96.1</c:v>
                </c:pt>
                <c:pt idx="1">
                  <c:v>104.8</c:v>
                </c:pt>
                <c:pt idx="2">
                  <c:v>106.8</c:v>
                </c:pt>
                <c:pt idx="3">
                  <c:v>78.900000000000006</c:v>
                </c:pt>
                <c:pt idx="4">
                  <c:v>97.2</c:v>
                </c:pt>
                <c:pt idx="5">
                  <c:v>112</c:v>
                </c:pt>
                <c:pt idx="6">
                  <c:v>104.4</c:v>
                </c:pt>
                <c:pt idx="7">
                  <c:v>116.6</c:v>
                </c:pt>
              </c:numCache>
            </c:numRef>
          </c:val>
        </c:ser>
        <c:ser>
          <c:idx val="2"/>
          <c:order val="2"/>
          <c:tx>
            <c:strRef>
              <c:f>Лист1!$D$2</c:f>
              <c:strCache>
                <c:ptCount val="1"/>
                <c:pt idx="0">
                  <c:v>2009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Лист1!$D$7:$D$14</c:f>
              <c:numCache>
                <c:formatCode>General</c:formatCode>
                <c:ptCount val="8"/>
                <c:pt idx="0">
                  <c:v>95.4</c:v>
                </c:pt>
                <c:pt idx="1">
                  <c:v>68.8</c:v>
                </c:pt>
                <c:pt idx="2">
                  <c:v>79.2</c:v>
                </c:pt>
                <c:pt idx="3">
                  <c:v>104.1</c:v>
                </c:pt>
                <c:pt idx="4">
                  <c:v>59.8</c:v>
                </c:pt>
                <c:pt idx="5">
                  <c:v>54.1</c:v>
                </c:pt>
                <c:pt idx="6">
                  <c:v>73</c:v>
                </c:pt>
                <c:pt idx="7">
                  <c:v>52.4</c:v>
                </c:pt>
              </c:numCache>
            </c:numRef>
          </c:val>
        </c:ser>
        <c:ser>
          <c:idx val="3"/>
          <c:order val="3"/>
          <c:tx>
            <c:strRef>
              <c:f>Лист1!$E$2</c:f>
              <c:strCache>
                <c:ptCount val="1"/>
                <c:pt idx="0">
                  <c:v>2010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Лист1!$E$7:$E$14</c:f>
              <c:numCache>
                <c:formatCode>General</c:formatCode>
                <c:ptCount val="8"/>
                <c:pt idx="0">
                  <c:v>83.1</c:v>
                </c:pt>
                <c:pt idx="1">
                  <c:v>129.69999999999999</c:v>
                </c:pt>
                <c:pt idx="2">
                  <c:v>89.7</c:v>
                </c:pt>
                <c:pt idx="3">
                  <c:v>93.3</c:v>
                </c:pt>
                <c:pt idx="4">
                  <c:v>116.7</c:v>
                </c:pt>
                <c:pt idx="5">
                  <c:v>116.5</c:v>
                </c:pt>
                <c:pt idx="6">
                  <c:v>86.6</c:v>
                </c:pt>
                <c:pt idx="7">
                  <c:v>212.4</c:v>
                </c:pt>
              </c:numCache>
            </c:numRef>
          </c:val>
        </c:ser>
        <c:ser>
          <c:idx val="4"/>
          <c:order val="4"/>
          <c:tx>
            <c:strRef>
              <c:f>Лист1!$F$2</c:f>
              <c:strCache>
                <c:ptCount val="1"/>
                <c:pt idx="0">
                  <c:v>2011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Лист1!$F$7:$F$14</c:f>
              <c:numCache>
                <c:formatCode>General</c:formatCode>
                <c:ptCount val="8"/>
                <c:pt idx="0">
                  <c:v>118.5</c:v>
                </c:pt>
                <c:pt idx="1">
                  <c:v>102.4</c:v>
                </c:pt>
                <c:pt idx="2">
                  <c:v>107.7</c:v>
                </c:pt>
                <c:pt idx="3">
                  <c:v>106.4</c:v>
                </c:pt>
                <c:pt idx="4">
                  <c:v>132.1</c:v>
                </c:pt>
                <c:pt idx="5">
                  <c:v>137.6</c:v>
                </c:pt>
                <c:pt idx="6">
                  <c:v>130.19999999999999</c:v>
                </c:pt>
                <c:pt idx="7">
                  <c:v>212.4</c:v>
                </c:pt>
              </c:numCache>
            </c:numRef>
          </c:val>
        </c:ser>
        <c:ser>
          <c:idx val="5"/>
          <c:order val="5"/>
          <c:tx>
            <c:strRef>
              <c:f>Лист1!$G$2</c:f>
              <c:strCache>
                <c:ptCount val="1"/>
                <c:pt idx="0">
                  <c:v>2012</c:v>
                </c:pt>
              </c:strCache>
            </c:strRef>
          </c:tx>
          <c:spPr>
            <a:solidFill>
              <a:schemeClr val="dk1">
                <a:tint val="600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Лист1!$G$7:$G$14</c:f>
              <c:numCache>
                <c:formatCode>General</c:formatCode>
                <c:ptCount val="8"/>
                <c:pt idx="0">
                  <c:v>91.3</c:v>
                </c:pt>
                <c:pt idx="1">
                  <c:v>94.2</c:v>
                </c:pt>
                <c:pt idx="2">
                  <c:v>68.099999999999994</c:v>
                </c:pt>
                <c:pt idx="3">
                  <c:v>91</c:v>
                </c:pt>
                <c:pt idx="4">
                  <c:v>97.9</c:v>
                </c:pt>
                <c:pt idx="5">
                  <c:v>68.099999999999994</c:v>
                </c:pt>
                <c:pt idx="6">
                  <c:v>102</c:v>
                </c:pt>
                <c:pt idx="7">
                  <c:v>102.4</c:v>
                </c:pt>
              </c:numCache>
            </c:numRef>
          </c:val>
        </c:ser>
        <c:ser>
          <c:idx val="6"/>
          <c:order val="6"/>
          <c:tx>
            <c:strRef>
              <c:f>Лист1!$H$2</c:f>
              <c:strCache>
                <c:ptCount val="1"/>
                <c:pt idx="0">
                  <c:v>2013*</c:v>
                </c:pt>
              </c:strCache>
            </c:strRef>
          </c:tx>
          <c:spPr>
            <a:solidFill>
              <a:schemeClr val="dk1">
                <a:tint val="80000"/>
              </a:schemeClr>
            </a:solidFill>
            <a:ln>
              <a:noFill/>
            </a:ln>
            <a:effectLst/>
          </c:spPr>
          <c:cat>
            <c:strRef>
              <c:f>Лист1!$A$7:$A$14</c:f>
              <c:strCache>
                <c:ptCount val="8"/>
                <c:pt idx="0">
                  <c:v>производство пищевых продуктов и табачных изделий</c:v>
                </c:pt>
                <c:pt idx="1">
                  <c:v>текстильное производство</c:v>
                </c:pt>
                <c:pt idx="2">
                  <c:v>изготовление изделий из древесины, производство бумаги </c:v>
                </c:pt>
                <c:pt idx="3">
                  <c:v>производство кокса и продукции нефтепереработки</c:v>
                </c:pt>
                <c:pt idx="4">
                  <c:v>производство химических веществ и химической промышленность</c:v>
                </c:pt>
                <c:pt idx="5">
                  <c:v>производство резиновых и пластмассовых изделий</c:v>
                </c:pt>
                <c:pt idx="6">
                  <c:v>металлургическое производство </c:v>
                </c:pt>
                <c:pt idx="7">
                  <c:v>машиностроение</c:v>
                </c:pt>
              </c:strCache>
            </c:strRef>
          </c:cat>
          <c:val>
            <c:numRef>
              <c:f>Лист1!$H$7:$H$14</c:f>
              <c:numCache>
                <c:formatCode>General</c:formatCode>
                <c:ptCount val="8"/>
                <c:pt idx="0">
                  <c:v>98.5</c:v>
                </c:pt>
                <c:pt idx="1">
                  <c:v>94.6</c:v>
                </c:pt>
                <c:pt idx="2">
                  <c:v>106.7</c:v>
                </c:pt>
                <c:pt idx="3">
                  <c:v>85.6</c:v>
                </c:pt>
                <c:pt idx="4">
                  <c:v>82.4</c:v>
                </c:pt>
                <c:pt idx="5">
                  <c:v>69.8</c:v>
                </c:pt>
                <c:pt idx="6">
                  <c:v>91.2</c:v>
                </c:pt>
                <c:pt idx="7">
                  <c:v>92.8</c:v>
                </c:pt>
              </c:numCache>
            </c:numRef>
          </c:val>
        </c:ser>
        <c:gapWidth val="182"/>
        <c:axId val="73394816"/>
        <c:axId val="85344640"/>
      </c:barChart>
      <c:catAx>
        <c:axId val="73394816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1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5344640"/>
        <c:crosses val="autoZero"/>
        <c:auto val="1"/>
        <c:lblAlgn val="ctr"/>
        <c:lblOffset val="100"/>
      </c:catAx>
      <c:valAx>
        <c:axId val="85344640"/>
        <c:scaling>
          <c:orientation val="minMax"/>
        </c:scaling>
        <c:axPos val="b"/>
        <c:majorGridlines>
          <c:spPr>
            <a:ln w="951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99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3394816"/>
        <c:crosses val="autoZero"/>
        <c:crossBetween val="between"/>
      </c:valAx>
      <c:spPr>
        <a:noFill/>
        <a:ln w="25373">
          <a:noFill/>
        </a:ln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99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1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Лист1!$A$2</c:f>
              <c:strCache>
                <c:ptCount val="1"/>
                <c:pt idx="0">
                  <c:v>Объем реализованной промышленной продукции, млн. руб.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</c:spPr>
          <c:cat>
            <c:numRef>
              <c:f>Лист1!$C$1:$J$1</c:f>
              <c:numCache>
                <c:formatCode>General</c:formatCode>
                <c:ptCount val="8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</c:numCache>
            </c:numRef>
          </c:cat>
          <c:val>
            <c:numRef>
              <c:f>Лист1!$C$2:$J$2</c:f>
              <c:numCache>
                <c:formatCode>General</c:formatCode>
                <c:ptCount val="8"/>
                <c:pt idx="0">
                  <c:v>22844</c:v>
                </c:pt>
                <c:pt idx="1">
                  <c:v>44858</c:v>
                </c:pt>
                <c:pt idx="2">
                  <c:v>43127</c:v>
                </c:pt>
                <c:pt idx="3">
                  <c:v>93286</c:v>
                </c:pt>
                <c:pt idx="4">
                  <c:v>111135</c:v>
                </c:pt>
                <c:pt idx="5">
                  <c:v>77344</c:v>
                </c:pt>
                <c:pt idx="6">
                  <c:v>80093</c:v>
                </c:pt>
                <c:pt idx="7">
                  <c:v>144119</c:v>
                </c:pt>
              </c:numCache>
            </c:numRef>
          </c:val>
        </c:ser>
        <c:ser>
          <c:idx val="1"/>
          <c:order val="1"/>
          <c:tx>
            <c:strRef>
              <c:f>Лист1!$A$7</c:f>
              <c:strCache>
                <c:ptCount val="1"/>
                <c:pt idx="0">
                  <c:v>Среднемесячная  номинальная зарплата в промышленности, руб.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</c:spPr>
          <c:val>
            <c:numRef>
              <c:f>Лист1!$C$7:$J$7</c:f>
              <c:numCache>
                <c:formatCode>General</c:formatCode>
                <c:ptCount val="8"/>
                <c:pt idx="0">
                  <c:v>5376</c:v>
                </c:pt>
                <c:pt idx="1">
                  <c:v>9380</c:v>
                </c:pt>
                <c:pt idx="2">
                  <c:v>10213</c:v>
                </c:pt>
                <c:pt idx="3">
                  <c:v>12284</c:v>
                </c:pt>
                <c:pt idx="4">
                  <c:v>14081</c:v>
                </c:pt>
                <c:pt idx="5">
                  <c:v>16849</c:v>
                </c:pt>
                <c:pt idx="6">
                  <c:v>20353</c:v>
                </c:pt>
                <c:pt idx="7">
                  <c:v>43655</c:v>
                </c:pt>
              </c:numCache>
            </c:numRef>
          </c:val>
        </c:ser>
        <c:gapWidth val="219"/>
        <c:overlap val="-27"/>
        <c:axId val="88699264"/>
        <c:axId val="88700800"/>
      </c:barChart>
      <c:catAx>
        <c:axId val="88699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00800"/>
        <c:crosses val="autoZero"/>
        <c:auto val="1"/>
        <c:lblAlgn val="ctr"/>
        <c:lblOffset val="100"/>
      </c:catAx>
      <c:valAx>
        <c:axId val="88700800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6992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 algn="just">
        <a:defRPr/>
      </a:pPr>
      <a:endParaRPr lang="ru-RU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5"/>
  <c:chart>
    <c:autoTitleDeleted val="1"/>
    <c:plotArea>
      <c:layout/>
      <c:lineChart>
        <c:grouping val="standard"/>
        <c:ser>
          <c:idx val="0"/>
          <c:order val="0"/>
          <c:tx>
            <c:strRef>
              <c:f>Лист1!$A$5</c:f>
              <c:strCache>
                <c:ptCount val="1"/>
                <c:pt idx="0">
                  <c:v>Среднесписочная численность штатных работников в промышленности, тыс. чел.</c:v>
                </c:pt>
              </c:strCache>
            </c:strRef>
          </c:tx>
          <c:spPr>
            <a:ln w="28575" cap="rnd">
              <a:solidFill>
                <a:schemeClr val="accent3">
                  <a:shade val="76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shade val="76000"/>
                </a:schemeClr>
              </a:solidFill>
              <a:ln w="9525">
                <a:solidFill>
                  <a:schemeClr val="accent3">
                    <a:shade val="76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Лист1!$B$5:$J$5</c:f>
              <c:numCache>
                <c:formatCode>General</c:formatCode>
                <c:ptCount val="9"/>
                <c:pt idx="0">
                  <c:v>55.6</c:v>
                </c:pt>
                <c:pt idx="1">
                  <c:v>80.900000000000006</c:v>
                </c:pt>
                <c:pt idx="2">
                  <c:v>69.7</c:v>
                </c:pt>
                <c:pt idx="3">
                  <c:v>74.400000000000006</c:v>
                </c:pt>
                <c:pt idx="4">
                  <c:v>90.3</c:v>
                </c:pt>
                <c:pt idx="5">
                  <c:v>86.3</c:v>
                </c:pt>
                <c:pt idx="6">
                  <c:v>77.8</c:v>
                </c:pt>
                <c:pt idx="7">
                  <c:v>64.5</c:v>
                </c:pt>
                <c:pt idx="8">
                  <c:v>60.3</c:v>
                </c:pt>
              </c:numCache>
            </c:numRef>
          </c:val>
        </c:ser>
        <c:ser>
          <c:idx val="1"/>
          <c:order val="1"/>
          <c:tx>
            <c:strRef>
              <c:f>Лист1!$A$6</c:f>
              <c:strCache>
                <c:ptCount val="1"/>
                <c:pt idx="0">
                  <c:v>Доля занятых в перерабатывающей промышленности к общей занятости в промышленности, %</c:v>
                </c:pt>
              </c:strCache>
            </c:strRef>
          </c:tx>
          <c:spPr>
            <a:ln w="28575" cap="rnd">
              <a:solidFill>
                <a:schemeClr val="accent3">
                  <a:tint val="77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>
                  <a:tint val="77000"/>
                </a:schemeClr>
              </a:solidFill>
              <a:ln w="9525">
                <a:solidFill>
                  <a:schemeClr val="accent3">
                    <a:tint val="77000"/>
                  </a:schemeClr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Лист1!$B$6:$J$6</c:f>
              <c:numCache>
                <c:formatCode>General</c:formatCode>
                <c:ptCount val="9"/>
                <c:pt idx="0">
                  <c:v>2.7</c:v>
                </c:pt>
                <c:pt idx="1">
                  <c:v>42.6</c:v>
                </c:pt>
                <c:pt idx="2">
                  <c:v>26.3</c:v>
                </c:pt>
                <c:pt idx="3">
                  <c:v>35.6</c:v>
                </c:pt>
                <c:pt idx="4">
                  <c:v>40.9</c:v>
                </c:pt>
                <c:pt idx="5">
                  <c:v>39.800000000000004</c:v>
                </c:pt>
                <c:pt idx="6">
                  <c:v>38</c:v>
                </c:pt>
                <c:pt idx="7">
                  <c:v>32.4</c:v>
                </c:pt>
                <c:pt idx="8">
                  <c:v>44.9</c:v>
                </c:pt>
              </c:numCache>
            </c:numRef>
          </c:val>
        </c:ser>
        <c:marker val="1"/>
        <c:axId val="88710144"/>
        <c:axId val="97436416"/>
      </c:lineChart>
      <c:catAx>
        <c:axId val="8871014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436416"/>
        <c:crosses val="autoZero"/>
        <c:auto val="1"/>
        <c:lblAlgn val="ctr"/>
        <c:lblOffset val="100"/>
      </c:catAx>
      <c:valAx>
        <c:axId val="97436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8710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8.5647636586863182E-2"/>
          <c:y val="0.79337390397178276"/>
          <c:w val="0.8876365868631062"/>
          <c:h val="0.18138950296828038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percentStacked"/>
        <c:ser>
          <c:idx val="0"/>
          <c:order val="0"/>
          <c:tx>
            <c:strRef>
              <c:f>Лист4!$A$2</c:f>
              <c:strCache>
                <c:ptCount val="1"/>
                <c:pt idx="0">
                  <c:v>Поставка электроэнергии, газа, пара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Лист4!$B$2:$J$2</c:f>
              <c:numCache>
                <c:formatCode>General</c:formatCode>
                <c:ptCount val="9"/>
                <c:pt idx="0">
                  <c:v>12.5</c:v>
                </c:pt>
                <c:pt idx="1">
                  <c:v>16.8</c:v>
                </c:pt>
                <c:pt idx="2">
                  <c:v>26.8</c:v>
                </c:pt>
                <c:pt idx="3">
                  <c:v>34.6</c:v>
                </c:pt>
                <c:pt idx="4">
                  <c:v>22</c:v>
                </c:pt>
                <c:pt idx="5">
                  <c:v>16.7</c:v>
                </c:pt>
                <c:pt idx="6">
                  <c:v>17.600000000000001</c:v>
                </c:pt>
                <c:pt idx="7">
                  <c:v>21.9</c:v>
                </c:pt>
                <c:pt idx="8">
                  <c:v>17.5</c:v>
                </c:pt>
              </c:numCache>
            </c:numRef>
          </c:val>
        </c:ser>
        <c:ser>
          <c:idx val="1"/>
          <c:order val="1"/>
          <c:tx>
            <c:strRef>
              <c:f>Лист4!$A$3</c:f>
              <c:strCache>
                <c:ptCount val="1"/>
                <c:pt idx="0">
                  <c:v>Водоснабжение, обращение с отходами 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Лист4!$B$3:$J$3</c:f>
              <c:numCache>
                <c:formatCode>General</c:formatCode>
                <c:ptCount val="9"/>
                <c:pt idx="0">
                  <c:v>2.7</c:v>
                </c:pt>
                <c:pt idx="1">
                  <c:v>3.1</c:v>
                </c:pt>
                <c:pt idx="2">
                  <c:v>2.1</c:v>
                </c:pt>
                <c:pt idx="3">
                  <c:v>2.4</c:v>
                </c:pt>
                <c:pt idx="4">
                  <c:v>1.2</c:v>
                </c:pt>
                <c:pt idx="5">
                  <c:v>1.1000000000000001</c:v>
                </c:pt>
                <c:pt idx="6">
                  <c:v>2.2000000000000002</c:v>
                </c:pt>
                <c:pt idx="7">
                  <c:v>2.9</c:v>
                </c:pt>
                <c:pt idx="8">
                  <c:v>1.7</c:v>
                </c:pt>
              </c:numCache>
            </c:numRef>
          </c:val>
        </c:ser>
        <c:ser>
          <c:idx val="2"/>
          <c:order val="2"/>
          <c:tx>
            <c:strRef>
              <c:f>Лист4!$A$4</c:f>
              <c:strCache>
                <c:ptCount val="1"/>
                <c:pt idx="0">
                  <c:v>Добыв. и перерабат. пром-ть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Лист4!$B$4:$J$4</c:f>
              <c:numCache>
                <c:formatCode>General</c:formatCode>
                <c:ptCount val="9"/>
                <c:pt idx="0">
                  <c:v>84.8</c:v>
                </c:pt>
                <c:pt idx="1">
                  <c:v>80.099999999999994</c:v>
                </c:pt>
                <c:pt idx="2">
                  <c:v>71.099999999999994</c:v>
                </c:pt>
                <c:pt idx="3">
                  <c:v>63</c:v>
                </c:pt>
                <c:pt idx="4">
                  <c:v>76.900000000000006</c:v>
                </c:pt>
                <c:pt idx="5">
                  <c:v>82.2</c:v>
                </c:pt>
                <c:pt idx="6">
                  <c:v>80.099999999999994</c:v>
                </c:pt>
                <c:pt idx="7">
                  <c:v>75.2</c:v>
                </c:pt>
                <c:pt idx="8">
                  <c:v>80.8</c:v>
                </c:pt>
              </c:numCache>
            </c:numRef>
          </c:val>
        </c:ser>
        <c:shape val="box"/>
        <c:axId val="104060800"/>
        <c:axId val="104062336"/>
        <c:axId val="0"/>
      </c:bar3DChart>
      <c:catAx>
        <c:axId val="10406080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062336"/>
        <c:crosses val="autoZero"/>
        <c:auto val="1"/>
        <c:lblAlgn val="ctr"/>
        <c:lblOffset val="100"/>
      </c:catAx>
      <c:valAx>
        <c:axId val="10406233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40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5.2999743191305064E-2"/>
          <c:y val="7.7669902912621394E-2"/>
          <c:w val="0.92267742651571583"/>
          <c:h val="0.64153878823399513"/>
        </c:manualLayout>
      </c:layout>
      <c:bar3DChart>
        <c:barDir val="col"/>
        <c:grouping val="standard"/>
        <c:ser>
          <c:idx val="0"/>
          <c:order val="0"/>
          <c:tx>
            <c:v>Добывающая промышленность</c:v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Лист4!$B$5:$J$5</c:f>
              <c:numCache>
                <c:formatCode>General</c:formatCode>
                <c:ptCount val="9"/>
                <c:pt idx="0">
                  <c:v>21</c:v>
                </c:pt>
                <c:pt idx="1">
                  <c:v>45.1</c:v>
                </c:pt>
                <c:pt idx="2">
                  <c:v>40.700000000000003</c:v>
                </c:pt>
                <c:pt idx="3">
                  <c:v>29.3</c:v>
                </c:pt>
                <c:pt idx="4">
                  <c:v>20.8</c:v>
                </c:pt>
                <c:pt idx="5">
                  <c:v>13</c:v>
                </c:pt>
                <c:pt idx="6">
                  <c:v>19</c:v>
                </c:pt>
                <c:pt idx="7">
                  <c:v>25.2</c:v>
                </c:pt>
                <c:pt idx="8">
                  <c:v>12.6</c:v>
                </c:pt>
              </c:numCache>
            </c:numRef>
          </c:val>
        </c:ser>
        <c:ser>
          <c:idx val="2"/>
          <c:order val="1"/>
          <c:tx>
            <c:v>Перерабатывающая промышленность</c:v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Лист4!$B$8:$J$8</c:f>
              <c:numCache>
                <c:formatCode>General</c:formatCode>
                <c:ptCount val="9"/>
                <c:pt idx="0">
                  <c:v>63.8</c:v>
                </c:pt>
                <c:pt idx="1">
                  <c:v>35</c:v>
                </c:pt>
                <c:pt idx="2">
                  <c:v>30.4</c:v>
                </c:pt>
                <c:pt idx="3">
                  <c:v>33.700000000000003</c:v>
                </c:pt>
                <c:pt idx="4">
                  <c:v>56.1</c:v>
                </c:pt>
                <c:pt idx="5">
                  <c:v>69.2</c:v>
                </c:pt>
                <c:pt idx="6">
                  <c:v>61.1</c:v>
                </c:pt>
                <c:pt idx="7">
                  <c:v>50</c:v>
                </c:pt>
                <c:pt idx="8">
                  <c:v>68.2</c:v>
                </c:pt>
              </c:numCache>
            </c:numRef>
          </c:val>
        </c:ser>
        <c:shape val="box"/>
        <c:axId val="238202880"/>
        <c:axId val="238204416"/>
        <c:axId val="97448832"/>
      </c:bar3DChart>
      <c:catAx>
        <c:axId val="23820288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8204416"/>
        <c:crosses val="autoZero"/>
        <c:auto val="1"/>
        <c:lblAlgn val="ctr"/>
        <c:lblOffset val="100"/>
      </c:catAx>
      <c:valAx>
        <c:axId val="23820441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38202880"/>
        <c:crosses val="autoZero"/>
        <c:crossBetween val="between"/>
      </c:valAx>
      <c:serAx>
        <c:axId val="97448832"/>
        <c:scaling>
          <c:orientation val="minMax"/>
        </c:scaling>
        <c:delete val="1"/>
        <c:axPos val="b"/>
        <c:tickLblPos val="none"/>
        <c:crossAx val="238204416"/>
        <c:crosses val="autoZero"/>
      </c:ser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173225734842847"/>
          <c:y val="0.79341912358042621"/>
          <c:w val="0.76535485303143114"/>
          <c:h val="7.2816043625614807E-2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1"/>
  <c:chart>
    <c:autoTitleDeleted val="1"/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2563890040060822E-2"/>
          <c:y val="5.0925925925925923E-2"/>
          <c:w val="0.88831330294239508"/>
          <c:h val="0.60613954505686751"/>
        </c:manualLayout>
      </c:layout>
      <c:bar3DChart>
        <c:barDir val="bar"/>
        <c:grouping val="stacked"/>
        <c:ser>
          <c:idx val="0"/>
          <c:order val="0"/>
          <c:tx>
            <c:strRef>
              <c:f>Лист4!$A$9</c:f>
              <c:strCache>
                <c:ptCount val="1"/>
                <c:pt idx="0">
                  <c:v>металлур. произ-во 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Лист4!$B$9:$J$9</c:f>
              <c:numCache>
                <c:formatCode>General</c:formatCode>
                <c:ptCount val="9"/>
                <c:pt idx="0">
                  <c:v>61.5</c:v>
                </c:pt>
                <c:pt idx="1">
                  <c:v>8.9</c:v>
                </c:pt>
                <c:pt idx="2">
                  <c:v>13.2</c:v>
                </c:pt>
                <c:pt idx="3">
                  <c:v>14.3</c:v>
                </c:pt>
                <c:pt idx="4">
                  <c:v>69.3</c:v>
                </c:pt>
                <c:pt idx="5">
                  <c:v>72.400000000000006</c:v>
                </c:pt>
                <c:pt idx="6">
                  <c:v>54.1</c:v>
                </c:pt>
                <c:pt idx="7">
                  <c:v>34</c:v>
                </c:pt>
                <c:pt idx="8">
                  <c:v>64.900000000000006</c:v>
                </c:pt>
              </c:numCache>
            </c:numRef>
          </c:val>
        </c:ser>
        <c:ser>
          <c:idx val="1"/>
          <c:order val="1"/>
          <c:tx>
            <c:v>машиностроение</c:v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Лист4!$B$10:$J$10</c:f>
              <c:numCache>
                <c:formatCode>General</c:formatCode>
                <c:ptCount val="9"/>
                <c:pt idx="0">
                  <c:v>18.5</c:v>
                </c:pt>
                <c:pt idx="1">
                  <c:v>35.5</c:v>
                </c:pt>
                <c:pt idx="2">
                  <c:v>21.8</c:v>
                </c:pt>
                <c:pt idx="3">
                  <c:v>21.1</c:v>
                </c:pt>
                <c:pt idx="4">
                  <c:v>8.5</c:v>
                </c:pt>
                <c:pt idx="5">
                  <c:v>7.8</c:v>
                </c:pt>
                <c:pt idx="6">
                  <c:v>9.6</c:v>
                </c:pt>
                <c:pt idx="7">
                  <c:v>14</c:v>
                </c:pt>
                <c:pt idx="8">
                  <c:v>6.6</c:v>
                </c:pt>
              </c:numCache>
            </c:numRef>
          </c:val>
        </c:ser>
        <c:ser>
          <c:idx val="2"/>
          <c:order val="2"/>
          <c:tx>
            <c:strRef>
              <c:f>Лист4!$A$11</c:f>
              <c:strCache>
                <c:ptCount val="1"/>
                <c:pt idx="0">
                  <c:v>произв-во пищ. продуктов</c:v>
                </c:pt>
              </c:strCache>
            </c:strRef>
          </c:tx>
          <c:spPr>
            <a:solidFill>
              <a:schemeClr val="dk1">
                <a:tint val="7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Лист4!$B$11:$J$11</c:f>
              <c:numCache>
                <c:formatCode>General</c:formatCode>
                <c:ptCount val="9"/>
                <c:pt idx="0">
                  <c:v>6.4</c:v>
                </c:pt>
                <c:pt idx="1">
                  <c:v>46</c:v>
                </c:pt>
                <c:pt idx="2">
                  <c:v>51.1</c:v>
                </c:pt>
                <c:pt idx="3">
                  <c:v>51.5</c:v>
                </c:pt>
                <c:pt idx="4">
                  <c:v>17.100000000000001</c:v>
                </c:pt>
                <c:pt idx="5">
                  <c:v>15</c:v>
                </c:pt>
                <c:pt idx="6">
                  <c:v>28.7</c:v>
                </c:pt>
                <c:pt idx="7">
                  <c:v>37.200000000000003</c:v>
                </c:pt>
                <c:pt idx="8">
                  <c:v>22.5</c:v>
                </c:pt>
              </c:numCache>
            </c:numRef>
          </c:val>
        </c:ser>
        <c:ser>
          <c:idx val="3"/>
          <c:order val="3"/>
          <c:tx>
            <c:strRef>
              <c:f>Лист4!$A$12</c:f>
              <c:strCache>
                <c:ptCount val="1"/>
                <c:pt idx="0">
                  <c:v>текстил. произ-во</c:v>
                </c:pt>
              </c:strCache>
            </c:strRef>
          </c:tx>
          <c:spPr>
            <a:solidFill>
              <a:schemeClr val="dk1">
                <a:tint val="985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Лист4!$B$12:$J$12</c:f>
              <c:numCache>
                <c:formatCode>General</c:formatCode>
                <c:ptCount val="9"/>
                <c:pt idx="0">
                  <c:v>0.9</c:v>
                </c:pt>
                <c:pt idx="1">
                  <c:v>4.5</c:v>
                </c:pt>
                <c:pt idx="2">
                  <c:v>4.2</c:v>
                </c:pt>
                <c:pt idx="3">
                  <c:v>3.3</c:v>
                </c:pt>
                <c:pt idx="4">
                  <c:v>1</c:v>
                </c:pt>
                <c:pt idx="5">
                  <c:v>1</c:v>
                </c:pt>
                <c:pt idx="6">
                  <c:v>2</c:v>
                </c:pt>
                <c:pt idx="7">
                  <c:v>3.4</c:v>
                </c:pt>
                <c:pt idx="8">
                  <c:v>1.4</c:v>
                </c:pt>
              </c:numCache>
            </c:numRef>
          </c:val>
        </c:ser>
        <c:ser>
          <c:idx val="4"/>
          <c:order val="4"/>
          <c:tx>
            <c:strRef>
              <c:f>Лист4!$A$13</c:f>
              <c:strCache>
                <c:ptCount val="1"/>
                <c:pt idx="0">
                  <c:v>изготов.  из древесины</c:v>
                </c:pt>
              </c:strCache>
            </c:strRef>
          </c:tx>
          <c:spPr>
            <a:solidFill>
              <a:schemeClr val="dk1">
                <a:tint val="30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Лист4!$B$13:$J$13</c:f>
              <c:numCache>
                <c:formatCode>General</c:formatCode>
                <c:ptCount val="9"/>
                <c:pt idx="0">
                  <c:v>0.2</c:v>
                </c:pt>
                <c:pt idx="1">
                  <c:v>0.60000000000000031</c:v>
                </c:pt>
                <c:pt idx="2">
                  <c:v>1.2</c:v>
                </c:pt>
                <c:pt idx="3">
                  <c:v>1.7</c:v>
                </c:pt>
                <c:pt idx="4">
                  <c:v>0.60000000000000031</c:v>
                </c:pt>
                <c:pt idx="5">
                  <c:v>0.5</c:v>
                </c:pt>
                <c:pt idx="6">
                  <c:v>1</c:v>
                </c:pt>
                <c:pt idx="7">
                  <c:v>1.5</c:v>
                </c:pt>
                <c:pt idx="8">
                  <c:v>0.8</c:v>
                </c:pt>
              </c:numCache>
            </c:numRef>
          </c:val>
        </c:ser>
        <c:ser>
          <c:idx val="5"/>
          <c:order val="5"/>
          <c:tx>
            <c:strRef>
              <c:f>Лист4!$A$14</c:f>
              <c:strCache>
                <c:ptCount val="1"/>
                <c:pt idx="0">
                  <c:v>произв-во химической продукции</c:v>
                </c:pt>
              </c:strCache>
            </c:strRef>
          </c:tx>
          <c:spPr>
            <a:solidFill>
              <a:schemeClr val="dk1">
                <a:tint val="60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Лист4!$B$14:$J$14</c:f>
              <c:numCache>
                <c:formatCode>General</c:formatCode>
                <c:ptCount val="9"/>
                <c:pt idx="0">
                  <c:v>2.2999999999999998</c:v>
                </c:pt>
                <c:pt idx="1">
                  <c:v>0.30000000000000016</c:v>
                </c:pt>
                <c:pt idx="2">
                  <c:v>1.3</c:v>
                </c:pt>
                <c:pt idx="3">
                  <c:v>1.2</c:v>
                </c:pt>
                <c:pt idx="4">
                  <c:v>0.70000000000000029</c:v>
                </c:pt>
                <c:pt idx="5">
                  <c:v>0.8</c:v>
                </c:pt>
                <c:pt idx="6">
                  <c:v>0.70000000000000029</c:v>
                </c:pt>
                <c:pt idx="7">
                  <c:v>0.9</c:v>
                </c:pt>
                <c:pt idx="8">
                  <c:v>0.70000000000000029</c:v>
                </c:pt>
              </c:numCache>
            </c:numRef>
          </c:val>
        </c:ser>
        <c:ser>
          <c:idx val="6"/>
          <c:order val="6"/>
          <c:tx>
            <c:v>фармацевтическое производство</c:v>
          </c:tx>
          <c:spPr>
            <a:solidFill>
              <a:schemeClr val="dk1">
                <a:tint val="80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Лист4!$B$15:$J$15</c:f>
              <c:numCache>
                <c:formatCode>General</c:formatCode>
                <c:ptCount val="9"/>
                <c:pt idx="0">
                  <c:v>0.4</c:v>
                </c:pt>
                <c:pt idx="1">
                  <c:v>0.4</c:v>
                </c:pt>
                <c:pt idx="2">
                  <c:v>0.5</c:v>
                </c:pt>
                <c:pt idx="3">
                  <c:v>0.5</c:v>
                </c:pt>
                <c:pt idx="4">
                  <c:v>0.2</c:v>
                </c:pt>
                <c:pt idx="5">
                  <c:v>0.2</c:v>
                </c:pt>
                <c:pt idx="6">
                  <c:v>0.4</c:v>
                </c:pt>
                <c:pt idx="7">
                  <c:v>0.5</c:v>
                </c:pt>
                <c:pt idx="8">
                  <c:v>0.30000000000000016</c:v>
                </c:pt>
              </c:numCache>
            </c:numRef>
          </c:val>
        </c:ser>
        <c:ser>
          <c:idx val="7"/>
          <c:order val="7"/>
          <c:tx>
            <c:strRef>
              <c:f>Лист4!$A$17</c:f>
              <c:strCache>
                <c:ptCount val="1"/>
                <c:pt idx="0">
                  <c:v>произв-во резин.и пластм. изд.</c:v>
                </c:pt>
              </c:strCache>
            </c:strRef>
          </c:tx>
          <c:spPr>
            <a:solidFill>
              <a:schemeClr val="dk1">
                <a:tint val="885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Лист4!$B$16:$J$16</c:f>
              <c:numCache>
                <c:formatCode>General</c:formatCode>
                <c:ptCount val="9"/>
              </c:numCache>
            </c:numRef>
          </c:val>
        </c:ser>
        <c:ser>
          <c:idx val="8"/>
          <c:order val="8"/>
          <c:tx>
            <c:strRef>
              <c:f>Лист4!$A$19</c:f>
              <c:strCache>
                <c:ptCount val="1"/>
                <c:pt idx="0">
                  <c:v>прочие</c:v>
                </c:pt>
              </c:strCache>
            </c:strRef>
          </c:tx>
          <c:spPr>
            <a:solidFill>
              <a:schemeClr val="dk1">
                <a:tint val="55000"/>
              </a:schemeClr>
            </a:solidFill>
            <a:ln>
              <a:noFill/>
            </a:ln>
            <a:effectLst/>
            <a:sp3d/>
          </c:spPr>
          <c:cat>
            <c:numRef>
              <c:f>Лист4!$B$1:$J$1</c:f>
              <c:numCache>
                <c:formatCode>General</c:formatCode>
                <c:ptCount val="9"/>
                <c:pt idx="0">
                  <c:v>2014</c:v>
                </c:pt>
                <c:pt idx="1">
                  <c:v>2015</c:v>
                </c:pt>
                <c:pt idx="2">
                  <c:v>2016</c:v>
                </c:pt>
                <c:pt idx="3">
                  <c:v>2017</c:v>
                </c:pt>
                <c:pt idx="4">
                  <c:v>2018</c:v>
                </c:pt>
                <c:pt idx="5">
                  <c:v>2019</c:v>
                </c:pt>
                <c:pt idx="6">
                  <c:v>2020</c:v>
                </c:pt>
                <c:pt idx="7">
                  <c:v>2021</c:v>
                </c:pt>
                <c:pt idx="8">
                  <c:v>2022</c:v>
                </c:pt>
              </c:numCache>
            </c:numRef>
          </c:cat>
          <c:val>
            <c:numRef>
              <c:f>Лист4!$B$19:$J$19</c:f>
              <c:numCache>
                <c:formatCode>General</c:formatCode>
                <c:ptCount val="9"/>
                <c:pt idx="0">
                  <c:v>3.5</c:v>
                </c:pt>
                <c:pt idx="1">
                  <c:v>1.5</c:v>
                </c:pt>
                <c:pt idx="2">
                  <c:v>2.2999999999999998</c:v>
                </c:pt>
                <c:pt idx="3">
                  <c:v>2.2999999999999998</c:v>
                </c:pt>
                <c:pt idx="4">
                  <c:v>1.2</c:v>
                </c:pt>
                <c:pt idx="5">
                  <c:v>1.3</c:v>
                </c:pt>
                <c:pt idx="6">
                  <c:v>1.6</c:v>
                </c:pt>
                <c:pt idx="7">
                  <c:v>5.0999999999999996</c:v>
                </c:pt>
                <c:pt idx="8">
                  <c:v>0.30000000000000016</c:v>
                </c:pt>
              </c:numCache>
            </c:numRef>
          </c:val>
        </c:ser>
        <c:shape val="box"/>
        <c:axId val="97268480"/>
        <c:axId val="97270016"/>
        <c:axId val="0"/>
      </c:bar3DChart>
      <c:catAx>
        <c:axId val="97268480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270016"/>
        <c:crosses val="autoZero"/>
        <c:auto val="1"/>
        <c:lblAlgn val="ctr"/>
        <c:lblOffset val="100"/>
      </c:catAx>
      <c:valAx>
        <c:axId val="97270016"/>
        <c:scaling>
          <c:orientation val="minMax"/>
        </c:scaling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2684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1.5457072800110513E-2"/>
          <c:y val="0.75057596967045781"/>
          <c:w val="0.96469988948749885"/>
          <c:h val="0.21701662292213481"/>
        </c:manualLayout>
      </c:layout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charts/colors1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3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withinLinear" id="16">
  <a:schemeClr val="accent3"/>
</cs:colorStyle>
</file>

<file path=word/charts/colors5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20">
  <a:schemeClr val="dk1"/>
  <cs:variation>
    <a:tint val="88500"/>
  </cs:variation>
  <cs:variation>
    <a:tint val="55000"/>
  </cs:variation>
  <cs:variation>
    <a:tint val="75000"/>
  </cs:variation>
  <cs:variation>
    <a:tint val="98500"/>
  </cs:variation>
  <cs:variation>
    <a:tint val="30000"/>
  </cs:variation>
  <cs:variation>
    <a:tint val="60000"/>
  </cs:variation>
  <cs:variation>
    <a:tint val="8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32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5E751-1E3A-4D2D-BE7F-7D14235D1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14</Pages>
  <Words>3801</Words>
  <Characters>21671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Science</dc:creator>
  <cp:lastModifiedBy>Владимир</cp:lastModifiedBy>
  <cp:revision>4</cp:revision>
  <dcterms:created xsi:type="dcterms:W3CDTF">2024-12-18T10:51:00Z</dcterms:created>
  <dcterms:modified xsi:type="dcterms:W3CDTF">2024-12-22T16:09:00Z</dcterms:modified>
</cp:coreProperties>
</file>