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EF" w:rsidRPr="002C16EF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C16EF">
        <w:rPr>
          <w:rFonts w:ascii="Times New Roman" w:hAnsi="Times New Roman" w:cs="Times New Roman"/>
          <w:b/>
          <w:i/>
          <w:sz w:val="24"/>
          <w:szCs w:val="24"/>
        </w:rPr>
        <w:t>Мухсимова</w:t>
      </w:r>
      <w:r w:rsidR="004C5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2C16EF" w:rsidRPr="002C16EF">
        <w:rPr>
          <w:rFonts w:ascii="Times New Roman" w:hAnsi="Times New Roman" w:cs="Times New Roman"/>
          <w:b/>
          <w:i/>
          <w:sz w:val="24"/>
          <w:szCs w:val="24"/>
        </w:rPr>
        <w:t>.Х.</w:t>
      </w:r>
    </w:p>
    <w:p w:rsidR="0038162C" w:rsidRDefault="004C5219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м.н.с. </w:t>
      </w:r>
      <w:r w:rsidR="00CE318E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E318E">
        <w:rPr>
          <w:rFonts w:ascii="Times New Roman" w:hAnsi="Times New Roman" w:cs="Times New Roman"/>
          <w:sz w:val="24"/>
          <w:szCs w:val="24"/>
        </w:rPr>
        <w:t>прогнозирования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8E">
        <w:rPr>
          <w:rFonts w:ascii="Times New Roman" w:hAnsi="Times New Roman" w:cs="Times New Roman"/>
          <w:sz w:val="24"/>
          <w:szCs w:val="24"/>
        </w:rPr>
        <w:t>макроэкономических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8E">
        <w:rPr>
          <w:rFonts w:ascii="Times New Roman" w:hAnsi="Times New Roman" w:cs="Times New Roman"/>
          <w:sz w:val="24"/>
          <w:szCs w:val="24"/>
        </w:rPr>
        <w:t>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959">
        <w:rPr>
          <w:rFonts w:ascii="Times New Roman" w:hAnsi="Times New Roman" w:cs="Times New Roman"/>
          <w:sz w:val="24"/>
          <w:szCs w:val="24"/>
        </w:rPr>
        <w:t>при Кабинете Министров Республики Узбекистан</w:t>
      </w:r>
    </w:p>
    <w:p w:rsidR="0038162C" w:rsidRDefault="0038162C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62C" w:rsidRDefault="002C16EF" w:rsidP="004C52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</w:t>
      </w:r>
      <w:r w:rsidR="004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НАУЧНО-ТЕХНОЛОГИЧЕСКОГО</w:t>
      </w:r>
      <w:r w:rsidR="004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ПРОМЫШЛЕННОСТИ</w:t>
      </w:r>
    </w:p>
    <w:p w:rsidR="0038162C" w:rsidRDefault="0038162C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62C" w:rsidRPr="002C16EF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16EF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="004C5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b/>
          <w:i/>
          <w:sz w:val="24"/>
          <w:szCs w:val="24"/>
        </w:rPr>
        <w:t>слова: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на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в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ВВП,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научно-технологичное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развитие,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с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низким,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средним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и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высоким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уровнем,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обрабатывающая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</w:rPr>
        <w:t>промышленность.</w:t>
      </w:r>
    </w:p>
    <w:p w:rsidR="0038162C" w:rsidRPr="002C16EF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C16EF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expenditure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R&amp;D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percentage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GDP,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technological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development,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low-technology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level,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medium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level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high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technology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level,</w:t>
      </w:r>
      <w:r w:rsidR="004C52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C16EF">
        <w:rPr>
          <w:rFonts w:ascii="Times New Roman" w:hAnsi="Times New Roman" w:cs="Times New Roman"/>
          <w:i/>
          <w:sz w:val="24"/>
          <w:szCs w:val="24"/>
          <w:lang w:val="en-US"/>
        </w:rPr>
        <w:t>manufacturing.</w:t>
      </w:r>
    </w:p>
    <w:p w:rsidR="0038162C" w:rsidRDefault="0038162C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</w:t>
      </w:r>
      <w:r w:rsidR="002C16EF">
        <w:rPr>
          <w:rFonts w:ascii="Times New Roman" w:hAnsi="Times New Roman" w:cs="Times New Roman"/>
          <w:sz w:val="24"/>
          <w:szCs w:val="24"/>
        </w:rPr>
        <w:t>ющая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отраслью,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снижению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бедности.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2C16EF"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</w:t>
      </w:r>
      <w:r w:rsidR="004C521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2C16EF">
        <w:rPr>
          <w:rFonts w:ascii="Times New Roman" w:hAnsi="Times New Roman" w:cs="Times New Roman"/>
          <w:sz w:val="24"/>
          <w:szCs w:val="24"/>
        </w:rPr>
        <w:t>особое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оптимальные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рамочные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сила,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инфраструктура</w:t>
      </w:r>
      <w:r w:rsidR="004C52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немалую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прогрессе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заимствования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научно-технологического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проявляется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образованностью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заимствования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важную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человеческий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Pr="00193F48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индустриализации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трудоемкие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низкотехнологичные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производительност</w:t>
      </w:r>
      <w:r w:rsidR="002C16EF" w:rsidRPr="00193F48"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труда.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Необходимо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отметить,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что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низкотехнологичные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имеют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невысокие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барьеры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выхода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2C16EF" w:rsidRPr="00193F48">
        <w:rPr>
          <w:rFonts w:ascii="Times New Roman" w:hAnsi="Times New Roman" w:cs="Times New Roman"/>
          <w:sz w:val="24"/>
          <w:szCs w:val="24"/>
        </w:rPr>
        <w:t>рынок,</w:t>
      </w:r>
      <w:r w:rsidR="004C5219">
        <w:rPr>
          <w:rFonts w:ascii="Times New Roman" w:hAnsi="Times New Roman" w:cs="Times New Roman"/>
          <w:sz w:val="24"/>
          <w:szCs w:val="24"/>
        </w:rPr>
        <w:t xml:space="preserve"> они </w:t>
      </w:r>
      <w:r w:rsidRPr="00193F48">
        <w:rPr>
          <w:rFonts w:ascii="Times New Roman" w:hAnsi="Times New Roman" w:cs="Times New Roman"/>
          <w:sz w:val="24"/>
          <w:szCs w:val="24"/>
        </w:rPr>
        <w:t>ориентированы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основном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местный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рынок,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требуют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небольши</w:t>
      </w:r>
      <w:r w:rsidR="00193F48" w:rsidRPr="00193F48">
        <w:rPr>
          <w:rFonts w:ascii="Times New Roman" w:hAnsi="Times New Roman" w:cs="Times New Roman"/>
          <w:sz w:val="24"/>
          <w:szCs w:val="24"/>
        </w:rPr>
        <w:t>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затрат.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Тем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не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менее,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этом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секторе,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достигающие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высокой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могут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привлечь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инвестиции,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что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способствует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дальнейшему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Pr="00193F48">
        <w:rPr>
          <w:rFonts w:ascii="Times New Roman" w:hAnsi="Times New Roman" w:cs="Times New Roman"/>
          <w:sz w:val="24"/>
          <w:szCs w:val="24"/>
        </w:rPr>
        <w:t>развитию.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Страны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</w:t>
      </w:r>
      <w:r w:rsidR="004C5219">
        <w:rPr>
          <w:rFonts w:ascii="Times New Roman" w:hAnsi="Times New Roman" w:cs="Times New Roman"/>
          <w:sz w:val="24"/>
          <w:szCs w:val="24"/>
        </w:rPr>
        <w:t xml:space="preserve">ая часть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промежуточными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выведение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аутсорсинг.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напрямую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потребителя.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сопряженной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опирающейся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интенсивном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отраслях,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требующих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научно-технического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потенциала: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маркетинг,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инжиниринг,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(разработка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консультационные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взаимосвязи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успешным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продвижением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наукоемкой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целесообразно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</w:t>
      </w:r>
      <w:r w:rsidR="004C5219">
        <w:rPr>
          <w:rFonts w:ascii="Times New Roman" w:hAnsi="Times New Roman" w:cs="Times New Roman"/>
          <w:sz w:val="24"/>
          <w:szCs w:val="24"/>
        </w:rPr>
        <w:t xml:space="preserve">. рис. </w:t>
      </w:r>
      <w:r>
        <w:rPr>
          <w:rFonts w:ascii="Times New Roman" w:hAnsi="Times New Roman" w:cs="Times New Roman"/>
          <w:sz w:val="24"/>
          <w:szCs w:val="24"/>
        </w:rPr>
        <w:t>1).</w:t>
      </w:r>
    </w:p>
    <w:tbl>
      <w:tblPr>
        <w:tblStyle w:val="af5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3816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62C" w:rsidRDefault="004C5219" w:rsidP="004C5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F69119" wp14:editId="07294DDE">
                  <wp:extent cx="5715000" cy="28575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816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62C" w:rsidRDefault="004C5219" w:rsidP="004C521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1. Расходы на НИОКР в ВВП по группам стран с различными уровнями доходов. </w:t>
            </w:r>
            <w:r w:rsidR="00CE318E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8E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8E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18E">
              <w:rPr>
                <w:rFonts w:ascii="Times New Roman" w:hAnsi="Times New Roman" w:cs="Times New Roman"/>
                <w:sz w:val="24"/>
                <w:szCs w:val="24"/>
              </w:rPr>
              <w:t>банка.</w:t>
            </w:r>
          </w:p>
        </w:tc>
      </w:tr>
    </w:tbl>
    <w:p w:rsidR="0038162C" w:rsidRDefault="0038162C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2,46%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0,55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экспорте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2000-2015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ОЭСР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15,6%,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7,8%.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</w:t>
      </w:r>
      <w:r w:rsidR="004C521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торговле,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вырученные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разработок.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27,7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%,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Китае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21,1%,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Японии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17,3%,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67,6%.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превышает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постепенно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внедрять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государственно-частного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корреляционного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приведены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Style w:val="af5"/>
        <w:tblW w:w="6003" w:type="dxa"/>
        <w:jc w:val="center"/>
        <w:tblLook w:val="04A0" w:firstRow="1" w:lastRow="0" w:firstColumn="1" w:lastColumn="0" w:noHBand="0" w:noVBand="1"/>
      </w:tblPr>
      <w:tblGrid>
        <w:gridCol w:w="2988"/>
        <w:gridCol w:w="3015"/>
      </w:tblGrid>
      <w:tr w:rsidR="0038162C">
        <w:trPr>
          <w:jc w:val="center"/>
        </w:trPr>
        <w:tc>
          <w:tcPr>
            <w:tcW w:w="2988" w:type="dxa"/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r w:rsidR="004C5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стран</w:t>
            </w:r>
            <w:r w:rsidR="004C5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4C5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доходами:</w:t>
            </w:r>
          </w:p>
        </w:tc>
        <w:tc>
          <w:tcPr>
            <w:tcW w:w="3014" w:type="dxa"/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</w:t>
            </w:r>
            <w:r w:rsidR="004C52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корреляции</w:t>
            </w:r>
          </w:p>
        </w:tc>
      </w:tr>
      <w:tr w:rsidR="0038162C">
        <w:trPr>
          <w:jc w:val="center"/>
        </w:trPr>
        <w:tc>
          <w:tcPr>
            <w:tcW w:w="2988" w:type="dxa"/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Высокие</w:t>
            </w:r>
          </w:p>
        </w:tc>
        <w:tc>
          <w:tcPr>
            <w:tcW w:w="3014" w:type="dxa"/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8162C">
        <w:trPr>
          <w:jc w:val="center"/>
        </w:trPr>
        <w:tc>
          <w:tcPr>
            <w:tcW w:w="29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Выше</w:t>
            </w:r>
            <w:r w:rsidR="004C5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</w:t>
            </w:r>
          </w:p>
        </w:tc>
        <w:tc>
          <w:tcPr>
            <w:tcW w:w="301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0,52*</w:t>
            </w:r>
          </w:p>
        </w:tc>
      </w:tr>
      <w:tr w:rsidR="0038162C">
        <w:trPr>
          <w:jc w:val="center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Ниже</w:t>
            </w:r>
            <w:r w:rsidR="004C52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среднего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</w:tr>
      <w:tr w:rsidR="0038162C">
        <w:trPr>
          <w:jc w:val="center"/>
        </w:trPr>
        <w:tc>
          <w:tcPr>
            <w:tcW w:w="600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38162C" w:rsidRDefault="00CE318E" w:rsidP="004C52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  <w:r w:rsidR="004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="004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</w:tc>
      </w:tr>
    </w:tbl>
    <w:p w:rsidR="0038162C" w:rsidRDefault="0038162C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значимый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положительно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воздействуют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обрабатывающую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Недостаточное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порождает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низкую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отдачу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существующем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богатом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потенциале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сопоставляются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применяемых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поэтапным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отраслям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стоимостью.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исследования,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ЮНИДО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промышленный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увеличивается.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6E2870">
        <w:rPr>
          <w:rFonts w:ascii="Times New Roman" w:hAnsi="Times New Roman" w:cs="Times New Roman"/>
          <w:sz w:val="24"/>
          <w:szCs w:val="24"/>
        </w:rPr>
        <w:t>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долларов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ВВП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6E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душу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уменьшается.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Среднетехнологи</w:t>
      </w:r>
      <w:r w:rsidR="006E287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составляют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снижаются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создаваемой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увеличиваются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Стимулируется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частного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отраслей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ОЭСР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связывает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добавленной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низким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относятся: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напитков,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табачных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текстильных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одежды,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обуви,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деревянных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изделий,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мебели,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бумаги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</w:t>
      </w:r>
      <w:r w:rsidR="006E2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средним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резины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пластмассы,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неметаллических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минеральных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металлургическая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металлообрабатывающая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промышленность;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высоким</w:t>
      </w:r>
      <w:r w:rsidR="004C52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химикатов,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канцелярских,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бухгалтерских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электронно-вычислительных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показывают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6E2870">
        <w:rPr>
          <w:rFonts w:ascii="Times New Roman" w:hAnsi="Times New Roman" w:cs="Times New Roman"/>
          <w:sz w:val="24"/>
          <w:szCs w:val="24"/>
        </w:rPr>
        <w:t>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узкоспециализированных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навыках.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этого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специализированная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Переход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высокотехнологичных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зависит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подготавливающих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</w:t>
      </w:r>
      <w:r w:rsidR="006E287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иалистов,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ученых.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отметить,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="006E2870">
        <w:rPr>
          <w:rFonts w:ascii="Times New Roman" w:hAnsi="Times New Roman" w:cs="Times New Roman"/>
          <w:sz w:val="24"/>
          <w:szCs w:val="24"/>
        </w:rPr>
        <w:t>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квалификационной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базы,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структурным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изменениям,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накопительный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узкоспециализированном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</w:t>
      </w:r>
      <w:r w:rsidR="006E28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нально-техническое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соответствовать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меняться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индустриализации.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сохранения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улучшения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обновлять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процессы.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инновационных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направленностью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опытно-конструкторские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структуры,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инвестирующие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правило,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успешно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работают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рынках.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объемов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капиталовложений,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ресурсов,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доходами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производительности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труда,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ресурсосберегающих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2C" w:rsidRDefault="00CE318E" w:rsidP="004C5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проведенный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="006E2870">
        <w:rPr>
          <w:rFonts w:ascii="Times New Roman" w:hAnsi="Times New Roman" w:cs="Times New Roman"/>
          <w:sz w:val="24"/>
          <w:szCs w:val="24"/>
        </w:rPr>
        <w:t>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важным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обрабатывающей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промышленности.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продукции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значительной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достигаются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технологического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:rsidR="0038162C" w:rsidRDefault="00CE318E" w:rsidP="004C5219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Своевременная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НИОКР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новых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инноваций.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прогресс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росту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производства</w:t>
      </w:r>
      <w:r w:rsidR="006E28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следствие</w:t>
      </w:r>
      <w:r w:rsidR="006E2870">
        <w:rPr>
          <w:rFonts w:ascii="Times New Roman" w:hAnsi="Times New Roman" w:cs="Times New Roman"/>
          <w:sz w:val="24"/>
          <w:szCs w:val="24"/>
        </w:rPr>
        <w:t>,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повышению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конкурентоспособности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стран.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 w:rsidR="006E28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ереход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трудоемкой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технологически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емкой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низким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уровнем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дохода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создает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высоких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 w:rsidR="004C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sectPr w:rsidR="0038162C" w:rsidSect="002C16EF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19" w:rsidRDefault="004C5219" w:rsidP="0038162C">
      <w:pPr>
        <w:spacing w:after="0" w:line="240" w:lineRule="auto"/>
      </w:pPr>
      <w:r>
        <w:separator/>
      </w:r>
    </w:p>
  </w:endnote>
  <w:endnote w:type="continuationSeparator" w:id="0">
    <w:p w:rsidR="004C5219" w:rsidRDefault="004C5219" w:rsidP="003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4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219" w:rsidRPr="004C5219" w:rsidRDefault="004C5219" w:rsidP="004C5219">
        <w:pPr>
          <w:pStyle w:val="af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5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2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5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4C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C52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19" w:rsidRDefault="004C5219">
      <w:r>
        <w:separator/>
      </w:r>
    </w:p>
  </w:footnote>
  <w:footnote w:type="continuationSeparator" w:id="0">
    <w:p w:rsidR="004C5219" w:rsidRDefault="004C5219">
      <w:r>
        <w:continuationSeparator/>
      </w:r>
    </w:p>
  </w:footnote>
  <w:footnote w:id="1">
    <w:p w:rsidR="004C5219" w:rsidRPr="002C16EF" w:rsidRDefault="004C5219" w:rsidP="006E2870">
      <w:pPr>
        <w:pStyle w:val="af0"/>
        <w:ind w:firstLine="709"/>
        <w:jc w:val="both"/>
        <w:rPr>
          <w:lang w:val="en-US"/>
        </w:rPr>
      </w:pPr>
      <w:r>
        <w:rPr>
          <w:rStyle w:val="a6"/>
        </w:rPr>
        <w:footnoteRef/>
      </w:r>
      <w:r w:rsidR="006E2870">
        <w:rPr>
          <w:rStyle w:val="a6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National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Science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Board.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2016.</w:t>
      </w:r>
      <w:r w:rsidR="006E2870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Arlington: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National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Science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Foundation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Science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Engineering</w:t>
      </w:r>
      <w:r w:rsid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Indicators</w:t>
      </w:r>
      <w:r w:rsidR="006E287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2016</w:t>
      </w:r>
      <w:r w:rsidR="006E2870">
        <w:rPr>
          <w:rFonts w:ascii="Times New Roman" w:hAnsi="Times New Roman" w:cs="Times New Roman"/>
          <w:lang w:val="en-US"/>
        </w:rPr>
        <w:t xml:space="preserve">. – P. </w:t>
      </w:r>
      <w:r>
        <w:rPr>
          <w:rFonts w:ascii="Times New Roman" w:hAnsi="Times New Roman" w:cs="Times New Roman"/>
          <w:lang w:val="en-US"/>
        </w:rPr>
        <w:t>45-46.</w:t>
      </w:r>
    </w:p>
  </w:footnote>
  <w:footnote w:id="2">
    <w:p w:rsidR="004C5219" w:rsidRPr="006E2870" w:rsidRDefault="004C5219" w:rsidP="006E2870">
      <w:pPr>
        <w:pStyle w:val="af0"/>
        <w:ind w:firstLine="709"/>
        <w:jc w:val="both"/>
        <w:rPr>
          <w:lang w:val="en-US"/>
        </w:rPr>
      </w:pPr>
      <w:r>
        <w:rPr>
          <w:rStyle w:val="a6"/>
          <w:rFonts w:ascii="Times New Roman" w:hAnsi="Times New Roman" w:cs="Times New Roman"/>
        </w:rPr>
        <w:footnoteRef/>
      </w:r>
      <w:r w:rsidR="006E2870" w:rsidRPr="006E2870">
        <w:rPr>
          <w:rStyle w:val="a6"/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объединенных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наций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промышленному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развитию</w:t>
      </w:r>
      <w:r w:rsidRPr="006E2870">
        <w:rPr>
          <w:rFonts w:ascii="Times New Roman" w:hAnsi="Times New Roman" w:cs="Times New Roman"/>
          <w:lang w:val="en-US"/>
        </w:rPr>
        <w:t>.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Отчет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промышленном</w:t>
      </w:r>
      <w:r w:rsidR="006E2870" w:rsidRPr="006E287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развитии</w:t>
      </w:r>
      <w:r w:rsidR="006E2870">
        <w:rPr>
          <w:rFonts w:ascii="Times New Roman" w:hAnsi="Times New Roman" w:cs="Times New Roman"/>
        </w:rPr>
        <w:t xml:space="preserve">. </w:t>
      </w:r>
      <w:r w:rsidRPr="006E2870">
        <w:rPr>
          <w:rFonts w:ascii="Times New Roman" w:hAnsi="Times New Roman" w:cs="Times New Roman"/>
          <w:lang w:val="en-US"/>
        </w:rPr>
        <w:t>2013.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62C"/>
    <w:rsid w:val="00193F48"/>
    <w:rsid w:val="001F4CF0"/>
    <w:rsid w:val="002C16EF"/>
    <w:rsid w:val="0038162C"/>
    <w:rsid w:val="004C5219"/>
    <w:rsid w:val="006E2870"/>
    <w:rsid w:val="00CE318E"/>
    <w:rsid w:val="00D6152F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B"/>
    <w:pPr>
      <w:spacing w:after="200"/>
    </w:pPr>
  </w:style>
  <w:style w:type="paragraph" w:styleId="1">
    <w:name w:val="heading 1"/>
    <w:basedOn w:val="a0"/>
    <w:rsid w:val="0038162C"/>
    <w:pPr>
      <w:outlineLvl w:val="0"/>
    </w:pPr>
  </w:style>
  <w:style w:type="paragraph" w:styleId="2">
    <w:name w:val="heading 2"/>
    <w:basedOn w:val="a0"/>
    <w:rsid w:val="0038162C"/>
    <w:pPr>
      <w:outlineLvl w:val="1"/>
    </w:pPr>
  </w:style>
  <w:style w:type="paragraph" w:styleId="3">
    <w:name w:val="heading 3"/>
    <w:basedOn w:val="a0"/>
    <w:rsid w:val="0038162C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1C42F2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1"/>
    <w:uiPriority w:val="99"/>
    <w:semiHidden/>
    <w:qFormat/>
    <w:rsid w:val="00A86C73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qFormat/>
    <w:rsid w:val="00A86C73"/>
    <w:rPr>
      <w:vertAlign w:val="superscript"/>
    </w:rPr>
  </w:style>
  <w:style w:type="character" w:customStyle="1" w:styleId="a7">
    <w:name w:val="Символ сноски"/>
    <w:qFormat/>
    <w:rsid w:val="0038162C"/>
  </w:style>
  <w:style w:type="character" w:customStyle="1" w:styleId="a8">
    <w:name w:val="Привязка сноски"/>
    <w:rsid w:val="0038162C"/>
    <w:rPr>
      <w:vertAlign w:val="superscript"/>
    </w:rPr>
  </w:style>
  <w:style w:type="character" w:customStyle="1" w:styleId="a9">
    <w:name w:val="Привязка концевой сноски"/>
    <w:rsid w:val="0038162C"/>
    <w:rPr>
      <w:vertAlign w:val="superscript"/>
    </w:rPr>
  </w:style>
  <w:style w:type="character" w:customStyle="1" w:styleId="aa">
    <w:name w:val="Символы концевой сноски"/>
    <w:qFormat/>
    <w:rsid w:val="0038162C"/>
  </w:style>
  <w:style w:type="paragraph" w:customStyle="1" w:styleId="a0">
    <w:name w:val="Заголовок"/>
    <w:basedOn w:val="a"/>
    <w:next w:val="ab"/>
    <w:qFormat/>
    <w:rsid w:val="003816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38162C"/>
    <w:pPr>
      <w:spacing w:after="140" w:line="288" w:lineRule="auto"/>
    </w:pPr>
  </w:style>
  <w:style w:type="paragraph" w:styleId="ac">
    <w:name w:val="List"/>
    <w:basedOn w:val="ab"/>
    <w:rsid w:val="0038162C"/>
    <w:rPr>
      <w:rFonts w:cs="Mangal"/>
    </w:rPr>
  </w:style>
  <w:style w:type="paragraph" w:styleId="ad">
    <w:name w:val="Title"/>
    <w:basedOn w:val="a"/>
    <w:rsid w:val="003816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8162C"/>
    <w:pPr>
      <w:suppressLineNumbers/>
    </w:pPr>
    <w:rPr>
      <w:rFonts w:cs="Mangal"/>
    </w:rPr>
  </w:style>
  <w:style w:type="paragraph" w:styleId="af">
    <w:name w:val="Balloon Text"/>
    <w:basedOn w:val="a"/>
    <w:uiPriority w:val="99"/>
    <w:semiHidden/>
    <w:unhideWhenUsed/>
    <w:qFormat/>
    <w:rsid w:val="001C42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  <w:uiPriority w:val="99"/>
    <w:semiHidden/>
    <w:unhideWhenUsed/>
    <w:qFormat/>
    <w:rsid w:val="00A86C73"/>
    <w:pPr>
      <w:spacing w:after="0" w:line="240" w:lineRule="auto"/>
    </w:pPr>
    <w:rPr>
      <w:sz w:val="20"/>
      <w:szCs w:val="20"/>
    </w:rPr>
  </w:style>
  <w:style w:type="paragraph" w:customStyle="1" w:styleId="af1">
    <w:name w:val="Сноска"/>
    <w:basedOn w:val="a"/>
    <w:rsid w:val="0038162C"/>
  </w:style>
  <w:style w:type="paragraph" w:customStyle="1" w:styleId="af2">
    <w:name w:val="Блочная цитата"/>
    <w:basedOn w:val="a"/>
    <w:qFormat/>
    <w:rsid w:val="0038162C"/>
  </w:style>
  <w:style w:type="paragraph" w:customStyle="1" w:styleId="af3">
    <w:name w:val="Заглавие"/>
    <w:basedOn w:val="a0"/>
    <w:rsid w:val="0038162C"/>
  </w:style>
  <w:style w:type="paragraph" w:styleId="af4">
    <w:name w:val="Subtitle"/>
    <w:basedOn w:val="a0"/>
    <w:rsid w:val="0038162C"/>
  </w:style>
  <w:style w:type="table" w:styleId="af5">
    <w:name w:val="Table Grid"/>
    <w:basedOn w:val="a2"/>
    <w:uiPriority w:val="59"/>
    <w:rsid w:val="001C42F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4C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C5219"/>
  </w:style>
  <w:style w:type="paragraph" w:styleId="af8">
    <w:name w:val="footer"/>
    <w:basedOn w:val="a"/>
    <w:link w:val="af9"/>
    <w:uiPriority w:val="99"/>
    <w:unhideWhenUsed/>
    <w:rsid w:val="004C5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C5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расходы на НИОКР в ВВП за 2000-2014 годы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5"/>
                <c:pt idx="0">
                  <c:v> ниже среднего</c:v>
                </c:pt>
                <c:pt idx="1">
                  <c:v> выше среднего</c:v>
                </c:pt>
                <c:pt idx="2">
                  <c:v>высокие</c:v>
                </c:pt>
                <c:pt idx="3">
                  <c:v>среднее по миру</c:v>
                </c:pt>
                <c:pt idx="4">
                  <c:v>Россия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0.55000000000000004</c:v>
                </c:pt>
                <c:pt idx="1">
                  <c:v>1.03</c:v>
                </c:pt>
                <c:pt idx="2">
                  <c:v>2.3499999999999988</c:v>
                </c:pt>
                <c:pt idx="3">
                  <c:v>0.81</c:v>
                </c:pt>
                <c:pt idx="4">
                  <c:v>1.1400000000000001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расходы на НИОКР в ВВП в 2014 г</c:v>
                </c:pt>
              </c:strCache>
            </c:strRef>
          </c:tx>
          <c:spPr>
            <a:solidFill>
              <a:srgbClr val="404040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5"/>
                <c:pt idx="0">
                  <c:v> ниже среднего</c:v>
                </c:pt>
                <c:pt idx="1">
                  <c:v> выше среднего</c:v>
                </c:pt>
                <c:pt idx="2">
                  <c:v>высокие</c:v>
                </c:pt>
                <c:pt idx="3">
                  <c:v>среднее по миру</c:v>
                </c:pt>
                <c:pt idx="4">
                  <c:v>Россия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0.55000000000000004</c:v>
                </c:pt>
                <c:pt idx="1">
                  <c:v>1.56</c:v>
                </c:pt>
                <c:pt idx="2">
                  <c:v>2.46</c:v>
                </c:pt>
                <c:pt idx="3">
                  <c:v>1.24</c:v>
                </c:pt>
                <c:pt idx="4">
                  <c:v>1.1800000000000008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81119616"/>
        <c:axId val="199895680"/>
      </c:barChart>
      <c:catAx>
        <c:axId val="181119616"/>
        <c:scaling>
          <c:orientation val="minMax"/>
        </c:scaling>
        <c:delete val="0"/>
        <c:axPos val="b"/>
        <c:numFmt formatCode="dd\.mm\.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1000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99895680"/>
        <c:crosses val="autoZero"/>
        <c:auto val="1"/>
        <c:lblAlgn val="ctr"/>
        <c:lblOffset val="100"/>
        <c:noMultiLvlLbl val="0"/>
      </c:catAx>
      <c:valAx>
        <c:axId val="199895680"/>
        <c:scaling>
          <c:orientation val="minMax"/>
          <c:max val="2"/>
        </c:scaling>
        <c:delete val="0"/>
        <c:axPos val="l"/>
        <c:majorGridlines>
          <c:spPr>
            <a:ln w="9360">
              <a:solidFill>
                <a:srgbClr val="C1D1EC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lang="en-US" sz="1000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81119616"/>
        <c:crosses val="autoZero"/>
        <c:crossBetween val="between"/>
        <c:majorUnit val="0.5"/>
      </c:valAx>
      <c:spPr>
        <a:solidFill>
          <a:srgbClr val="FFFFFF"/>
        </a:solidFill>
        <a:ln>
          <a:noFill/>
        </a:ln>
      </c:spPr>
    </c:plotArea>
    <c:legend>
      <c:legendPos val="b"/>
      <c:layout/>
      <c:overlay val="0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2801-ED58-4FC1-98E9-9B7D591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Dilyafruz Muhsimova</dc:creator>
  <cp:lastModifiedBy>Владимир</cp:lastModifiedBy>
  <cp:revision>7</cp:revision>
  <dcterms:created xsi:type="dcterms:W3CDTF">2017-01-31T10:58:00Z</dcterms:created>
  <dcterms:modified xsi:type="dcterms:W3CDTF">2017-04-07T12:22:00Z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