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AA2" w:rsidRDefault="00534AA2">
      <w:pPr>
        <w:spacing w:after="0" w:line="360" w:lineRule="auto"/>
        <w:rPr>
          <w:rFonts w:ascii="Times New Roman" w:hAnsi="Times New Roman"/>
          <w:b/>
          <w:sz w:val="24"/>
          <w:szCs w:val="24"/>
        </w:rPr>
      </w:pPr>
      <w:r>
        <w:rPr>
          <w:rFonts w:ascii="Times New Roman" w:hAnsi="Times New Roman"/>
          <w:b/>
          <w:i/>
          <w:iCs/>
          <w:sz w:val="24"/>
          <w:szCs w:val="24"/>
        </w:rPr>
        <w:t xml:space="preserve">Кузнецов А. В. </w:t>
      </w:r>
    </w:p>
    <w:p w:rsidR="00534AA2" w:rsidRDefault="00534AA2">
      <w:pPr>
        <w:spacing w:after="0" w:line="360" w:lineRule="auto"/>
      </w:pPr>
      <w:r>
        <w:rPr>
          <w:rFonts w:ascii="Times New Roman" w:hAnsi="Times New Roman"/>
          <w:sz w:val="24"/>
          <w:szCs w:val="24"/>
        </w:rPr>
        <w:t xml:space="preserve">д.э.н., с.н.с., профессор Финансового университета </w:t>
      </w:r>
    </w:p>
    <w:p w:rsidR="00534AA2" w:rsidRDefault="00534AA2">
      <w:pPr>
        <w:spacing w:after="0" w:line="360" w:lineRule="auto"/>
        <w:rPr>
          <w:rFonts w:ascii="Times New Roman" w:hAnsi="Times New Roman"/>
          <w:sz w:val="24"/>
          <w:szCs w:val="24"/>
          <w:lang w:val="en-US"/>
        </w:rPr>
      </w:pPr>
      <w:r>
        <w:rPr>
          <w:rFonts w:ascii="Times New Roman" w:hAnsi="Times New Roman"/>
          <w:sz w:val="24"/>
          <w:szCs w:val="24"/>
          <w:lang w:val="en-US"/>
        </w:rPr>
        <w:t>kuznetsov0572@mail.ru</w:t>
      </w:r>
    </w:p>
    <w:p w:rsidR="00534AA2" w:rsidRDefault="00534AA2">
      <w:pPr>
        <w:spacing w:after="0" w:line="360" w:lineRule="auto"/>
        <w:jc w:val="center"/>
        <w:rPr>
          <w:rFonts w:ascii="Times New Roman" w:hAnsi="Times New Roman"/>
          <w:b/>
          <w:sz w:val="24"/>
          <w:szCs w:val="24"/>
        </w:rPr>
      </w:pPr>
    </w:p>
    <w:p w:rsidR="00534AA2" w:rsidRDefault="00534AA2">
      <w:pPr>
        <w:spacing w:after="0" w:line="360" w:lineRule="auto"/>
        <w:jc w:val="center"/>
        <w:rPr>
          <w:rFonts w:ascii="Times New Roman" w:hAnsi="Times New Roman"/>
          <w:b/>
          <w:sz w:val="24"/>
          <w:szCs w:val="24"/>
        </w:rPr>
      </w:pPr>
      <w:r>
        <w:rPr>
          <w:rFonts w:ascii="Times New Roman" w:hAnsi="Times New Roman"/>
          <w:b/>
          <w:sz w:val="24"/>
          <w:szCs w:val="24"/>
        </w:rPr>
        <w:t xml:space="preserve">ФИНАНСОВАЯ НЕЗАВИСИМОСТЬ РОССИИ: </w:t>
      </w:r>
    </w:p>
    <w:p w:rsidR="00534AA2" w:rsidRDefault="00534AA2">
      <w:pPr>
        <w:spacing w:after="0" w:line="360" w:lineRule="auto"/>
        <w:jc w:val="center"/>
        <w:rPr>
          <w:rFonts w:ascii="Times New Roman" w:hAnsi="Times New Roman"/>
          <w:b/>
          <w:sz w:val="24"/>
          <w:szCs w:val="24"/>
        </w:rPr>
      </w:pPr>
      <w:r>
        <w:rPr>
          <w:rFonts w:ascii="Times New Roman" w:hAnsi="Times New Roman"/>
          <w:b/>
          <w:sz w:val="24"/>
          <w:szCs w:val="24"/>
        </w:rPr>
        <w:t>ПРОБЛЕМЫ И ПЕРСПЕКТИВЫ</w:t>
      </w:r>
    </w:p>
    <w:p w:rsidR="00534AA2" w:rsidRDefault="00534AA2">
      <w:pPr>
        <w:spacing w:after="0" w:line="360" w:lineRule="auto"/>
        <w:ind w:firstLine="708"/>
        <w:jc w:val="both"/>
        <w:rPr>
          <w:rFonts w:ascii="Times New Roman" w:hAnsi="Times New Roman"/>
          <w:b/>
          <w:sz w:val="24"/>
          <w:szCs w:val="24"/>
        </w:rPr>
      </w:pPr>
    </w:p>
    <w:p w:rsidR="00534AA2" w:rsidRDefault="00534AA2">
      <w:pPr>
        <w:spacing w:after="0" w:line="360" w:lineRule="auto"/>
        <w:ind w:firstLine="708"/>
        <w:jc w:val="both"/>
      </w:pPr>
      <w:r>
        <w:rPr>
          <w:rFonts w:ascii="Times New Roman" w:hAnsi="Times New Roman"/>
          <w:b/>
          <w:sz w:val="24"/>
          <w:szCs w:val="24"/>
        </w:rPr>
        <w:t>Ключевые слова:</w:t>
      </w:r>
      <w:r>
        <w:rPr>
          <w:rFonts w:ascii="Times New Roman" w:hAnsi="Times New Roman"/>
          <w:b/>
          <w:sz w:val="24"/>
          <w:szCs w:val="24"/>
          <w:lang w:val="en-US"/>
        </w:rPr>
        <w:t xml:space="preserve"> </w:t>
      </w:r>
      <w:r>
        <w:rPr>
          <w:rFonts w:ascii="Times New Roman" w:hAnsi="Times New Roman"/>
          <w:sz w:val="24"/>
          <w:szCs w:val="24"/>
        </w:rPr>
        <w:t>финансовая глобализация, иностранные инвестиции, международные резервы, международный финансовый центр, международный валютный рынок, международная инвестиционная позиция, рейтинговые агентства.</w:t>
      </w:r>
    </w:p>
    <w:p w:rsidR="00534AA2" w:rsidRDefault="00534AA2">
      <w:pPr>
        <w:spacing w:after="0" w:line="360" w:lineRule="auto"/>
        <w:ind w:firstLine="708"/>
        <w:jc w:val="both"/>
        <w:rPr>
          <w:rFonts w:ascii="Times New Roman" w:hAnsi="Times New Roman"/>
          <w:i/>
          <w:sz w:val="24"/>
          <w:szCs w:val="24"/>
          <w:lang w:val="en-US"/>
        </w:rPr>
      </w:pPr>
      <w:r>
        <w:rPr>
          <w:rFonts w:ascii="Times New Roman" w:hAnsi="Times New Roman"/>
          <w:b/>
          <w:sz w:val="24"/>
          <w:szCs w:val="24"/>
          <w:lang w:val="en-US"/>
        </w:rPr>
        <w:t xml:space="preserve">Keywords: </w:t>
      </w:r>
      <w:r>
        <w:rPr>
          <w:rFonts w:ascii="Times New Roman" w:hAnsi="Times New Roman"/>
          <w:sz w:val="24"/>
          <w:szCs w:val="24"/>
          <w:lang w:val="en-US"/>
        </w:rPr>
        <w:t>financial globalization, foreign investment, international reserves, an international financial center, foreign exchange market, international investment position, credit rating agencies.</w:t>
      </w:r>
    </w:p>
    <w:p w:rsidR="00534AA2" w:rsidRDefault="00534AA2">
      <w:pPr>
        <w:spacing w:after="0" w:line="360" w:lineRule="auto"/>
        <w:ind w:firstLine="709"/>
        <w:jc w:val="both"/>
        <w:rPr>
          <w:rFonts w:ascii="Times New Roman" w:hAnsi="Times New Roman"/>
          <w:sz w:val="24"/>
          <w:szCs w:val="24"/>
        </w:rPr>
      </w:pPr>
    </w:p>
    <w:p w:rsidR="00534AA2" w:rsidRDefault="00534AA2">
      <w:pPr>
        <w:spacing w:after="0" w:line="360" w:lineRule="auto"/>
        <w:ind w:firstLine="709"/>
        <w:jc w:val="both"/>
        <w:rPr>
          <w:rFonts w:ascii="Times New Roman" w:hAnsi="Times New Roman"/>
          <w:sz w:val="24"/>
          <w:szCs w:val="24"/>
        </w:rPr>
      </w:pPr>
      <w:r>
        <w:rPr>
          <w:rFonts w:ascii="Times New Roman" w:hAnsi="Times New Roman"/>
          <w:sz w:val="24"/>
          <w:szCs w:val="24"/>
        </w:rPr>
        <w:t>Неограниченный доступ к финансовому капиталу – фундаментальная основа успешной интеграции России как суверенного государства в процессы финансовой глобализации, залог ее полноценного участия в международной торговле, повышения благосостояния, достатка и благополучия граждан, а также создания предпосылок для предоставления широкого спектра современных финансовых услуг для обеспечения развития реального сектора экономики, адекватного вызовам глобализации. В связи с этим возникает ряд вопросов. Обеспечивается ли должным образом финансовая независимость России, которая является шестой экономикой мира по размеру ВВП (рассчитанному по паритету покупательной способности), крупнейшей в мире страной по запасам сырьевых ресурсов, а также одним из основных потенциальных локомотивов экономического роста в мире? Насколько адекватным является положение России как чистого кредитора международной финансовой системы? Какие факторы и механизмы глобальной финансовой системы ведут к ухудшению международной инвестиционной позиции России и внутренней социально-экономической дестабилизации? Каковым является наиболее эффективный путь интеграции России в глобальную финансовую систему? Для ответа на поставленные вопросы необходимо структурное изучение факторов и механизмов управления глобальными финансами, что и является целью данной работы.</w:t>
      </w:r>
    </w:p>
    <w:p w:rsidR="00534AA2" w:rsidRDefault="00534AA2">
      <w:pPr>
        <w:spacing w:after="0" w:line="360" w:lineRule="auto"/>
        <w:ind w:firstLine="709"/>
        <w:jc w:val="both"/>
        <w:rPr>
          <w:rFonts w:ascii="Times New Roman" w:hAnsi="Times New Roman"/>
          <w:sz w:val="24"/>
          <w:szCs w:val="24"/>
          <w:lang w:val="en-US"/>
        </w:rPr>
      </w:pPr>
      <w:r>
        <w:rPr>
          <w:rFonts w:ascii="Times New Roman" w:hAnsi="Times New Roman"/>
          <w:sz w:val="24"/>
          <w:szCs w:val="24"/>
        </w:rPr>
        <w:t>Прежде всего, необходимо рассмотреть некоторые особенности такого феномена, как финансовая глобализация.</w:t>
      </w:r>
      <w:r>
        <w:rPr>
          <w:rFonts w:ascii="Times New Roman" w:hAnsi="Times New Roman"/>
          <w:sz w:val="24"/>
          <w:szCs w:val="24"/>
          <w:lang w:val="en-US"/>
        </w:rPr>
        <w:t xml:space="preserve"> </w:t>
      </w:r>
      <w:r>
        <w:rPr>
          <w:rFonts w:ascii="Times New Roman" w:hAnsi="Times New Roman"/>
          <w:sz w:val="24"/>
          <w:szCs w:val="24"/>
        </w:rPr>
        <w:t>В определении МВФ, финансовая глобализация – это степень связи стран через портфель международных финансовых активов, измеряемая как суммарный размер валовых внешних активов и обязательств страны к ВВП</w:t>
      </w:r>
      <w:r>
        <w:rPr>
          <w:rStyle w:val="a1"/>
          <w:rFonts w:ascii="Times New Roman" w:hAnsi="Times New Roman"/>
          <w:sz w:val="24"/>
          <w:szCs w:val="24"/>
        </w:rPr>
        <w:footnoteReference w:id="1"/>
      </w:r>
      <w:r>
        <w:rPr>
          <w:rFonts w:ascii="Times New Roman" w:hAnsi="Times New Roman"/>
          <w:sz w:val="24"/>
          <w:szCs w:val="24"/>
        </w:rPr>
        <w:t>.</w:t>
      </w:r>
    </w:p>
    <w:p w:rsidR="00534AA2" w:rsidRDefault="00534AA2">
      <w:pPr>
        <w:spacing w:after="0" w:line="360" w:lineRule="auto"/>
        <w:ind w:firstLine="709"/>
        <w:jc w:val="both"/>
        <w:rPr>
          <w:rFonts w:ascii="Times New Roman" w:hAnsi="Times New Roman"/>
          <w:sz w:val="24"/>
          <w:szCs w:val="24"/>
          <w:lang w:val="uk-UA"/>
        </w:rPr>
      </w:pPr>
      <w:r>
        <w:rPr>
          <w:rFonts w:ascii="Times New Roman" w:hAnsi="Times New Roman"/>
          <w:sz w:val="24"/>
          <w:szCs w:val="24"/>
        </w:rPr>
        <w:t xml:space="preserve">Исходя из данного определения, наиболее активными участниками процессов финансовой глобализации являются те страны, под контролем которых находится наибольший размер международных финансовых активов (пассивов). В данной связи бесспорные преимущества принадлежат двум англосаксонским странам – </w:t>
      </w:r>
      <w:r>
        <w:rPr>
          <w:rFonts w:ascii="Times New Roman" w:hAnsi="Times New Roman"/>
          <w:sz w:val="24"/>
          <w:szCs w:val="24"/>
          <w:lang w:val="uk-UA"/>
        </w:rPr>
        <w:t xml:space="preserve">США и </w:t>
      </w:r>
      <w:r>
        <w:rPr>
          <w:rFonts w:ascii="Times New Roman" w:hAnsi="Times New Roman"/>
          <w:sz w:val="24"/>
          <w:szCs w:val="24"/>
        </w:rPr>
        <w:t>Великобритании. Рассмотрим более подробно данное положение вещей.</w:t>
      </w:r>
    </w:p>
    <w:p w:rsidR="00534AA2" w:rsidRDefault="00534AA2">
      <w:pPr>
        <w:spacing w:after="0" w:line="360" w:lineRule="auto"/>
        <w:ind w:firstLine="709"/>
        <w:jc w:val="both"/>
        <w:rPr>
          <w:rFonts w:ascii="Times New Roman" w:hAnsi="Times New Roman"/>
          <w:sz w:val="24"/>
          <w:szCs w:val="24"/>
        </w:rPr>
      </w:pPr>
      <w:r>
        <w:rPr>
          <w:rFonts w:ascii="Times New Roman" w:hAnsi="Times New Roman"/>
          <w:sz w:val="24"/>
          <w:szCs w:val="24"/>
        </w:rPr>
        <w:t xml:space="preserve">Прежде всего, отметим, что в силу специфики развития международного финансового рынка подавляющая доля иностранных инвестиций сегодня сконцентрировалась в 10 странах, на которые в </w:t>
      </w:r>
      <w:smartTag w:uri="urn:schemas-microsoft-com:office:smarttags" w:element="metricconverter">
        <w:smartTagPr>
          <w:attr w:name="ProductID" w:val="2014 г"/>
        </w:smartTagPr>
        <w:r>
          <w:rPr>
            <w:rFonts w:ascii="Times New Roman" w:hAnsi="Times New Roman"/>
            <w:sz w:val="24"/>
            <w:szCs w:val="24"/>
          </w:rPr>
          <w:t>2014 г</w:t>
        </w:r>
      </w:smartTag>
      <w:r>
        <w:rPr>
          <w:rFonts w:ascii="Times New Roman" w:hAnsi="Times New Roman"/>
          <w:sz w:val="24"/>
          <w:szCs w:val="24"/>
        </w:rPr>
        <w:t xml:space="preserve">. приходилось 54,7 (55,3% – в </w:t>
      </w:r>
      <w:smartTag w:uri="urn:schemas-microsoft-com:office:smarttags" w:element="metricconverter">
        <w:smartTagPr>
          <w:attr w:name="ProductID" w:val="2013 г"/>
        </w:smartTagPr>
        <w:r>
          <w:rPr>
            <w:rFonts w:ascii="Times New Roman" w:hAnsi="Times New Roman"/>
            <w:sz w:val="24"/>
            <w:szCs w:val="24"/>
          </w:rPr>
          <w:t>2013 г</w:t>
        </w:r>
      </w:smartTag>
      <w:r>
        <w:rPr>
          <w:rFonts w:ascii="Times New Roman" w:hAnsi="Times New Roman"/>
          <w:sz w:val="24"/>
          <w:szCs w:val="24"/>
        </w:rPr>
        <w:t xml:space="preserve">.) всего накопленного объема прямых иностранных инвестиций и 67,3% (66,3% – в </w:t>
      </w:r>
      <w:smartTag w:uri="urn:schemas-microsoft-com:office:smarttags" w:element="metricconverter">
        <w:smartTagPr>
          <w:attr w:name="ProductID" w:val="2013 г"/>
        </w:smartTagPr>
        <w:r>
          <w:rPr>
            <w:rFonts w:ascii="Times New Roman" w:hAnsi="Times New Roman"/>
            <w:sz w:val="24"/>
            <w:szCs w:val="24"/>
          </w:rPr>
          <w:t>2013 г</w:t>
        </w:r>
      </w:smartTag>
      <w:r>
        <w:rPr>
          <w:rFonts w:ascii="Times New Roman" w:hAnsi="Times New Roman"/>
          <w:sz w:val="24"/>
          <w:szCs w:val="24"/>
        </w:rPr>
        <w:t>.) всего наколенного объема портфельных инвестиций в мире. США и Великобритания идут с отрывом от всех остальных государств (табл. 1).</w:t>
      </w:r>
    </w:p>
    <w:p w:rsidR="00534AA2" w:rsidRDefault="00534AA2">
      <w:pPr>
        <w:spacing w:after="0" w:line="360" w:lineRule="auto"/>
        <w:ind w:firstLine="709"/>
        <w:jc w:val="right"/>
        <w:rPr>
          <w:rFonts w:ascii="Times New Roman" w:hAnsi="Times New Roman"/>
          <w:sz w:val="24"/>
          <w:szCs w:val="24"/>
        </w:rPr>
      </w:pPr>
      <w:r>
        <w:rPr>
          <w:rFonts w:ascii="Times New Roman" w:hAnsi="Times New Roman"/>
          <w:sz w:val="24"/>
          <w:szCs w:val="24"/>
        </w:rPr>
        <w:t>Таблица 1</w:t>
      </w:r>
    </w:p>
    <w:p w:rsidR="00534AA2" w:rsidRDefault="00534AA2">
      <w:pPr>
        <w:spacing w:after="0" w:line="360" w:lineRule="auto"/>
        <w:ind w:firstLine="709"/>
        <w:jc w:val="center"/>
        <w:rPr>
          <w:rFonts w:ascii="Times New Roman" w:hAnsi="Times New Roman"/>
          <w:b/>
          <w:sz w:val="24"/>
          <w:szCs w:val="24"/>
        </w:rPr>
      </w:pPr>
      <w:r>
        <w:rPr>
          <w:rFonts w:ascii="Times New Roman" w:hAnsi="Times New Roman"/>
          <w:b/>
          <w:sz w:val="24"/>
          <w:szCs w:val="24"/>
        </w:rPr>
        <w:t xml:space="preserve">Крупнейшие реципиенты прямых и портфельных иностранных инвестиций (накопленный объем в </w:t>
      </w:r>
      <w:smartTag w:uri="urn:schemas-microsoft-com:office:smarttags" w:element="metricconverter">
        <w:smartTagPr>
          <w:attr w:name="ProductID" w:val="2014 г"/>
        </w:smartTagPr>
        <w:r>
          <w:rPr>
            <w:rFonts w:ascii="Times New Roman" w:hAnsi="Times New Roman"/>
            <w:b/>
            <w:sz w:val="24"/>
            <w:szCs w:val="24"/>
          </w:rPr>
          <w:t>2014 г</w:t>
        </w:r>
      </w:smartTag>
      <w:r>
        <w:rPr>
          <w:rFonts w:ascii="Times New Roman" w:hAnsi="Times New Roman"/>
          <w:b/>
          <w:sz w:val="24"/>
          <w:szCs w:val="24"/>
        </w:rPr>
        <w:t>.)</w:t>
      </w:r>
    </w:p>
    <w:tbl>
      <w:tblPr>
        <w:tblW w:w="9571"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A0"/>
      </w:tblPr>
      <w:tblGrid>
        <w:gridCol w:w="456"/>
        <w:gridCol w:w="150"/>
        <w:gridCol w:w="1770"/>
        <w:gridCol w:w="426"/>
        <w:gridCol w:w="1840"/>
        <w:gridCol w:w="363"/>
        <w:gridCol w:w="96"/>
        <w:gridCol w:w="394"/>
        <w:gridCol w:w="1985"/>
        <w:gridCol w:w="490"/>
        <w:gridCol w:w="1601"/>
      </w:tblGrid>
      <w:tr w:rsidR="00534AA2">
        <w:tc>
          <w:tcPr>
            <w:tcW w:w="455" w:type="dxa"/>
            <w:tcMar>
              <w:left w:w="98" w:type="dxa"/>
            </w:tcMar>
            <w:vAlign w:val="center"/>
          </w:tcPr>
          <w:p w:rsidR="00534AA2" w:rsidRDefault="00534AA2">
            <w:pPr>
              <w:spacing w:after="0" w:line="360" w:lineRule="auto"/>
              <w:jc w:val="center"/>
              <w:rPr>
                <w:rFonts w:ascii="Times New Roman" w:hAnsi="Times New Roman"/>
                <w:sz w:val="24"/>
                <w:szCs w:val="24"/>
              </w:rPr>
            </w:pPr>
            <w:r>
              <w:rPr>
                <w:rFonts w:ascii="Times New Roman" w:hAnsi="Times New Roman"/>
                <w:sz w:val="24"/>
                <w:szCs w:val="24"/>
              </w:rPr>
              <w:t>№</w:t>
            </w:r>
          </w:p>
        </w:tc>
        <w:tc>
          <w:tcPr>
            <w:tcW w:w="4186" w:type="dxa"/>
            <w:gridSpan w:val="4"/>
            <w:tcMar>
              <w:left w:w="98" w:type="dxa"/>
            </w:tcMar>
            <w:vAlign w:val="center"/>
          </w:tcPr>
          <w:p w:rsidR="00534AA2" w:rsidRDefault="00534AA2">
            <w:pPr>
              <w:spacing w:after="0" w:line="360" w:lineRule="auto"/>
              <w:jc w:val="center"/>
              <w:rPr>
                <w:rFonts w:ascii="Times New Roman" w:hAnsi="Times New Roman"/>
                <w:sz w:val="24"/>
                <w:szCs w:val="24"/>
              </w:rPr>
            </w:pPr>
            <w:r>
              <w:rPr>
                <w:rFonts w:ascii="Times New Roman" w:hAnsi="Times New Roman"/>
                <w:sz w:val="24"/>
                <w:szCs w:val="24"/>
              </w:rPr>
              <w:t>Прямые инвестиции</w:t>
            </w:r>
          </w:p>
        </w:tc>
        <w:tc>
          <w:tcPr>
            <w:tcW w:w="459" w:type="dxa"/>
            <w:gridSpan w:val="2"/>
            <w:tcMar>
              <w:left w:w="98" w:type="dxa"/>
            </w:tcMar>
            <w:vAlign w:val="center"/>
          </w:tcPr>
          <w:p w:rsidR="00534AA2" w:rsidRDefault="00534AA2">
            <w:pPr>
              <w:spacing w:after="0" w:line="360" w:lineRule="auto"/>
              <w:jc w:val="center"/>
              <w:rPr>
                <w:rFonts w:ascii="Times New Roman" w:hAnsi="Times New Roman"/>
                <w:sz w:val="24"/>
                <w:szCs w:val="24"/>
              </w:rPr>
            </w:pPr>
            <w:r>
              <w:rPr>
                <w:rFonts w:ascii="Times New Roman" w:hAnsi="Times New Roman"/>
                <w:sz w:val="24"/>
                <w:szCs w:val="24"/>
              </w:rPr>
              <w:t>№</w:t>
            </w:r>
          </w:p>
        </w:tc>
        <w:tc>
          <w:tcPr>
            <w:tcW w:w="4470" w:type="dxa"/>
            <w:gridSpan w:val="4"/>
            <w:tcMar>
              <w:left w:w="98" w:type="dxa"/>
            </w:tcMar>
            <w:vAlign w:val="center"/>
          </w:tcPr>
          <w:p w:rsidR="00534AA2" w:rsidRDefault="00534AA2">
            <w:pPr>
              <w:spacing w:after="0" w:line="360" w:lineRule="auto"/>
              <w:jc w:val="center"/>
              <w:rPr>
                <w:rFonts w:ascii="Times New Roman" w:hAnsi="Times New Roman"/>
                <w:sz w:val="24"/>
                <w:szCs w:val="24"/>
              </w:rPr>
            </w:pPr>
            <w:r>
              <w:rPr>
                <w:rFonts w:ascii="Times New Roman" w:hAnsi="Times New Roman"/>
                <w:sz w:val="24"/>
                <w:szCs w:val="24"/>
              </w:rPr>
              <w:t>Портфельные инвестиции</w:t>
            </w:r>
          </w:p>
        </w:tc>
      </w:tr>
      <w:tr w:rsidR="00534AA2">
        <w:tc>
          <w:tcPr>
            <w:tcW w:w="455" w:type="dxa"/>
            <w:tcMar>
              <w:left w:w="98" w:type="dxa"/>
            </w:tcMar>
            <w:vAlign w:val="center"/>
          </w:tcPr>
          <w:p w:rsidR="00534AA2" w:rsidRDefault="00534AA2">
            <w:pPr>
              <w:spacing w:after="0" w:line="360" w:lineRule="auto"/>
              <w:jc w:val="center"/>
              <w:rPr>
                <w:rFonts w:ascii="Times New Roman" w:hAnsi="Times New Roman"/>
                <w:sz w:val="24"/>
                <w:szCs w:val="24"/>
              </w:rPr>
            </w:pPr>
          </w:p>
        </w:tc>
        <w:tc>
          <w:tcPr>
            <w:tcW w:w="1920" w:type="dxa"/>
            <w:gridSpan w:val="2"/>
            <w:tcMar>
              <w:left w:w="98" w:type="dxa"/>
            </w:tcMar>
            <w:vAlign w:val="center"/>
          </w:tcPr>
          <w:p w:rsidR="00534AA2" w:rsidRDefault="00534AA2">
            <w:pPr>
              <w:spacing w:after="0" w:line="360" w:lineRule="auto"/>
              <w:rPr>
                <w:rFonts w:ascii="Times New Roman" w:hAnsi="Times New Roman"/>
                <w:sz w:val="24"/>
                <w:szCs w:val="24"/>
              </w:rPr>
            </w:pPr>
            <w:r>
              <w:rPr>
                <w:rFonts w:ascii="Times New Roman" w:hAnsi="Times New Roman"/>
                <w:sz w:val="24"/>
                <w:szCs w:val="24"/>
              </w:rPr>
              <w:t>Страна</w:t>
            </w:r>
          </w:p>
        </w:tc>
        <w:tc>
          <w:tcPr>
            <w:tcW w:w="2266" w:type="dxa"/>
            <w:gridSpan w:val="2"/>
            <w:tcMar>
              <w:left w:w="98" w:type="dxa"/>
            </w:tcMar>
            <w:vAlign w:val="center"/>
          </w:tcPr>
          <w:p w:rsidR="00534AA2" w:rsidRDefault="00534AA2">
            <w:pPr>
              <w:spacing w:after="0" w:line="360" w:lineRule="auto"/>
              <w:jc w:val="center"/>
              <w:rPr>
                <w:rFonts w:ascii="Times New Roman" w:hAnsi="Times New Roman"/>
                <w:sz w:val="24"/>
                <w:szCs w:val="24"/>
              </w:rPr>
            </w:pPr>
            <w:r>
              <w:rPr>
                <w:rFonts w:ascii="Times New Roman" w:hAnsi="Times New Roman"/>
                <w:sz w:val="24"/>
                <w:szCs w:val="24"/>
              </w:rPr>
              <w:t>Объем, млрд. долл.</w:t>
            </w:r>
          </w:p>
        </w:tc>
        <w:tc>
          <w:tcPr>
            <w:tcW w:w="459" w:type="dxa"/>
            <w:gridSpan w:val="2"/>
            <w:tcMar>
              <w:left w:w="98" w:type="dxa"/>
            </w:tcMar>
            <w:vAlign w:val="center"/>
          </w:tcPr>
          <w:p w:rsidR="00534AA2" w:rsidRDefault="00534AA2">
            <w:pPr>
              <w:spacing w:after="0" w:line="360" w:lineRule="auto"/>
              <w:jc w:val="center"/>
              <w:rPr>
                <w:rFonts w:ascii="Times New Roman" w:hAnsi="Times New Roman"/>
                <w:sz w:val="24"/>
                <w:szCs w:val="24"/>
              </w:rPr>
            </w:pPr>
          </w:p>
        </w:tc>
        <w:tc>
          <w:tcPr>
            <w:tcW w:w="2379" w:type="dxa"/>
            <w:gridSpan w:val="2"/>
            <w:tcMar>
              <w:left w:w="98" w:type="dxa"/>
            </w:tcMar>
            <w:vAlign w:val="center"/>
          </w:tcPr>
          <w:p w:rsidR="00534AA2" w:rsidRDefault="00534AA2">
            <w:pPr>
              <w:spacing w:after="0" w:line="360" w:lineRule="auto"/>
              <w:rPr>
                <w:rFonts w:ascii="Times New Roman" w:hAnsi="Times New Roman"/>
                <w:sz w:val="24"/>
                <w:szCs w:val="24"/>
              </w:rPr>
            </w:pPr>
            <w:r>
              <w:rPr>
                <w:rFonts w:ascii="Times New Roman" w:hAnsi="Times New Roman"/>
                <w:sz w:val="24"/>
                <w:szCs w:val="24"/>
              </w:rPr>
              <w:t>Страна</w:t>
            </w:r>
          </w:p>
        </w:tc>
        <w:tc>
          <w:tcPr>
            <w:tcW w:w="2091" w:type="dxa"/>
            <w:gridSpan w:val="2"/>
            <w:tcMar>
              <w:left w:w="98" w:type="dxa"/>
            </w:tcMar>
            <w:vAlign w:val="center"/>
          </w:tcPr>
          <w:p w:rsidR="00534AA2" w:rsidRDefault="00534AA2">
            <w:pPr>
              <w:spacing w:after="0" w:line="360" w:lineRule="auto"/>
              <w:jc w:val="center"/>
              <w:rPr>
                <w:rFonts w:ascii="Times New Roman" w:hAnsi="Times New Roman"/>
                <w:sz w:val="24"/>
                <w:szCs w:val="24"/>
              </w:rPr>
            </w:pPr>
            <w:r>
              <w:rPr>
                <w:rFonts w:ascii="Times New Roman" w:hAnsi="Times New Roman"/>
                <w:sz w:val="24"/>
                <w:szCs w:val="24"/>
              </w:rPr>
              <w:t>Объем, млрд. долл.</w:t>
            </w:r>
          </w:p>
        </w:tc>
      </w:tr>
      <w:tr w:rsidR="00534AA2">
        <w:tc>
          <w:tcPr>
            <w:tcW w:w="455" w:type="dxa"/>
            <w:tcMar>
              <w:left w:w="98" w:type="dxa"/>
            </w:tcMar>
            <w:vAlign w:val="center"/>
          </w:tcPr>
          <w:p w:rsidR="00534AA2" w:rsidRDefault="00534AA2">
            <w:pPr>
              <w:spacing w:after="0" w:line="360" w:lineRule="auto"/>
              <w:jc w:val="center"/>
              <w:rPr>
                <w:rFonts w:ascii="Times New Roman" w:hAnsi="Times New Roman"/>
                <w:sz w:val="24"/>
                <w:szCs w:val="24"/>
              </w:rPr>
            </w:pPr>
            <w:r>
              <w:rPr>
                <w:rFonts w:ascii="Times New Roman" w:hAnsi="Times New Roman"/>
                <w:sz w:val="24"/>
                <w:szCs w:val="24"/>
              </w:rPr>
              <w:t>1</w:t>
            </w:r>
          </w:p>
        </w:tc>
        <w:tc>
          <w:tcPr>
            <w:tcW w:w="1920" w:type="dxa"/>
            <w:gridSpan w:val="2"/>
            <w:tcMar>
              <w:left w:w="98" w:type="dxa"/>
            </w:tcMar>
            <w:vAlign w:val="center"/>
          </w:tcPr>
          <w:p w:rsidR="00534AA2" w:rsidRDefault="00534AA2">
            <w:pPr>
              <w:spacing w:after="0" w:line="360" w:lineRule="auto"/>
              <w:rPr>
                <w:rFonts w:ascii="Times New Roman" w:hAnsi="Times New Roman"/>
                <w:sz w:val="24"/>
                <w:szCs w:val="24"/>
              </w:rPr>
            </w:pPr>
            <w:r>
              <w:rPr>
                <w:rFonts w:ascii="Times New Roman" w:hAnsi="Times New Roman"/>
                <w:sz w:val="24"/>
                <w:szCs w:val="24"/>
              </w:rPr>
              <w:t>США</w:t>
            </w:r>
          </w:p>
        </w:tc>
        <w:tc>
          <w:tcPr>
            <w:tcW w:w="2266" w:type="dxa"/>
            <w:gridSpan w:val="2"/>
            <w:tcMar>
              <w:left w:w="98" w:type="dxa"/>
            </w:tcMar>
            <w:vAlign w:val="center"/>
          </w:tcPr>
          <w:p w:rsidR="00534AA2" w:rsidRDefault="00534AA2">
            <w:pPr>
              <w:spacing w:after="0" w:line="360" w:lineRule="auto"/>
              <w:jc w:val="center"/>
              <w:rPr>
                <w:rFonts w:ascii="Times New Roman" w:hAnsi="Times New Roman"/>
                <w:sz w:val="24"/>
                <w:szCs w:val="24"/>
              </w:rPr>
            </w:pPr>
            <w:r>
              <w:rPr>
                <w:rFonts w:ascii="Times New Roman" w:hAnsi="Times New Roman"/>
                <w:sz w:val="24"/>
                <w:szCs w:val="24"/>
              </w:rPr>
              <w:t>5410</w:t>
            </w:r>
          </w:p>
        </w:tc>
        <w:tc>
          <w:tcPr>
            <w:tcW w:w="459" w:type="dxa"/>
            <w:gridSpan w:val="2"/>
            <w:tcMar>
              <w:left w:w="98" w:type="dxa"/>
            </w:tcMar>
            <w:vAlign w:val="center"/>
          </w:tcPr>
          <w:p w:rsidR="00534AA2" w:rsidRDefault="00534AA2">
            <w:pPr>
              <w:spacing w:after="0" w:line="360" w:lineRule="auto"/>
              <w:jc w:val="center"/>
              <w:rPr>
                <w:rFonts w:ascii="Times New Roman" w:hAnsi="Times New Roman"/>
                <w:sz w:val="24"/>
                <w:szCs w:val="24"/>
              </w:rPr>
            </w:pPr>
            <w:r>
              <w:rPr>
                <w:rFonts w:ascii="Times New Roman" w:hAnsi="Times New Roman"/>
                <w:sz w:val="24"/>
                <w:szCs w:val="24"/>
              </w:rPr>
              <w:t>1</w:t>
            </w:r>
          </w:p>
        </w:tc>
        <w:tc>
          <w:tcPr>
            <w:tcW w:w="2379" w:type="dxa"/>
            <w:gridSpan w:val="2"/>
            <w:tcMar>
              <w:left w:w="98" w:type="dxa"/>
            </w:tcMar>
            <w:vAlign w:val="center"/>
          </w:tcPr>
          <w:p w:rsidR="00534AA2" w:rsidRDefault="00534AA2">
            <w:pPr>
              <w:spacing w:after="0" w:line="360" w:lineRule="auto"/>
              <w:rPr>
                <w:rFonts w:ascii="Times New Roman" w:hAnsi="Times New Roman"/>
                <w:sz w:val="24"/>
                <w:szCs w:val="24"/>
              </w:rPr>
            </w:pPr>
            <w:r>
              <w:rPr>
                <w:rFonts w:ascii="Times New Roman" w:hAnsi="Times New Roman"/>
                <w:sz w:val="24"/>
                <w:szCs w:val="24"/>
              </w:rPr>
              <w:t>США</w:t>
            </w:r>
          </w:p>
        </w:tc>
        <w:tc>
          <w:tcPr>
            <w:tcW w:w="2091" w:type="dxa"/>
            <w:gridSpan w:val="2"/>
            <w:tcMar>
              <w:left w:w="98" w:type="dxa"/>
            </w:tcMar>
            <w:vAlign w:val="center"/>
          </w:tcPr>
          <w:p w:rsidR="00534AA2" w:rsidRDefault="00534AA2">
            <w:pPr>
              <w:spacing w:after="0" w:line="360" w:lineRule="auto"/>
              <w:jc w:val="center"/>
              <w:rPr>
                <w:rFonts w:ascii="Times New Roman" w:hAnsi="Times New Roman"/>
                <w:sz w:val="24"/>
                <w:szCs w:val="24"/>
              </w:rPr>
            </w:pPr>
            <w:r>
              <w:rPr>
                <w:rFonts w:ascii="Times New Roman" w:hAnsi="Times New Roman"/>
                <w:sz w:val="24"/>
                <w:szCs w:val="24"/>
              </w:rPr>
              <w:t>10303</w:t>
            </w:r>
          </w:p>
        </w:tc>
      </w:tr>
      <w:tr w:rsidR="00534AA2">
        <w:tc>
          <w:tcPr>
            <w:tcW w:w="455" w:type="dxa"/>
            <w:tcMar>
              <w:left w:w="98" w:type="dxa"/>
            </w:tcMar>
            <w:vAlign w:val="center"/>
          </w:tcPr>
          <w:p w:rsidR="00534AA2" w:rsidRDefault="00534AA2">
            <w:pPr>
              <w:spacing w:after="0" w:line="360" w:lineRule="auto"/>
              <w:jc w:val="center"/>
              <w:rPr>
                <w:rFonts w:ascii="Times New Roman" w:hAnsi="Times New Roman"/>
                <w:sz w:val="24"/>
                <w:szCs w:val="24"/>
              </w:rPr>
            </w:pPr>
            <w:r>
              <w:rPr>
                <w:rFonts w:ascii="Times New Roman" w:hAnsi="Times New Roman"/>
                <w:sz w:val="24"/>
                <w:szCs w:val="24"/>
              </w:rPr>
              <w:t>2</w:t>
            </w:r>
          </w:p>
        </w:tc>
        <w:tc>
          <w:tcPr>
            <w:tcW w:w="1920" w:type="dxa"/>
            <w:gridSpan w:val="2"/>
            <w:tcMar>
              <w:left w:w="98" w:type="dxa"/>
            </w:tcMar>
            <w:vAlign w:val="center"/>
          </w:tcPr>
          <w:p w:rsidR="00534AA2" w:rsidRDefault="00534AA2">
            <w:pPr>
              <w:spacing w:after="0" w:line="360" w:lineRule="auto"/>
              <w:rPr>
                <w:rFonts w:ascii="Times New Roman" w:hAnsi="Times New Roman"/>
                <w:sz w:val="24"/>
                <w:szCs w:val="24"/>
              </w:rPr>
            </w:pPr>
            <w:r>
              <w:rPr>
                <w:rFonts w:ascii="Times New Roman" w:hAnsi="Times New Roman"/>
                <w:sz w:val="24"/>
                <w:szCs w:val="24"/>
              </w:rPr>
              <w:t>Великобритания</w:t>
            </w:r>
          </w:p>
        </w:tc>
        <w:tc>
          <w:tcPr>
            <w:tcW w:w="2266" w:type="dxa"/>
            <w:gridSpan w:val="2"/>
            <w:tcMar>
              <w:left w:w="98" w:type="dxa"/>
            </w:tcMar>
            <w:vAlign w:val="center"/>
          </w:tcPr>
          <w:p w:rsidR="00534AA2" w:rsidRDefault="00534AA2">
            <w:pPr>
              <w:spacing w:after="0" w:line="360" w:lineRule="auto"/>
              <w:jc w:val="center"/>
              <w:rPr>
                <w:rFonts w:ascii="Times New Roman" w:hAnsi="Times New Roman"/>
                <w:sz w:val="24"/>
                <w:szCs w:val="24"/>
              </w:rPr>
            </w:pPr>
            <w:r>
              <w:rPr>
                <w:rFonts w:ascii="Times New Roman" w:hAnsi="Times New Roman"/>
                <w:sz w:val="24"/>
                <w:szCs w:val="24"/>
              </w:rPr>
              <w:t>1663</w:t>
            </w:r>
          </w:p>
        </w:tc>
        <w:tc>
          <w:tcPr>
            <w:tcW w:w="459" w:type="dxa"/>
            <w:gridSpan w:val="2"/>
            <w:tcMar>
              <w:left w:w="98" w:type="dxa"/>
            </w:tcMar>
            <w:vAlign w:val="center"/>
          </w:tcPr>
          <w:p w:rsidR="00534AA2" w:rsidRDefault="00534AA2">
            <w:pPr>
              <w:spacing w:after="0" w:line="360" w:lineRule="auto"/>
              <w:jc w:val="center"/>
              <w:rPr>
                <w:rFonts w:ascii="Times New Roman" w:hAnsi="Times New Roman"/>
                <w:sz w:val="24"/>
                <w:szCs w:val="24"/>
              </w:rPr>
            </w:pPr>
            <w:r>
              <w:rPr>
                <w:rFonts w:ascii="Times New Roman" w:hAnsi="Times New Roman"/>
                <w:sz w:val="24"/>
                <w:szCs w:val="24"/>
              </w:rPr>
              <w:t>2</w:t>
            </w:r>
          </w:p>
        </w:tc>
        <w:tc>
          <w:tcPr>
            <w:tcW w:w="2379" w:type="dxa"/>
            <w:gridSpan w:val="2"/>
            <w:tcMar>
              <w:left w:w="98" w:type="dxa"/>
            </w:tcMar>
            <w:vAlign w:val="center"/>
          </w:tcPr>
          <w:p w:rsidR="00534AA2" w:rsidRDefault="00534AA2">
            <w:pPr>
              <w:spacing w:after="0" w:line="360" w:lineRule="auto"/>
              <w:rPr>
                <w:rFonts w:ascii="Times New Roman" w:hAnsi="Times New Roman"/>
                <w:sz w:val="24"/>
                <w:szCs w:val="24"/>
              </w:rPr>
            </w:pPr>
            <w:r>
              <w:rPr>
                <w:rFonts w:ascii="Times New Roman" w:hAnsi="Times New Roman"/>
                <w:sz w:val="24"/>
                <w:szCs w:val="24"/>
              </w:rPr>
              <w:t>Великобритания</w:t>
            </w:r>
          </w:p>
        </w:tc>
        <w:tc>
          <w:tcPr>
            <w:tcW w:w="2091" w:type="dxa"/>
            <w:gridSpan w:val="2"/>
            <w:tcMar>
              <w:left w:w="98" w:type="dxa"/>
            </w:tcMar>
            <w:vAlign w:val="center"/>
          </w:tcPr>
          <w:p w:rsidR="00534AA2" w:rsidRDefault="00534AA2">
            <w:pPr>
              <w:spacing w:after="0" w:line="360" w:lineRule="auto"/>
              <w:jc w:val="center"/>
              <w:rPr>
                <w:rFonts w:ascii="Times New Roman" w:hAnsi="Times New Roman"/>
                <w:sz w:val="24"/>
                <w:szCs w:val="24"/>
              </w:rPr>
            </w:pPr>
            <w:r>
              <w:rPr>
                <w:rFonts w:ascii="Times New Roman" w:hAnsi="Times New Roman"/>
                <w:sz w:val="24"/>
                <w:szCs w:val="24"/>
              </w:rPr>
              <w:t>3879</w:t>
            </w:r>
          </w:p>
        </w:tc>
      </w:tr>
      <w:tr w:rsidR="00534AA2">
        <w:tc>
          <w:tcPr>
            <w:tcW w:w="455" w:type="dxa"/>
            <w:tcMar>
              <w:left w:w="98" w:type="dxa"/>
            </w:tcMar>
            <w:vAlign w:val="center"/>
          </w:tcPr>
          <w:p w:rsidR="00534AA2" w:rsidRDefault="00534AA2">
            <w:pPr>
              <w:spacing w:after="0" w:line="360" w:lineRule="auto"/>
              <w:jc w:val="center"/>
              <w:rPr>
                <w:rFonts w:ascii="Times New Roman" w:hAnsi="Times New Roman"/>
                <w:sz w:val="24"/>
                <w:szCs w:val="24"/>
              </w:rPr>
            </w:pPr>
            <w:r>
              <w:rPr>
                <w:rFonts w:ascii="Times New Roman" w:hAnsi="Times New Roman"/>
                <w:sz w:val="24"/>
                <w:szCs w:val="24"/>
              </w:rPr>
              <w:t>3</w:t>
            </w:r>
          </w:p>
        </w:tc>
        <w:tc>
          <w:tcPr>
            <w:tcW w:w="1920" w:type="dxa"/>
            <w:gridSpan w:val="2"/>
            <w:tcMar>
              <w:left w:w="98" w:type="dxa"/>
            </w:tcMar>
            <w:vAlign w:val="center"/>
          </w:tcPr>
          <w:p w:rsidR="00534AA2" w:rsidRDefault="00534AA2">
            <w:pPr>
              <w:spacing w:after="0" w:line="360" w:lineRule="auto"/>
              <w:rPr>
                <w:rFonts w:ascii="Times New Roman" w:hAnsi="Times New Roman"/>
                <w:sz w:val="24"/>
                <w:szCs w:val="24"/>
              </w:rPr>
            </w:pPr>
            <w:r>
              <w:rPr>
                <w:rFonts w:ascii="Times New Roman" w:hAnsi="Times New Roman"/>
                <w:sz w:val="24"/>
                <w:szCs w:val="24"/>
              </w:rPr>
              <w:t>Гонконг</w:t>
            </w:r>
          </w:p>
        </w:tc>
        <w:tc>
          <w:tcPr>
            <w:tcW w:w="2266" w:type="dxa"/>
            <w:gridSpan w:val="2"/>
            <w:tcMar>
              <w:left w:w="98" w:type="dxa"/>
            </w:tcMar>
            <w:vAlign w:val="center"/>
          </w:tcPr>
          <w:p w:rsidR="00534AA2" w:rsidRDefault="00534AA2">
            <w:pPr>
              <w:spacing w:after="0" w:line="360" w:lineRule="auto"/>
              <w:jc w:val="center"/>
              <w:rPr>
                <w:rFonts w:ascii="Times New Roman" w:hAnsi="Times New Roman"/>
                <w:sz w:val="24"/>
                <w:szCs w:val="24"/>
              </w:rPr>
            </w:pPr>
            <w:r>
              <w:rPr>
                <w:rFonts w:ascii="Times New Roman" w:hAnsi="Times New Roman"/>
                <w:sz w:val="24"/>
                <w:szCs w:val="24"/>
              </w:rPr>
              <w:t>1550</w:t>
            </w:r>
          </w:p>
        </w:tc>
        <w:tc>
          <w:tcPr>
            <w:tcW w:w="459" w:type="dxa"/>
            <w:gridSpan w:val="2"/>
            <w:tcMar>
              <w:left w:w="98" w:type="dxa"/>
            </w:tcMar>
            <w:vAlign w:val="center"/>
          </w:tcPr>
          <w:p w:rsidR="00534AA2" w:rsidRDefault="00534AA2">
            <w:pPr>
              <w:spacing w:after="0" w:line="360" w:lineRule="auto"/>
              <w:jc w:val="center"/>
              <w:rPr>
                <w:rFonts w:ascii="Times New Roman" w:hAnsi="Times New Roman"/>
                <w:sz w:val="24"/>
                <w:szCs w:val="24"/>
              </w:rPr>
            </w:pPr>
            <w:r>
              <w:rPr>
                <w:rFonts w:ascii="Times New Roman" w:hAnsi="Times New Roman"/>
                <w:sz w:val="24"/>
                <w:szCs w:val="24"/>
              </w:rPr>
              <w:t>3</w:t>
            </w:r>
          </w:p>
        </w:tc>
        <w:tc>
          <w:tcPr>
            <w:tcW w:w="2379" w:type="dxa"/>
            <w:gridSpan w:val="2"/>
            <w:tcMar>
              <w:left w:w="98" w:type="dxa"/>
            </w:tcMar>
            <w:vAlign w:val="center"/>
          </w:tcPr>
          <w:p w:rsidR="00534AA2" w:rsidRDefault="00534AA2">
            <w:pPr>
              <w:spacing w:after="0" w:line="360" w:lineRule="auto"/>
              <w:rPr>
                <w:rFonts w:ascii="Times New Roman" w:hAnsi="Times New Roman"/>
                <w:sz w:val="24"/>
                <w:szCs w:val="24"/>
              </w:rPr>
            </w:pPr>
            <w:r>
              <w:rPr>
                <w:rFonts w:ascii="Times New Roman" w:hAnsi="Times New Roman"/>
                <w:sz w:val="24"/>
                <w:szCs w:val="24"/>
              </w:rPr>
              <w:t>Франция</w:t>
            </w:r>
          </w:p>
        </w:tc>
        <w:tc>
          <w:tcPr>
            <w:tcW w:w="2091" w:type="dxa"/>
            <w:gridSpan w:val="2"/>
            <w:tcMar>
              <w:left w:w="98" w:type="dxa"/>
            </w:tcMar>
            <w:vAlign w:val="center"/>
          </w:tcPr>
          <w:p w:rsidR="00534AA2" w:rsidRDefault="00534AA2">
            <w:pPr>
              <w:spacing w:after="0" w:line="360" w:lineRule="auto"/>
              <w:jc w:val="center"/>
              <w:rPr>
                <w:rFonts w:ascii="Times New Roman" w:hAnsi="Times New Roman"/>
                <w:sz w:val="24"/>
                <w:szCs w:val="24"/>
              </w:rPr>
            </w:pPr>
            <w:r>
              <w:rPr>
                <w:rFonts w:ascii="Times New Roman" w:hAnsi="Times New Roman"/>
                <w:sz w:val="24"/>
                <w:szCs w:val="24"/>
              </w:rPr>
              <w:t>3198</w:t>
            </w:r>
          </w:p>
        </w:tc>
      </w:tr>
      <w:tr w:rsidR="00534AA2">
        <w:tc>
          <w:tcPr>
            <w:tcW w:w="455" w:type="dxa"/>
            <w:tcMar>
              <w:left w:w="98" w:type="dxa"/>
            </w:tcMar>
            <w:vAlign w:val="center"/>
          </w:tcPr>
          <w:p w:rsidR="00534AA2" w:rsidRDefault="00534AA2">
            <w:pPr>
              <w:spacing w:after="0" w:line="360" w:lineRule="auto"/>
              <w:jc w:val="center"/>
              <w:rPr>
                <w:rFonts w:ascii="Times New Roman" w:hAnsi="Times New Roman"/>
                <w:sz w:val="24"/>
                <w:szCs w:val="24"/>
              </w:rPr>
            </w:pPr>
            <w:r>
              <w:rPr>
                <w:rFonts w:ascii="Times New Roman" w:hAnsi="Times New Roman"/>
                <w:sz w:val="24"/>
                <w:szCs w:val="24"/>
              </w:rPr>
              <w:t>4</w:t>
            </w:r>
          </w:p>
        </w:tc>
        <w:tc>
          <w:tcPr>
            <w:tcW w:w="1920" w:type="dxa"/>
            <w:gridSpan w:val="2"/>
            <w:tcMar>
              <w:left w:w="98" w:type="dxa"/>
            </w:tcMar>
            <w:vAlign w:val="center"/>
          </w:tcPr>
          <w:p w:rsidR="00534AA2" w:rsidRDefault="00534AA2">
            <w:pPr>
              <w:spacing w:after="0" w:line="360" w:lineRule="auto"/>
              <w:rPr>
                <w:rFonts w:ascii="Times New Roman" w:hAnsi="Times New Roman"/>
                <w:sz w:val="24"/>
                <w:szCs w:val="24"/>
              </w:rPr>
            </w:pPr>
            <w:r>
              <w:rPr>
                <w:rFonts w:ascii="Times New Roman" w:hAnsi="Times New Roman"/>
                <w:sz w:val="24"/>
                <w:szCs w:val="24"/>
              </w:rPr>
              <w:t>Китай</w:t>
            </w:r>
          </w:p>
        </w:tc>
        <w:tc>
          <w:tcPr>
            <w:tcW w:w="2266" w:type="dxa"/>
            <w:gridSpan w:val="2"/>
            <w:tcMar>
              <w:left w:w="98" w:type="dxa"/>
            </w:tcMar>
            <w:vAlign w:val="center"/>
          </w:tcPr>
          <w:p w:rsidR="00534AA2" w:rsidRDefault="00534AA2">
            <w:pPr>
              <w:spacing w:after="0" w:line="360" w:lineRule="auto"/>
              <w:jc w:val="center"/>
              <w:rPr>
                <w:rFonts w:ascii="Times New Roman" w:hAnsi="Times New Roman"/>
                <w:sz w:val="24"/>
                <w:szCs w:val="24"/>
              </w:rPr>
            </w:pPr>
            <w:r>
              <w:rPr>
                <w:rFonts w:ascii="Times New Roman" w:hAnsi="Times New Roman"/>
                <w:sz w:val="24"/>
                <w:szCs w:val="24"/>
              </w:rPr>
              <w:t>1085</w:t>
            </w:r>
          </w:p>
        </w:tc>
        <w:tc>
          <w:tcPr>
            <w:tcW w:w="459" w:type="dxa"/>
            <w:gridSpan w:val="2"/>
            <w:tcMar>
              <w:left w:w="98" w:type="dxa"/>
            </w:tcMar>
            <w:vAlign w:val="center"/>
          </w:tcPr>
          <w:p w:rsidR="00534AA2" w:rsidRDefault="00534AA2">
            <w:pPr>
              <w:spacing w:after="0" w:line="360" w:lineRule="auto"/>
              <w:jc w:val="center"/>
              <w:rPr>
                <w:rFonts w:ascii="Times New Roman" w:hAnsi="Times New Roman"/>
                <w:sz w:val="24"/>
                <w:szCs w:val="24"/>
              </w:rPr>
            </w:pPr>
            <w:r>
              <w:rPr>
                <w:rFonts w:ascii="Times New Roman" w:hAnsi="Times New Roman"/>
                <w:sz w:val="24"/>
                <w:szCs w:val="24"/>
              </w:rPr>
              <w:t>4</w:t>
            </w:r>
          </w:p>
        </w:tc>
        <w:tc>
          <w:tcPr>
            <w:tcW w:w="2379" w:type="dxa"/>
            <w:gridSpan w:val="2"/>
            <w:tcMar>
              <w:left w:w="98" w:type="dxa"/>
            </w:tcMar>
            <w:vAlign w:val="center"/>
          </w:tcPr>
          <w:p w:rsidR="00534AA2" w:rsidRDefault="00534AA2">
            <w:pPr>
              <w:spacing w:after="0" w:line="360" w:lineRule="auto"/>
              <w:rPr>
                <w:rFonts w:ascii="Times New Roman" w:hAnsi="Times New Roman"/>
                <w:sz w:val="24"/>
                <w:szCs w:val="24"/>
              </w:rPr>
            </w:pPr>
            <w:r>
              <w:rPr>
                <w:rFonts w:ascii="Times New Roman" w:hAnsi="Times New Roman"/>
                <w:sz w:val="24"/>
                <w:szCs w:val="24"/>
              </w:rPr>
              <w:t>Германия</w:t>
            </w:r>
          </w:p>
        </w:tc>
        <w:tc>
          <w:tcPr>
            <w:tcW w:w="2091" w:type="dxa"/>
            <w:gridSpan w:val="2"/>
            <w:tcMar>
              <w:left w:w="98" w:type="dxa"/>
            </w:tcMar>
            <w:vAlign w:val="center"/>
          </w:tcPr>
          <w:p w:rsidR="00534AA2" w:rsidRDefault="00534AA2">
            <w:pPr>
              <w:spacing w:after="0" w:line="360" w:lineRule="auto"/>
              <w:jc w:val="center"/>
              <w:rPr>
                <w:rFonts w:ascii="Times New Roman" w:hAnsi="Times New Roman"/>
                <w:sz w:val="24"/>
                <w:szCs w:val="24"/>
              </w:rPr>
            </w:pPr>
            <w:r>
              <w:rPr>
                <w:rFonts w:ascii="Times New Roman" w:hAnsi="Times New Roman"/>
                <w:sz w:val="24"/>
                <w:szCs w:val="24"/>
              </w:rPr>
              <w:t>3027</w:t>
            </w:r>
          </w:p>
        </w:tc>
      </w:tr>
      <w:tr w:rsidR="00534AA2">
        <w:tc>
          <w:tcPr>
            <w:tcW w:w="455" w:type="dxa"/>
            <w:tcMar>
              <w:left w:w="98" w:type="dxa"/>
            </w:tcMar>
            <w:vAlign w:val="center"/>
          </w:tcPr>
          <w:p w:rsidR="00534AA2" w:rsidRDefault="00534AA2">
            <w:pPr>
              <w:spacing w:after="0" w:line="360" w:lineRule="auto"/>
              <w:jc w:val="center"/>
              <w:rPr>
                <w:rFonts w:ascii="Times New Roman" w:hAnsi="Times New Roman"/>
                <w:sz w:val="24"/>
                <w:szCs w:val="24"/>
              </w:rPr>
            </w:pPr>
            <w:r>
              <w:rPr>
                <w:rFonts w:ascii="Times New Roman" w:hAnsi="Times New Roman"/>
                <w:sz w:val="24"/>
                <w:szCs w:val="24"/>
              </w:rPr>
              <w:t>5</w:t>
            </w:r>
          </w:p>
        </w:tc>
        <w:tc>
          <w:tcPr>
            <w:tcW w:w="1920" w:type="dxa"/>
            <w:gridSpan w:val="2"/>
            <w:tcMar>
              <w:left w:w="98" w:type="dxa"/>
            </w:tcMar>
            <w:vAlign w:val="center"/>
          </w:tcPr>
          <w:p w:rsidR="00534AA2" w:rsidRDefault="00534AA2">
            <w:pPr>
              <w:spacing w:after="0" w:line="360" w:lineRule="auto"/>
              <w:rPr>
                <w:rFonts w:ascii="Times New Roman" w:hAnsi="Times New Roman"/>
                <w:sz w:val="24"/>
                <w:szCs w:val="24"/>
              </w:rPr>
            </w:pPr>
            <w:r>
              <w:rPr>
                <w:rFonts w:ascii="Times New Roman" w:hAnsi="Times New Roman"/>
                <w:sz w:val="24"/>
                <w:szCs w:val="24"/>
              </w:rPr>
              <w:t>Сингапур</w:t>
            </w:r>
          </w:p>
        </w:tc>
        <w:tc>
          <w:tcPr>
            <w:tcW w:w="2266" w:type="dxa"/>
            <w:gridSpan w:val="2"/>
            <w:tcMar>
              <w:left w:w="98" w:type="dxa"/>
            </w:tcMar>
            <w:vAlign w:val="center"/>
          </w:tcPr>
          <w:p w:rsidR="00534AA2" w:rsidRDefault="00534AA2">
            <w:pPr>
              <w:spacing w:after="0" w:line="360" w:lineRule="auto"/>
              <w:jc w:val="center"/>
              <w:rPr>
                <w:rFonts w:ascii="Times New Roman" w:hAnsi="Times New Roman"/>
                <w:sz w:val="24"/>
                <w:szCs w:val="24"/>
              </w:rPr>
            </w:pPr>
            <w:r>
              <w:rPr>
                <w:rFonts w:ascii="Times New Roman" w:hAnsi="Times New Roman"/>
                <w:sz w:val="24"/>
                <w:szCs w:val="24"/>
              </w:rPr>
              <w:t>912</w:t>
            </w:r>
          </w:p>
        </w:tc>
        <w:tc>
          <w:tcPr>
            <w:tcW w:w="459" w:type="dxa"/>
            <w:gridSpan w:val="2"/>
            <w:tcMar>
              <w:left w:w="98" w:type="dxa"/>
            </w:tcMar>
            <w:vAlign w:val="center"/>
          </w:tcPr>
          <w:p w:rsidR="00534AA2" w:rsidRDefault="00534AA2">
            <w:pPr>
              <w:spacing w:after="0" w:line="360" w:lineRule="auto"/>
              <w:jc w:val="center"/>
              <w:rPr>
                <w:rFonts w:ascii="Times New Roman" w:hAnsi="Times New Roman"/>
                <w:sz w:val="24"/>
                <w:szCs w:val="24"/>
              </w:rPr>
            </w:pPr>
            <w:r>
              <w:rPr>
                <w:rFonts w:ascii="Times New Roman" w:hAnsi="Times New Roman"/>
                <w:sz w:val="24"/>
                <w:szCs w:val="24"/>
              </w:rPr>
              <w:t>5</w:t>
            </w:r>
          </w:p>
        </w:tc>
        <w:tc>
          <w:tcPr>
            <w:tcW w:w="2379" w:type="dxa"/>
            <w:gridSpan w:val="2"/>
            <w:tcMar>
              <w:left w:w="98" w:type="dxa"/>
            </w:tcMar>
            <w:vAlign w:val="center"/>
          </w:tcPr>
          <w:p w:rsidR="00534AA2" w:rsidRDefault="00534AA2">
            <w:pPr>
              <w:spacing w:after="0" w:line="360" w:lineRule="auto"/>
              <w:rPr>
                <w:rFonts w:ascii="Times New Roman" w:hAnsi="Times New Roman"/>
                <w:sz w:val="24"/>
                <w:szCs w:val="24"/>
              </w:rPr>
            </w:pPr>
            <w:r>
              <w:rPr>
                <w:rFonts w:ascii="Times New Roman" w:hAnsi="Times New Roman"/>
                <w:sz w:val="24"/>
                <w:szCs w:val="24"/>
              </w:rPr>
              <w:t>Люксембург</w:t>
            </w:r>
          </w:p>
        </w:tc>
        <w:tc>
          <w:tcPr>
            <w:tcW w:w="2091" w:type="dxa"/>
            <w:gridSpan w:val="2"/>
            <w:tcMar>
              <w:left w:w="98" w:type="dxa"/>
            </w:tcMar>
            <w:vAlign w:val="center"/>
          </w:tcPr>
          <w:p w:rsidR="00534AA2" w:rsidRDefault="00534AA2">
            <w:pPr>
              <w:spacing w:after="0" w:line="360" w:lineRule="auto"/>
              <w:jc w:val="center"/>
              <w:rPr>
                <w:rFonts w:ascii="Times New Roman" w:hAnsi="Times New Roman"/>
                <w:sz w:val="24"/>
                <w:szCs w:val="24"/>
              </w:rPr>
            </w:pPr>
            <w:r>
              <w:rPr>
                <w:rFonts w:ascii="Times New Roman" w:hAnsi="Times New Roman"/>
                <w:sz w:val="24"/>
                <w:szCs w:val="24"/>
              </w:rPr>
              <w:t>2873</w:t>
            </w:r>
          </w:p>
        </w:tc>
      </w:tr>
      <w:tr w:rsidR="00534AA2">
        <w:tc>
          <w:tcPr>
            <w:tcW w:w="455" w:type="dxa"/>
            <w:tcMar>
              <w:left w:w="98" w:type="dxa"/>
            </w:tcMar>
            <w:vAlign w:val="center"/>
          </w:tcPr>
          <w:p w:rsidR="00534AA2" w:rsidRDefault="00534AA2">
            <w:pPr>
              <w:spacing w:after="0" w:line="360" w:lineRule="auto"/>
              <w:jc w:val="center"/>
              <w:rPr>
                <w:rFonts w:ascii="Times New Roman" w:hAnsi="Times New Roman"/>
                <w:sz w:val="24"/>
                <w:szCs w:val="24"/>
              </w:rPr>
            </w:pPr>
            <w:r>
              <w:rPr>
                <w:rFonts w:ascii="Times New Roman" w:hAnsi="Times New Roman"/>
                <w:sz w:val="24"/>
                <w:szCs w:val="24"/>
              </w:rPr>
              <w:t>6</w:t>
            </w:r>
          </w:p>
        </w:tc>
        <w:tc>
          <w:tcPr>
            <w:tcW w:w="1920" w:type="dxa"/>
            <w:gridSpan w:val="2"/>
            <w:tcMar>
              <w:left w:w="98" w:type="dxa"/>
            </w:tcMar>
            <w:vAlign w:val="center"/>
          </w:tcPr>
          <w:p w:rsidR="00534AA2" w:rsidRDefault="00534AA2">
            <w:pPr>
              <w:spacing w:after="0" w:line="360" w:lineRule="auto"/>
              <w:rPr>
                <w:rFonts w:ascii="Times New Roman" w:hAnsi="Times New Roman"/>
                <w:sz w:val="24"/>
                <w:szCs w:val="24"/>
              </w:rPr>
            </w:pPr>
            <w:r>
              <w:rPr>
                <w:rFonts w:ascii="Times New Roman" w:hAnsi="Times New Roman"/>
                <w:sz w:val="24"/>
                <w:szCs w:val="24"/>
              </w:rPr>
              <w:t>Бразилия</w:t>
            </w:r>
          </w:p>
        </w:tc>
        <w:tc>
          <w:tcPr>
            <w:tcW w:w="2266" w:type="dxa"/>
            <w:gridSpan w:val="2"/>
            <w:tcMar>
              <w:left w:w="98" w:type="dxa"/>
            </w:tcMar>
            <w:vAlign w:val="center"/>
          </w:tcPr>
          <w:p w:rsidR="00534AA2" w:rsidRDefault="00534AA2">
            <w:pPr>
              <w:spacing w:after="0" w:line="360" w:lineRule="auto"/>
              <w:jc w:val="center"/>
              <w:rPr>
                <w:rFonts w:ascii="Times New Roman" w:hAnsi="Times New Roman"/>
                <w:sz w:val="24"/>
                <w:szCs w:val="24"/>
              </w:rPr>
            </w:pPr>
            <w:r>
              <w:rPr>
                <w:rFonts w:ascii="Times New Roman" w:hAnsi="Times New Roman"/>
                <w:sz w:val="24"/>
                <w:szCs w:val="24"/>
              </w:rPr>
              <w:t>755</w:t>
            </w:r>
          </w:p>
        </w:tc>
        <w:tc>
          <w:tcPr>
            <w:tcW w:w="459" w:type="dxa"/>
            <w:gridSpan w:val="2"/>
            <w:tcMar>
              <w:left w:w="98" w:type="dxa"/>
            </w:tcMar>
            <w:vAlign w:val="center"/>
          </w:tcPr>
          <w:p w:rsidR="00534AA2" w:rsidRDefault="00534AA2">
            <w:pPr>
              <w:spacing w:after="0" w:line="360" w:lineRule="auto"/>
              <w:jc w:val="center"/>
              <w:rPr>
                <w:rFonts w:ascii="Times New Roman" w:hAnsi="Times New Roman"/>
                <w:sz w:val="24"/>
                <w:szCs w:val="24"/>
              </w:rPr>
            </w:pPr>
            <w:r>
              <w:rPr>
                <w:rFonts w:ascii="Times New Roman" w:hAnsi="Times New Roman"/>
                <w:sz w:val="24"/>
                <w:szCs w:val="24"/>
              </w:rPr>
              <w:t>6</w:t>
            </w:r>
          </w:p>
        </w:tc>
        <w:tc>
          <w:tcPr>
            <w:tcW w:w="2379" w:type="dxa"/>
            <w:gridSpan w:val="2"/>
            <w:tcMar>
              <w:left w:w="98" w:type="dxa"/>
            </w:tcMar>
            <w:vAlign w:val="center"/>
          </w:tcPr>
          <w:p w:rsidR="00534AA2" w:rsidRDefault="00534AA2">
            <w:pPr>
              <w:spacing w:after="0" w:line="360" w:lineRule="auto"/>
              <w:rPr>
                <w:rFonts w:ascii="Times New Roman" w:hAnsi="Times New Roman"/>
                <w:sz w:val="24"/>
                <w:szCs w:val="24"/>
              </w:rPr>
            </w:pPr>
            <w:r>
              <w:rPr>
                <w:rFonts w:ascii="Times New Roman" w:hAnsi="Times New Roman"/>
                <w:sz w:val="24"/>
                <w:szCs w:val="24"/>
              </w:rPr>
              <w:t>Каймановы острова</w:t>
            </w:r>
          </w:p>
        </w:tc>
        <w:tc>
          <w:tcPr>
            <w:tcW w:w="2091" w:type="dxa"/>
            <w:gridSpan w:val="2"/>
            <w:tcMar>
              <w:left w:w="98" w:type="dxa"/>
            </w:tcMar>
            <w:vAlign w:val="center"/>
          </w:tcPr>
          <w:p w:rsidR="00534AA2" w:rsidRDefault="00534AA2">
            <w:pPr>
              <w:spacing w:after="0" w:line="360" w:lineRule="auto"/>
              <w:jc w:val="center"/>
              <w:rPr>
                <w:rFonts w:ascii="Times New Roman" w:hAnsi="Times New Roman"/>
                <w:sz w:val="24"/>
                <w:szCs w:val="24"/>
              </w:rPr>
            </w:pPr>
            <w:r>
              <w:rPr>
                <w:rFonts w:ascii="Times New Roman" w:hAnsi="Times New Roman"/>
                <w:sz w:val="24"/>
                <w:szCs w:val="24"/>
              </w:rPr>
              <w:t>2395</w:t>
            </w:r>
          </w:p>
        </w:tc>
      </w:tr>
      <w:tr w:rsidR="00534AA2">
        <w:tc>
          <w:tcPr>
            <w:tcW w:w="455" w:type="dxa"/>
            <w:tcMar>
              <w:left w:w="98" w:type="dxa"/>
            </w:tcMar>
            <w:vAlign w:val="center"/>
          </w:tcPr>
          <w:p w:rsidR="00534AA2" w:rsidRDefault="00534AA2">
            <w:pPr>
              <w:spacing w:after="0" w:line="360" w:lineRule="auto"/>
              <w:jc w:val="center"/>
              <w:rPr>
                <w:rFonts w:ascii="Times New Roman" w:hAnsi="Times New Roman"/>
                <w:sz w:val="24"/>
                <w:szCs w:val="24"/>
              </w:rPr>
            </w:pPr>
            <w:r>
              <w:rPr>
                <w:rFonts w:ascii="Times New Roman" w:hAnsi="Times New Roman"/>
                <w:sz w:val="24"/>
                <w:szCs w:val="24"/>
              </w:rPr>
              <w:t>7</w:t>
            </w:r>
          </w:p>
        </w:tc>
        <w:tc>
          <w:tcPr>
            <w:tcW w:w="1920" w:type="dxa"/>
            <w:gridSpan w:val="2"/>
            <w:tcMar>
              <w:left w:w="98" w:type="dxa"/>
            </w:tcMar>
            <w:vAlign w:val="center"/>
          </w:tcPr>
          <w:p w:rsidR="00534AA2" w:rsidRDefault="00534AA2">
            <w:pPr>
              <w:spacing w:after="0" w:line="360" w:lineRule="auto"/>
              <w:rPr>
                <w:rFonts w:ascii="Times New Roman" w:hAnsi="Times New Roman"/>
                <w:sz w:val="24"/>
                <w:szCs w:val="24"/>
              </w:rPr>
            </w:pPr>
            <w:r>
              <w:rPr>
                <w:rFonts w:ascii="Times New Roman" w:hAnsi="Times New Roman"/>
                <w:sz w:val="24"/>
                <w:szCs w:val="24"/>
              </w:rPr>
              <w:t>Германия</w:t>
            </w:r>
          </w:p>
        </w:tc>
        <w:tc>
          <w:tcPr>
            <w:tcW w:w="2266" w:type="dxa"/>
            <w:gridSpan w:val="2"/>
            <w:tcMar>
              <w:left w:w="98" w:type="dxa"/>
            </w:tcMar>
            <w:vAlign w:val="center"/>
          </w:tcPr>
          <w:p w:rsidR="00534AA2" w:rsidRDefault="00534AA2">
            <w:pPr>
              <w:spacing w:after="0" w:line="360" w:lineRule="auto"/>
              <w:jc w:val="center"/>
              <w:rPr>
                <w:rFonts w:ascii="Times New Roman" w:hAnsi="Times New Roman"/>
                <w:sz w:val="24"/>
                <w:szCs w:val="24"/>
              </w:rPr>
            </w:pPr>
            <w:r>
              <w:rPr>
                <w:rFonts w:ascii="Times New Roman" w:hAnsi="Times New Roman"/>
                <w:sz w:val="24"/>
                <w:szCs w:val="24"/>
              </w:rPr>
              <w:t>744</w:t>
            </w:r>
          </w:p>
        </w:tc>
        <w:tc>
          <w:tcPr>
            <w:tcW w:w="459" w:type="dxa"/>
            <w:gridSpan w:val="2"/>
            <w:tcMar>
              <w:left w:w="98" w:type="dxa"/>
            </w:tcMar>
            <w:vAlign w:val="center"/>
          </w:tcPr>
          <w:p w:rsidR="00534AA2" w:rsidRDefault="00534AA2">
            <w:pPr>
              <w:spacing w:after="0" w:line="360" w:lineRule="auto"/>
              <w:jc w:val="center"/>
              <w:rPr>
                <w:rFonts w:ascii="Times New Roman" w:hAnsi="Times New Roman"/>
                <w:sz w:val="24"/>
                <w:szCs w:val="24"/>
              </w:rPr>
            </w:pPr>
            <w:r>
              <w:rPr>
                <w:rFonts w:ascii="Times New Roman" w:hAnsi="Times New Roman"/>
                <w:sz w:val="24"/>
                <w:szCs w:val="24"/>
              </w:rPr>
              <w:t>7</w:t>
            </w:r>
          </w:p>
        </w:tc>
        <w:tc>
          <w:tcPr>
            <w:tcW w:w="2379" w:type="dxa"/>
            <w:gridSpan w:val="2"/>
            <w:tcMar>
              <w:left w:w="98" w:type="dxa"/>
            </w:tcMar>
            <w:vAlign w:val="center"/>
          </w:tcPr>
          <w:p w:rsidR="00534AA2" w:rsidRDefault="00534AA2">
            <w:pPr>
              <w:spacing w:after="0" w:line="360" w:lineRule="auto"/>
              <w:rPr>
                <w:rFonts w:ascii="Times New Roman" w:hAnsi="Times New Roman"/>
                <w:sz w:val="24"/>
                <w:szCs w:val="24"/>
              </w:rPr>
            </w:pPr>
            <w:r>
              <w:rPr>
                <w:rFonts w:ascii="Times New Roman" w:hAnsi="Times New Roman"/>
                <w:sz w:val="24"/>
                <w:szCs w:val="24"/>
              </w:rPr>
              <w:t>Нидерланды</w:t>
            </w:r>
          </w:p>
        </w:tc>
        <w:tc>
          <w:tcPr>
            <w:tcW w:w="2091" w:type="dxa"/>
            <w:gridSpan w:val="2"/>
            <w:tcMar>
              <w:left w:w="98" w:type="dxa"/>
            </w:tcMar>
            <w:vAlign w:val="center"/>
          </w:tcPr>
          <w:p w:rsidR="00534AA2" w:rsidRDefault="00534AA2">
            <w:pPr>
              <w:spacing w:after="0" w:line="360" w:lineRule="auto"/>
              <w:jc w:val="center"/>
              <w:rPr>
                <w:rFonts w:ascii="Times New Roman" w:hAnsi="Times New Roman"/>
                <w:sz w:val="24"/>
                <w:szCs w:val="24"/>
              </w:rPr>
            </w:pPr>
            <w:r>
              <w:rPr>
                <w:rFonts w:ascii="Times New Roman" w:hAnsi="Times New Roman"/>
                <w:sz w:val="24"/>
                <w:szCs w:val="24"/>
              </w:rPr>
              <w:t>2114</w:t>
            </w:r>
          </w:p>
        </w:tc>
      </w:tr>
      <w:tr w:rsidR="00534AA2">
        <w:tc>
          <w:tcPr>
            <w:tcW w:w="455" w:type="dxa"/>
            <w:tcMar>
              <w:left w:w="98" w:type="dxa"/>
            </w:tcMar>
            <w:vAlign w:val="center"/>
          </w:tcPr>
          <w:p w:rsidR="00534AA2" w:rsidRDefault="00534AA2">
            <w:pPr>
              <w:spacing w:after="0" w:line="360" w:lineRule="auto"/>
              <w:jc w:val="center"/>
              <w:rPr>
                <w:rFonts w:ascii="Times New Roman" w:hAnsi="Times New Roman"/>
                <w:sz w:val="24"/>
                <w:szCs w:val="24"/>
              </w:rPr>
            </w:pPr>
            <w:r>
              <w:rPr>
                <w:rFonts w:ascii="Times New Roman" w:hAnsi="Times New Roman"/>
                <w:sz w:val="24"/>
                <w:szCs w:val="24"/>
              </w:rPr>
              <w:t>8</w:t>
            </w:r>
          </w:p>
        </w:tc>
        <w:tc>
          <w:tcPr>
            <w:tcW w:w="1920" w:type="dxa"/>
            <w:gridSpan w:val="2"/>
            <w:tcMar>
              <w:left w:w="98" w:type="dxa"/>
            </w:tcMar>
            <w:vAlign w:val="center"/>
          </w:tcPr>
          <w:p w:rsidR="00534AA2" w:rsidRDefault="00534AA2">
            <w:pPr>
              <w:spacing w:after="0" w:line="360" w:lineRule="auto"/>
              <w:rPr>
                <w:rFonts w:ascii="Times New Roman" w:hAnsi="Times New Roman"/>
                <w:sz w:val="24"/>
                <w:szCs w:val="24"/>
              </w:rPr>
            </w:pPr>
            <w:r>
              <w:rPr>
                <w:rFonts w:ascii="Times New Roman" w:hAnsi="Times New Roman"/>
                <w:sz w:val="24"/>
                <w:szCs w:val="24"/>
              </w:rPr>
              <w:t>Франция</w:t>
            </w:r>
          </w:p>
        </w:tc>
        <w:tc>
          <w:tcPr>
            <w:tcW w:w="2266" w:type="dxa"/>
            <w:gridSpan w:val="2"/>
            <w:tcMar>
              <w:left w:w="98" w:type="dxa"/>
            </w:tcMar>
            <w:vAlign w:val="center"/>
          </w:tcPr>
          <w:p w:rsidR="00534AA2" w:rsidRDefault="00534AA2">
            <w:pPr>
              <w:spacing w:after="0" w:line="360" w:lineRule="auto"/>
              <w:jc w:val="center"/>
              <w:rPr>
                <w:rFonts w:ascii="Times New Roman" w:hAnsi="Times New Roman"/>
                <w:sz w:val="24"/>
                <w:szCs w:val="24"/>
              </w:rPr>
            </w:pPr>
            <w:r>
              <w:rPr>
                <w:rFonts w:ascii="Times New Roman" w:hAnsi="Times New Roman"/>
                <w:sz w:val="24"/>
                <w:szCs w:val="24"/>
              </w:rPr>
              <w:t>729</w:t>
            </w:r>
          </w:p>
        </w:tc>
        <w:tc>
          <w:tcPr>
            <w:tcW w:w="459" w:type="dxa"/>
            <w:gridSpan w:val="2"/>
            <w:tcMar>
              <w:left w:w="98" w:type="dxa"/>
            </w:tcMar>
            <w:vAlign w:val="center"/>
          </w:tcPr>
          <w:p w:rsidR="00534AA2" w:rsidRDefault="00534AA2">
            <w:pPr>
              <w:spacing w:after="0" w:line="360" w:lineRule="auto"/>
              <w:jc w:val="center"/>
              <w:rPr>
                <w:rFonts w:ascii="Times New Roman" w:hAnsi="Times New Roman"/>
                <w:sz w:val="24"/>
                <w:szCs w:val="24"/>
              </w:rPr>
            </w:pPr>
            <w:r>
              <w:rPr>
                <w:rFonts w:ascii="Times New Roman" w:hAnsi="Times New Roman"/>
                <w:sz w:val="24"/>
                <w:szCs w:val="24"/>
              </w:rPr>
              <w:t>8</w:t>
            </w:r>
          </w:p>
        </w:tc>
        <w:tc>
          <w:tcPr>
            <w:tcW w:w="2379" w:type="dxa"/>
            <w:gridSpan w:val="2"/>
            <w:tcMar>
              <w:left w:w="98" w:type="dxa"/>
            </w:tcMar>
            <w:vAlign w:val="center"/>
          </w:tcPr>
          <w:p w:rsidR="00534AA2" w:rsidRDefault="00534AA2">
            <w:pPr>
              <w:spacing w:after="0" w:line="360" w:lineRule="auto"/>
              <w:rPr>
                <w:rFonts w:ascii="Times New Roman" w:hAnsi="Times New Roman"/>
                <w:sz w:val="24"/>
                <w:szCs w:val="24"/>
              </w:rPr>
            </w:pPr>
            <w:r>
              <w:rPr>
                <w:rFonts w:ascii="Times New Roman" w:hAnsi="Times New Roman"/>
                <w:sz w:val="24"/>
                <w:szCs w:val="24"/>
              </w:rPr>
              <w:t>Япония</w:t>
            </w:r>
          </w:p>
        </w:tc>
        <w:tc>
          <w:tcPr>
            <w:tcW w:w="2091" w:type="dxa"/>
            <w:gridSpan w:val="2"/>
            <w:tcMar>
              <w:left w:w="98" w:type="dxa"/>
            </w:tcMar>
            <w:vAlign w:val="center"/>
          </w:tcPr>
          <w:p w:rsidR="00534AA2" w:rsidRDefault="00534AA2">
            <w:pPr>
              <w:spacing w:after="0" w:line="360" w:lineRule="auto"/>
              <w:jc w:val="center"/>
              <w:rPr>
                <w:rFonts w:ascii="Times New Roman" w:hAnsi="Times New Roman"/>
                <w:sz w:val="24"/>
                <w:szCs w:val="24"/>
              </w:rPr>
            </w:pPr>
            <w:r>
              <w:rPr>
                <w:rFonts w:ascii="Times New Roman" w:hAnsi="Times New Roman"/>
                <w:sz w:val="24"/>
                <w:szCs w:val="24"/>
              </w:rPr>
              <w:t>1728</w:t>
            </w:r>
          </w:p>
        </w:tc>
      </w:tr>
      <w:tr w:rsidR="00534AA2">
        <w:tc>
          <w:tcPr>
            <w:tcW w:w="455" w:type="dxa"/>
            <w:tcMar>
              <w:left w:w="98" w:type="dxa"/>
            </w:tcMar>
            <w:vAlign w:val="center"/>
          </w:tcPr>
          <w:p w:rsidR="00534AA2" w:rsidRDefault="00534AA2">
            <w:pPr>
              <w:spacing w:after="0" w:line="360" w:lineRule="auto"/>
              <w:jc w:val="center"/>
              <w:rPr>
                <w:rFonts w:ascii="Times New Roman" w:hAnsi="Times New Roman"/>
                <w:sz w:val="24"/>
                <w:szCs w:val="24"/>
              </w:rPr>
            </w:pPr>
            <w:r>
              <w:rPr>
                <w:rFonts w:ascii="Times New Roman" w:hAnsi="Times New Roman"/>
                <w:sz w:val="24"/>
                <w:szCs w:val="24"/>
              </w:rPr>
              <w:t>9</w:t>
            </w:r>
          </w:p>
        </w:tc>
        <w:tc>
          <w:tcPr>
            <w:tcW w:w="1920" w:type="dxa"/>
            <w:gridSpan w:val="2"/>
            <w:tcMar>
              <w:left w:w="98" w:type="dxa"/>
            </w:tcMar>
            <w:vAlign w:val="center"/>
          </w:tcPr>
          <w:p w:rsidR="00534AA2" w:rsidRDefault="00534AA2">
            <w:pPr>
              <w:spacing w:after="0" w:line="360" w:lineRule="auto"/>
              <w:rPr>
                <w:rFonts w:ascii="Times New Roman" w:hAnsi="Times New Roman"/>
                <w:sz w:val="24"/>
                <w:szCs w:val="24"/>
              </w:rPr>
            </w:pPr>
            <w:r>
              <w:rPr>
                <w:rFonts w:ascii="Times New Roman" w:hAnsi="Times New Roman"/>
                <w:sz w:val="24"/>
                <w:szCs w:val="24"/>
              </w:rPr>
              <w:t>Испания</w:t>
            </w:r>
          </w:p>
        </w:tc>
        <w:tc>
          <w:tcPr>
            <w:tcW w:w="2266" w:type="dxa"/>
            <w:gridSpan w:val="2"/>
            <w:tcMar>
              <w:left w:w="98" w:type="dxa"/>
            </w:tcMar>
            <w:vAlign w:val="center"/>
          </w:tcPr>
          <w:p w:rsidR="00534AA2" w:rsidRDefault="00534AA2">
            <w:pPr>
              <w:spacing w:after="0" w:line="360" w:lineRule="auto"/>
              <w:jc w:val="center"/>
              <w:rPr>
                <w:rFonts w:ascii="Times New Roman" w:hAnsi="Times New Roman"/>
                <w:sz w:val="24"/>
                <w:szCs w:val="24"/>
              </w:rPr>
            </w:pPr>
            <w:r>
              <w:rPr>
                <w:rFonts w:ascii="Times New Roman" w:hAnsi="Times New Roman"/>
                <w:sz w:val="24"/>
                <w:szCs w:val="24"/>
              </w:rPr>
              <w:t>721</w:t>
            </w:r>
          </w:p>
        </w:tc>
        <w:tc>
          <w:tcPr>
            <w:tcW w:w="459" w:type="dxa"/>
            <w:gridSpan w:val="2"/>
            <w:tcMar>
              <w:left w:w="98" w:type="dxa"/>
            </w:tcMar>
            <w:vAlign w:val="center"/>
          </w:tcPr>
          <w:p w:rsidR="00534AA2" w:rsidRDefault="00534AA2">
            <w:pPr>
              <w:spacing w:after="0" w:line="360" w:lineRule="auto"/>
              <w:jc w:val="center"/>
              <w:rPr>
                <w:rFonts w:ascii="Times New Roman" w:hAnsi="Times New Roman"/>
                <w:sz w:val="24"/>
                <w:szCs w:val="24"/>
              </w:rPr>
            </w:pPr>
            <w:r>
              <w:rPr>
                <w:rFonts w:ascii="Times New Roman" w:hAnsi="Times New Roman"/>
                <w:sz w:val="24"/>
                <w:szCs w:val="24"/>
              </w:rPr>
              <w:t>9</w:t>
            </w:r>
          </w:p>
        </w:tc>
        <w:tc>
          <w:tcPr>
            <w:tcW w:w="2379" w:type="dxa"/>
            <w:gridSpan w:val="2"/>
            <w:tcMar>
              <w:left w:w="98" w:type="dxa"/>
            </w:tcMar>
            <w:vAlign w:val="center"/>
          </w:tcPr>
          <w:p w:rsidR="00534AA2" w:rsidRDefault="00534AA2">
            <w:pPr>
              <w:spacing w:after="0" w:line="360" w:lineRule="auto"/>
              <w:rPr>
                <w:rFonts w:ascii="Times New Roman" w:hAnsi="Times New Roman"/>
                <w:sz w:val="24"/>
                <w:szCs w:val="24"/>
              </w:rPr>
            </w:pPr>
            <w:r>
              <w:rPr>
                <w:rFonts w:ascii="Times New Roman" w:hAnsi="Times New Roman"/>
                <w:sz w:val="24"/>
                <w:szCs w:val="24"/>
              </w:rPr>
              <w:t>Ирландия</w:t>
            </w:r>
          </w:p>
        </w:tc>
        <w:tc>
          <w:tcPr>
            <w:tcW w:w="2091" w:type="dxa"/>
            <w:gridSpan w:val="2"/>
            <w:tcMar>
              <w:left w:w="98" w:type="dxa"/>
            </w:tcMar>
            <w:vAlign w:val="center"/>
          </w:tcPr>
          <w:p w:rsidR="00534AA2" w:rsidRDefault="00534AA2">
            <w:pPr>
              <w:spacing w:after="0" w:line="360" w:lineRule="auto"/>
              <w:jc w:val="center"/>
              <w:rPr>
                <w:rFonts w:ascii="Times New Roman" w:hAnsi="Times New Roman"/>
                <w:sz w:val="24"/>
                <w:szCs w:val="24"/>
              </w:rPr>
            </w:pPr>
            <w:r>
              <w:rPr>
                <w:rFonts w:ascii="Times New Roman" w:hAnsi="Times New Roman"/>
                <w:sz w:val="24"/>
                <w:szCs w:val="24"/>
              </w:rPr>
              <w:t>1580</w:t>
            </w:r>
          </w:p>
        </w:tc>
      </w:tr>
      <w:tr w:rsidR="00534AA2">
        <w:tc>
          <w:tcPr>
            <w:tcW w:w="455" w:type="dxa"/>
            <w:tcMar>
              <w:left w:w="98" w:type="dxa"/>
            </w:tcMar>
            <w:vAlign w:val="center"/>
          </w:tcPr>
          <w:p w:rsidR="00534AA2" w:rsidRDefault="00534AA2">
            <w:pPr>
              <w:spacing w:after="0" w:line="360" w:lineRule="auto"/>
              <w:jc w:val="center"/>
              <w:rPr>
                <w:rFonts w:ascii="Times New Roman" w:hAnsi="Times New Roman"/>
                <w:sz w:val="24"/>
                <w:szCs w:val="24"/>
              </w:rPr>
            </w:pPr>
            <w:r>
              <w:rPr>
                <w:rFonts w:ascii="Times New Roman" w:hAnsi="Times New Roman"/>
                <w:sz w:val="24"/>
                <w:szCs w:val="24"/>
              </w:rPr>
              <w:t>10</w:t>
            </w:r>
          </w:p>
        </w:tc>
        <w:tc>
          <w:tcPr>
            <w:tcW w:w="1920" w:type="dxa"/>
            <w:gridSpan w:val="2"/>
            <w:tcMar>
              <w:left w:w="98" w:type="dxa"/>
            </w:tcMar>
            <w:vAlign w:val="center"/>
          </w:tcPr>
          <w:p w:rsidR="00534AA2" w:rsidRDefault="00534AA2">
            <w:pPr>
              <w:spacing w:after="0" w:line="360" w:lineRule="auto"/>
              <w:rPr>
                <w:rFonts w:ascii="Times New Roman" w:hAnsi="Times New Roman"/>
                <w:sz w:val="24"/>
                <w:szCs w:val="24"/>
              </w:rPr>
            </w:pPr>
            <w:r>
              <w:rPr>
                <w:rFonts w:ascii="Times New Roman" w:hAnsi="Times New Roman"/>
                <w:sz w:val="24"/>
                <w:szCs w:val="24"/>
              </w:rPr>
              <w:t>Швейцария</w:t>
            </w:r>
          </w:p>
        </w:tc>
        <w:tc>
          <w:tcPr>
            <w:tcW w:w="2266" w:type="dxa"/>
            <w:gridSpan w:val="2"/>
            <w:tcMar>
              <w:left w:w="98" w:type="dxa"/>
            </w:tcMar>
            <w:vAlign w:val="center"/>
          </w:tcPr>
          <w:p w:rsidR="00534AA2" w:rsidRDefault="00534AA2">
            <w:pPr>
              <w:spacing w:after="0" w:line="360" w:lineRule="auto"/>
              <w:jc w:val="center"/>
              <w:rPr>
                <w:rFonts w:ascii="Times New Roman" w:hAnsi="Times New Roman"/>
                <w:sz w:val="24"/>
                <w:szCs w:val="24"/>
              </w:rPr>
            </w:pPr>
            <w:r>
              <w:rPr>
                <w:rFonts w:ascii="Times New Roman" w:hAnsi="Times New Roman"/>
                <w:sz w:val="24"/>
                <w:szCs w:val="24"/>
              </w:rPr>
              <w:t>682</w:t>
            </w:r>
          </w:p>
        </w:tc>
        <w:tc>
          <w:tcPr>
            <w:tcW w:w="459" w:type="dxa"/>
            <w:gridSpan w:val="2"/>
            <w:tcMar>
              <w:left w:w="98" w:type="dxa"/>
            </w:tcMar>
            <w:vAlign w:val="center"/>
          </w:tcPr>
          <w:p w:rsidR="00534AA2" w:rsidRDefault="00534AA2">
            <w:pPr>
              <w:spacing w:after="0" w:line="360" w:lineRule="auto"/>
              <w:jc w:val="center"/>
              <w:rPr>
                <w:rFonts w:ascii="Times New Roman" w:hAnsi="Times New Roman"/>
                <w:sz w:val="24"/>
                <w:szCs w:val="24"/>
              </w:rPr>
            </w:pPr>
            <w:r>
              <w:rPr>
                <w:rFonts w:ascii="Times New Roman" w:hAnsi="Times New Roman"/>
                <w:sz w:val="24"/>
                <w:szCs w:val="24"/>
              </w:rPr>
              <w:t>10</w:t>
            </w:r>
          </w:p>
        </w:tc>
        <w:tc>
          <w:tcPr>
            <w:tcW w:w="2379" w:type="dxa"/>
            <w:gridSpan w:val="2"/>
            <w:tcMar>
              <w:left w:w="98" w:type="dxa"/>
            </w:tcMar>
            <w:vAlign w:val="center"/>
          </w:tcPr>
          <w:p w:rsidR="00534AA2" w:rsidRDefault="00534AA2">
            <w:pPr>
              <w:spacing w:after="0" w:line="360" w:lineRule="auto"/>
              <w:rPr>
                <w:rFonts w:ascii="Times New Roman" w:hAnsi="Times New Roman"/>
                <w:sz w:val="24"/>
                <w:szCs w:val="24"/>
              </w:rPr>
            </w:pPr>
            <w:r>
              <w:rPr>
                <w:rFonts w:ascii="Times New Roman" w:hAnsi="Times New Roman"/>
                <w:sz w:val="24"/>
                <w:szCs w:val="24"/>
              </w:rPr>
              <w:t>Италия</w:t>
            </w:r>
          </w:p>
        </w:tc>
        <w:tc>
          <w:tcPr>
            <w:tcW w:w="2091" w:type="dxa"/>
            <w:gridSpan w:val="2"/>
            <w:tcMar>
              <w:left w:w="98" w:type="dxa"/>
            </w:tcMar>
            <w:vAlign w:val="center"/>
          </w:tcPr>
          <w:p w:rsidR="00534AA2" w:rsidRDefault="00534AA2">
            <w:pPr>
              <w:spacing w:after="0" w:line="360" w:lineRule="auto"/>
              <w:jc w:val="center"/>
              <w:rPr>
                <w:rFonts w:ascii="Times New Roman" w:hAnsi="Times New Roman"/>
                <w:sz w:val="24"/>
                <w:szCs w:val="24"/>
              </w:rPr>
            </w:pPr>
            <w:r>
              <w:rPr>
                <w:rFonts w:ascii="Times New Roman" w:hAnsi="Times New Roman"/>
                <w:sz w:val="24"/>
                <w:szCs w:val="24"/>
              </w:rPr>
              <w:t>1512</w:t>
            </w:r>
          </w:p>
        </w:tc>
      </w:tr>
      <w:tr w:rsidR="00534AA2">
        <w:tc>
          <w:tcPr>
            <w:tcW w:w="455" w:type="dxa"/>
            <w:tcMar>
              <w:left w:w="98" w:type="dxa"/>
            </w:tcMar>
            <w:vAlign w:val="center"/>
          </w:tcPr>
          <w:p w:rsidR="00534AA2" w:rsidRDefault="00534AA2">
            <w:pPr>
              <w:spacing w:after="0" w:line="360" w:lineRule="auto"/>
              <w:jc w:val="center"/>
              <w:rPr>
                <w:rFonts w:ascii="Times New Roman" w:hAnsi="Times New Roman"/>
                <w:sz w:val="24"/>
                <w:szCs w:val="24"/>
              </w:rPr>
            </w:pPr>
          </w:p>
        </w:tc>
        <w:tc>
          <w:tcPr>
            <w:tcW w:w="1920" w:type="dxa"/>
            <w:gridSpan w:val="2"/>
            <w:tcMar>
              <w:left w:w="98" w:type="dxa"/>
            </w:tcMar>
            <w:vAlign w:val="center"/>
          </w:tcPr>
          <w:p w:rsidR="00534AA2" w:rsidRDefault="00534AA2">
            <w:pPr>
              <w:spacing w:after="0" w:line="360" w:lineRule="auto"/>
              <w:rPr>
                <w:rFonts w:ascii="Times New Roman" w:hAnsi="Times New Roman"/>
                <w:sz w:val="24"/>
                <w:szCs w:val="24"/>
              </w:rPr>
            </w:pPr>
            <w:r>
              <w:rPr>
                <w:rFonts w:ascii="Times New Roman" w:hAnsi="Times New Roman"/>
                <w:sz w:val="24"/>
                <w:szCs w:val="24"/>
              </w:rPr>
              <w:t>Весь мир</w:t>
            </w:r>
          </w:p>
        </w:tc>
        <w:tc>
          <w:tcPr>
            <w:tcW w:w="2266" w:type="dxa"/>
            <w:gridSpan w:val="2"/>
            <w:tcMar>
              <w:left w:w="98" w:type="dxa"/>
            </w:tcMar>
            <w:vAlign w:val="center"/>
          </w:tcPr>
          <w:p w:rsidR="00534AA2" w:rsidRDefault="00534AA2">
            <w:pPr>
              <w:spacing w:after="0" w:line="360" w:lineRule="auto"/>
              <w:jc w:val="center"/>
              <w:rPr>
                <w:rFonts w:ascii="Times New Roman" w:hAnsi="Times New Roman"/>
                <w:sz w:val="24"/>
                <w:szCs w:val="24"/>
              </w:rPr>
            </w:pPr>
            <w:r>
              <w:rPr>
                <w:rFonts w:ascii="Times New Roman" w:hAnsi="Times New Roman"/>
                <w:sz w:val="24"/>
                <w:szCs w:val="24"/>
              </w:rPr>
              <w:t>26039</w:t>
            </w:r>
          </w:p>
        </w:tc>
        <w:tc>
          <w:tcPr>
            <w:tcW w:w="459" w:type="dxa"/>
            <w:gridSpan w:val="2"/>
            <w:tcMar>
              <w:left w:w="98" w:type="dxa"/>
            </w:tcMar>
            <w:vAlign w:val="center"/>
          </w:tcPr>
          <w:p w:rsidR="00534AA2" w:rsidRDefault="00534AA2">
            <w:pPr>
              <w:spacing w:after="0" w:line="360" w:lineRule="auto"/>
              <w:jc w:val="center"/>
              <w:rPr>
                <w:rFonts w:ascii="Times New Roman" w:hAnsi="Times New Roman"/>
                <w:sz w:val="24"/>
                <w:szCs w:val="24"/>
              </w:rPr>
            </w:pPr>
          </w:p>
        </w:tc>
        <w:tc>
          <w:tcPr>
            <w:tcW w:w="2379" w:type="dxa"/>
            <w:gridSpan w:val="2"/>
            <w:tcMar>
              <w:left w:w="98" w:type="dxa"/>
            </w:tcMar>
            <w:vAlign w:val="center"/>
          </w:tcPr>
          <w:p w:rsidR="00534AA2" w:rsidRDefault="00534AA2">
            <w:pPr>
              <w:spacing w:after="0" w:line="360" w:lineRule="auto"/>
              <w:rPr>
                <w:rFonts w:ascii="Times New Roman" w:hAnsi="Times New Roman"/>
                <w:sz w:val="24"/>
                <w:szCs w:val="24"/>
              </w:rPr>
            </w:pPr>
            <w:r>
              <w:rPr>
                <w:rFonts w:ascii="Times New Roman" w:hAnsi="Times New Roman"/>
                <w:sz w:val="24"/>
                <w:szCs w:val="24"/>
              </w:rPr>
              <w:t>Весь мир</w:t>
            </w:r>
          </w:p>
        </w:tc>
        <w:tc>
          <w:tcPr>
            <w:tcW w:w="2091" w:type="dxa"/>
            <w:gridSpan w:val="2"/>
            <w:tcMar>
              <w:left w:w="98" w:type="dxa"/>
            </w:tcMar>
            <w:vAlign w:val="center"/>
          </w:tcPr>
          <w:p w:rsidR="00534AA2" w:rsidRDefault="00534AA2">
            <w:pPr>
              <w:spacing w:after="0" w:line="360" w:lineRule="auto"/>
              <w:jc w:val="center"/>
              <w:rPr>
                <w:rFonts w:ascii="Times New Roman" w:hAnsi="Times New Roman"/>
                <w:sz w:val="24"/>
                <w:szCs w:val="24"/>
              </w:rPr>
            </w:pPr>
            <w:r>
              <w:rPr>
                <w:rFonts w:ascii="Times New Roman" w:hAnsi="Times New Roman"/>
                <w:sz w:val="24"/>
                <w:szCs w:val="24"/>
              </w:rPr>
              <w:t>48475</w:t>
            </w:r>
          </w:p>
        </w:tc>
      </w:tr>
      <w:tr w:rsidR="00534AA2">
        <w:tc>
          <w:tcPr>
            <w:tcW w:w="9570" w:type="dxa"/>
            <w:gridSpan w:val="11"/>
            <w:tcMar>
              <w:left w:w="98" w:type="dxa"/>
            </w:tcMar>
            <w:vAlign w:val="center"/>
          </w:tcPr>
          <w:p w:rsidR="00534AA2" w:rsidRDefault="00534AA2">
            <w:pPr>
              <w:spacing w:after="0" w:line="360" w:lineRule="auto"/>
              <w:jc w:val="center"/>
              <w:rPr>
                <w:rFonts w:ascii="Times New Roman" w:hAnsi="Times New Roman"/>
                <w:b/>
                <w:i/>
                <w:sz w:val="24"/>
                <w:szCs w:val="24"/>
              </w:rPr>
            </w:pPr>
            <w:r>
              <w:rPr>
                <w:rFonts w:ascii="Times New Roman" w:hAnsi="Times New Roman"/>
                <w:b/>
                <w:i/>
                <w:sz w:val="24"/>
                <w:szCs w:val="24"/>
              </w:rPr>
              <w:t>Для информации</w:t>
            </w:r>
          </w:p>
        </w:tc>
      </w:tr>
      <w:tr w:rsidR="00534AA2">
        <w:tc>
          <w:tcPr>
            <w:tcW w:w="605" w:type="dxa"/>
            <w:gridSpan w:val="2"/>
            <w:tcMar>
              <w:left w:w="98" w:type="dxa"/>
            </w:tcMar>
            <w:vAlign w:val="center"/>
          </w:tcPr>
          <w:p w:rsidR="00534AA2" w:rsidRDefault="00534AA2">
            <w:pPr>
              <w:spacing w:after="0" w:line="360" w:lineRule="auto"/>
              <w:jc w:val="center"/>
              <w:rPr>
                <w:rFonts w:ascii="Times New Roman" w:hAnsi="Times New Roman"/>
                <w:sz w:val="24"/>
                <w:szCs w:val="24"/>
              </w:rPr>
            </w:pPr>
          </w:p>
        </w:tc>
        <w:tc>
          <w:tcPr>
            <w:tcW w:w="2196" w:type="dxa"/>
            <w:gridSpan w:val="2"/>
            <w:tcMar>
              <w:left w:w="98" w:type="dxa"/>
            </w:tcMar>
            <w:vAlign w:val="center"/>
          </w:tcPr>
          <w:p w:rsidR="00534AA2" w:rsidRDefault="00534AA2">
            <w:pPr>
              <w:spacing w:after="0" w:line="360" w:lineRule="auto"/>
              <w:rPr>
                <w:rFonts w:ascii="Times New Roman" w:hAnsi="Times New Roman"/>
                <w:sz w:val="24"/>
                <w:szCs w:val="24"/>
              </w:rPr>
            </w:pPr>
            <w:r>
              <w:rPr>
                <w:rFonts w:ascii="Times New Roman" w:hAnsi="Times New Roman"/>
                <w:sz w:val="24"/>
                <w:szCs w:val="24"/>
              </w:rPr>
              <w:t>Россия</w:t>
            </w:r>
          </w:p>
        </w:tc>
        <w:tc>
          <w:tcPr>
            <w:tcW w:w="2203" w:type="dxa"/>
            <w:gridSpan w:val="2"/>
            <w:tcMar>
              <w:left w:w="98" w:type="dxa"/>
            </w:tcMar>
            <w:vAlign w:val="center"/>
          </w:tcPr>
          <w:p w:rsidR="00534AA2" w:rsidRDefault="00534AA2">
            <w:pPr>
              <w:spacing w:after="0" w:line="360" w:lineRule="auto"/>
              <w:jc w:val="center"/>
              <w:rPr>
                <w:rFonts w:ascii="Times New Roman" w:hAnsi="Times New Roman"/>
                <w:sz w:val="24"/>
                <w:szCs w:val="24"/>
              </w:rPr>
            </w:pPr>
            <w:r>
              <w:rPr>
                <w:rFonts w:ascii="Times New Roman" w:hAnsi="Times New Roman"/>
                <w:sz w:val="24"/>
                <w:szCs w:val="24"/>
              </w:rPr>
              <w:t>379</w:t>
            </w:r>
          </w:p>
        </w:tc>
        <w:tc>
          <w:tcPr>
            <w:tcW w:w="490" w:type="dxa"/>
            <w:gridSpan w:val="2"/>
            <w:tcMar>
              <w:left w:w="98" w:type="dxa"/>
            </w:tcMar>
            <w:vAlign w:val="center"/>
          </w:tcPr>
          <w:p w:rsidR="00534AA2" w:rsidRDefault="00534AA2">
            <w:pPr>
              <w:spacing w:after="0" w:line="360" w:lineRule="auto"/>
              <w:jc w:val="center"/>
              <w:rPr>
                <w:rFonts w:ascii="Times New Roman" w:hAnsi="Times New Roman"/>
                <w:sz w:val="24"/>
                <w:szCs w:val="24"/>
              </w:rPr>
            </w:pPr>
          </w:p>
        </w:tc>
        <w:tc>
          <w:tcPr>
            <w:tcW w:w="2475" w:type="dxa"/>
            <w:gridSpan w:val="2"/>
            <w:tcMar>
              <w:left w:w="98" w:type="dxa"/>
            </w:tcMar>
            <w:vAlign w:val="center"/>
          </w:tcPr>
          <w:p w:rsidR="00534AA2" w:rsidRDefault="00534AA2">
            <w:pPr>
              <w:spacing w:after="0" w:line="360" w:lineRule="auto"/>
              <w:rPr>
                <w:rFonts w:ascii="Times New Roman" w:hAnsi="Times New Roman"/>
                <w:sz w:val="24"/>
                <w:szCs w:val="24"/>
              </w:rPr>
            </w:pPr>
            <w:r>
              <w:rPr>
                <w:rFonts w:ascii="Times New Roman" w:hAnsi="Times New Roman"/>
                <w:sz w:val="24"/>
                <w:szCs w:val="24"/>
              </w:rPr>
              <w:t>Россия</w:t>
            </w:r>
          </w:p>
        </w:tc>
        <w:tc>
          <w:tcPr>
            <w:tcW w:w="1601" w:type="dxa"/>
            <w:tcMar>
              <w:left w:w="98" w:type="dxa"/>
            </w:tcMar>
            <w:vAlign w:val="center"/>
          </w:tcPr>
          <w:p w:rsidR="00534AA2" w:rsidRDefault="00534AA2">
            <w:pPr>
              <w:spacing w:after="0" w:line="360" w:lineRule="auto"/>
              <w:jc w:val="center"/>
              <w:rPr>
                <w:rFonts w:ascii="Times New Roman" w:hAnsi="Times New Roman"/>
                <w:sz w:val="24"/>
                <w:szCs w:val="24"/>
              </w:rPr>
            </w:pPr>
            <w:r>
              <w:rPr>
                <w:rFonts w:ascii="Times New Roman" w:hAnsi="Times New Roman"/>
                <w:sz w:val="24"/>
                <w:szCs w:val="24"/>
              </w:rPr>
              <w:t>126</w:t>
            </w:r>
          </w:p>
        </w:tc>
      </w:tr>
    </w:tbl>
    <w:p w:rsidR="00534AA2" w:rsidRDefault="00534AA2">
      <w:pPr>
        <w:spacing w:after="0" w:line="360" w:lineRule="auto"/>
        <w:ind w:firstLine="709"/>
        <w:jc w:val="both"/>
      </w:pPr>
      <w:r>
        <w:rPr>
          <w:rFonts w:ascii="Times New Roman" w:hAnsi="Times New Roman"/>
          <w:sz w:val="24"/>
          <w:szCs w:val="24"/>
        </w:rPr>
        <w:t xml:space="preserve">Источник: составлено автором по данным: </w:t>
      </w:r>
      <w:r>
        <w:rPr>
          <w:rFonts w:ascii="Times New Roman" w:hAnsi="Times New Roman"/>
          <w:sz w:val="24"/>
          <w:szCs w:val="24"/>
          <w:lang w:val="en-US"/>
        </w:rPr>
        <w:t xml:space="preserve">World Investment Report 2015 </w:t>
      </w:r>
      <w:r>
        <w:rPr>
          <w:rFonts w:ascii="Times New Roman" w:hAnsi="Times New Roman"/>
          <w:sz w:val="24"/>
          <w:szCs w:val="24"/>
        </w:rPr>
        <w:t>(</w:t>
      </w:r>
      <w:hyperlink r:id="rId6">
        <w:r>
          <w:rPr>
            <w:rStyle w:val="-"/>
            <w:rFonts w:ascii="Times New Roman" w:hAnsi="Times New Roman"/>
            <w:color w:val="00000A"/>
            <w:sz w:val="24"/>
            <w:szCs w:val="24"/>
            <w:u w:val="none"/>
          </w:rPr>
          <w:t>http://unctad.org/en/PublicationsLibrary/wir2015_en.pdf</w:t>
        </w:r>
      </w:hyperlink>
      <w:r>
        <w:rPr>
          <w:rFonts w:ascii="Times New Roman" w:hAnsi="Times New Roman"/>
          <w:sz w:val="24"/>
          <w:szCs w:val="24"/>
        </w:rPr>
        <w:t>)</w:t>
      </w:r>
      <w:r>
        <w:rPr>
          <w:rFonts w:ascii="Times New Roman" w:hAnsi="Times New Roman"/>
          <w:sz w:val="24"/>
          <w:szCs w:val="24"/>
          <w:lang w:val="en-US"/>
        </w:rPr>
        <w:t>; Coordinated Investment Portfolio Survey (</w:t>
      </w:r>
      <w:r>
        <w:rPr>
          <w:rFonts w:ascii="Times New Roman" w:hAnsi="Times New Roman"/>
          <w:sz w:val="24"/>
          <w:szCs w:val="24"/>
        </w:rPr>
        <w:t>http://data.imf.org/regular.aspx?key=60587817</w:t>
      </w:r>
      <w:r>
        <w:rPr>
          <w:rFonts w:ascii="Times New Roman" w:hAnsi="Times New Roman"/>
          <w:sz w:val="24"/>
          <w:szCs w:val="24"/>
          <w:lang w:val="en-US"/>
        </w:rPr>
        <w:t>).</w:t>
      </w:r>
    </w:p>
    <w:p w:rsidR="00534AA2" w:rsidRDefault="00534AA2">
      <w:pPr>
        <w:spacing w:after="0" w:line="360" w:lineRule="auto"/>
        <w:ind w:firstLine="709"/>
        <w:jc w:val="center"/>
        <w:rPr>
          <w:rFonts w:ascii="Times New Roman" w:hAnsi="Times New Roman"/>
          <w:sz w:val="24"/>
          <w:szCs w:val="24"/>
        </w:rPr>
      </w:pPr>
    </w:p>
    <w:p w:rsidR="00534AA2" w:rsidRDefault="00534AA2">
      <w:pPr>
        <w:spacing w:after="0" w:line="360" w:lineRule="auto"/>
        <w:ind w:firstLine="709"/>
        <w:jc w:val="both"/>
        <w:rPr>
          <w:rFonts w:ascii="Times New Roman" w:hAnsi="Times New Roman"/>
          <w:sz w:val="24"/>
          <w:szCs w:val="24"/>
        </w:rPr>
      </w:pPr>
      <w:r>
        <w:rPr>
          <w:rFonts w:ascii="Times New Roman" w:hAnsi="Times New Roman"/>
          <w:sz w:val="24"/>
          <w:szCs w:val="24"/>
        </w:rPr>
        <w:t>Портфельное инвестирование резко активизировалось после Азиатского финансового кризиса 1997–1998 гг. В период 1999–2013 гг. размер официальных международных резервов увеличился с 1,6 до 12,1 трлн. долл. Около 40–50% всех иностранных инвестиций из развивающихся и постсоциалистических стран осуществлялись через государственные каналы и были связаны с размещением их международных валютных резервов. Еще около 15–20% экспорта капитала приходилось на портфельные инвестиции суверенных инвестиционных фондов этих стран, которые стали формироваться за счет доходов от экспорта сырья и другой продукции</w:t>
      </w:r>
      <w:r>
        <w:rPr>
          <w:rStyle w:val="a1"/>
          <w:rFonts w:ascii="Times New Roman" w:hAnsi="Times New Roman"/>
          <w:sz w:val="24"/>
          <w:szCs w:val="24"/>
        </w:rPr>
        <w:footnoteReference w:id="2"/>
      </w:r>
      <w:r>
        <w:rPr>
          <w:rFonts w:ascii="Times New Roman" w:hAnsi="Times New Roman"/>
          <w:sz w:val="24"/>
          <w:szCs w:val="24"/>
        </w:rPr>
        <w:t xml:space="preserve">. При этом произошел масштабный отток капитала в центр глобальной капиталистической системы – главным образом в финансовые обязательства США и Великобритании (рис. 1). </w:t>
      </w:r>
    </w:p>
    <w:p w:rsidR="00534AA2" w:rsidRDefault="00534AA2">
      <w:pPr>
        <w:pStyle w:val="1"/>
        <w:shd w:val="clear" w:color="auto" w:fill="FFFFFF"/>
        <w:spacing w:line="360" w:lineRule="auto"/>
        <w:jc w:val="center"/>
        <w:rPr>
          <w:sz w:val="24"/>
          <w:szCs w:val="24"/>
          <w:lang w:val="ru-RU"/>
        </w:rPr>
      </w:pPr>
      <w:r w:rsidRPr="00531DFA">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2" o:spid="_x0000_i1025" type="#_x0000_t75" style="width:380pt;height:226pt;visibility:visible">
            <v:imagedata r:id="rId7" o:title=""/>
          </v:shape>
        </w:pict>
      </w:r>
    </w:p>
    <w:p w:rsidR="00534AA2" w:rsidRDefault="00534AA2">
      <w:pPr>
        <w:pStyle w:val="1"/>
        <w:shd w:val="clear" w:color="auto" w:fill="FFFFFF"/>
        <w:spacing w:line="360" w:lineRule="auto"/>
        <w:ind w:firstLine="709"/>
        <w:jc w:val="center"/>
      </w:pPr>
      <w:r>
        <w:rPr>
          <w:b/>
          <w:sz w:val="24"/>
          <w:szCs w:val="24"/>
          <w:lang w:val="ru-RU"/>
        </w:rPr>
        <w:t xml:space="preserve">Рисунок 1. </w:t>
      </w:r>
      <w:r>
        <w:rPr>
          <w:b/>
          <w:sz w:val="24"/>
          <w:szCs w:val="24"/>
        </w:rPr>
        <w:t xml:space="preserve">Динамика накопленного объема портфельных инвестиций в США </w:t>
      </w:r>
      <w:r>
        <w:rPr>
          <w:b/>
          <w:sz w:val="24"/>
          <w:szCs w:val="24"/>
          <w:lang w:val="ru-RU"/>
        </w:rPr>
        <w:t>и</w:t>
      </w:r>
      <w:r>
        <w:rPr>
          <w:b/>
          <w:sz w:val="24"/>
          <w:szCs w:val="24"/>
        </w:rPr>
        <w:t xml:space="preserve"> Великобритании</w:t>
      </w:r>
      <w:r>
        <w:rPr>
          <w:b/>
          <w:sz w:val="24"/>
          <w:szCs w:val="24"/>
          <w:lang w:val="ru-RU"/>
        </w:rPr>
        <w:t xml:space="preserve"> в 2001–2014 гг. (млн. долл.)</w:t>
      </w:r>
    </w:p>
    <w:p w:rsidR="00534AA2" w:rsidRDefault="00534AA2">
      <w:pPr>
        <w:spacing w:after="0" w:line="360" w:lineRule="auto"/>
        <w:ind w:firstLine="709"/>
        <w:jc w:val="both"/>
        <w:rPr>
          <w:rFonts w:ascii="Times New Roman" w:hAnsi="Times New Roman"/>
          <w:sz w:val="24"/>
          <w:szCs w:val="24"/>
          <w:lang w:val="en-US"/>
        </w:rPr>
      </w:pPr>
      <w:r>
        <w:rPr>
          <w:rFonts w:ascii="Times New Roman" w:hAnsi="Times New Roman"/>
          <w:sz w:val="24"/>
          <w:szCs w:val="24"/>
        </w:rPr>
        <w:t xml:space="preserve">Источник: составлено автором по данным: </w:t>
      </w:r>
      <w:r>
        <w:rPr>
          <w:rFonts w:ascii="Times New Roman" w:hAnsi="Times New Roman"/>
          <w:sz w:val="24"/>
          <w:szCs w:val="24"/>
          <w:lang w:val="en-US"/>
        </w:rPr>
        <w:t>Coordinated Investment Portfolio Survey (</w:t>
      </w:r>
      <w:r>
        <w:rPr>
          <w:rFonts w:ascii="Times New Roman" w:hAnsi="Times New Roman"/>
          <w:sz w:val="24"/>
          <w:szCs w:val="24"/>
        </w:rPr>
        <w:t>http://data.imf.org/regular.aspx?key=60587817</w:t>
      </w:r>
      <w:r>
        <w:rPr>
          <w:rFonts w:ascii="Times New Roman" w:hAnsi="Times New Roman"/>
          <w:sz w:val="24"/>
          <w:szCs w:val="24"/>
          <w:lang w:val="en-US"/>
        </w:rPr>
        <w:t>).</w:t>
      </w:r>
    </w:p>
    <w:p w:rsidR="00534AA2" w:rsidRDefault="00534AA2">
      <w:pPr>
        <w:spacing w:after="0" w:line="360" w:lineRule="auto"/>
        <w:ind w:firstLine="708"/>
        <w:jc w:val="both"/>
        <w:rPr>
          <w:rFonts w:ascii="Times New Roman" w:hAnsi="Times New Roman"/>
          <w:sz w:val="24"/>
          <w:szCs w:val="24"/>
        </w:rPr>
      </w:pPr>
    </w:p>
    <w:p w:rsidR="00534AA2" w:rsidRDefault="00534AA2">
      <w:pPr>
        <w:spacing w:after="0" w:line="360" w:lineRule="auto"/>
        <w:ind w:firstLine="708"/>
        <w:jc w:val="both"/>
        <w:rPr>
          <w:rFonts w:ascii="Times New Roman" w:hAnsi="Times New Roman"/>
          <w:sz w:val="24"/>
          <w:szCs w:val="24"/>
        </w:rPr>
      </w:pPr>
      <w:r>
        <w:rPr>
          <w:rFonts w:ascii="Times New Roman" w:hAnsi="Times New Roman"/>
          <w:sz w:val="24"/>
          <w:szCs w:val="24"/>
        </w:rPr>
        <w:t xml:space="preserve">Опережающая динамика портфельного инвестирования связана в первую очередь с ростом государственного долга США, размер которого в январе </w:t>
      </w:r>
      <w:smartTag w:uri="urn:schemas-microsoft-com:office:smarttags" w:element="metricconverter">
        <w:smartTagPr>
          <w:attr w:name="ProductID" w:val="2016 г"/>
        </w:smartTagPr>
        <w:r>
          <w:rPr>
            <w:rFonts w:ascii="Times New Roman" w:hAnsi="Times New Roman"/>
            <w:sz w:val="24"/>
            <w:szCs w:val="24"/>
          </w:rPr>
          <w:t>2016 г</w:t>
        </w:r>
      </w:smartTag>
      <w:r>
        <w:rPr>
          <w:rFonts w:ascii="Times New Roman" w:hAnsi="Times New Roman"/>
          <w:sz w:val="24"/>
          <w:szCs w:val="24"/>
        </w:rPr>
        <w:t xml:space="preserve">. достиг 19 трлн. долл. и который на треть финансируется из-за рубежа. Сегодня основными зарубежными источниками финансирования государственного внешнего долга США выступают Китай и Япония, которые являются держателями свыше 40% казначейских обязательств США, находящихся в портфелях иностранных государств (рис. 2). Устойчивое и масштабное инвестирование Китая и Японии в американские казначейские обязательства обусловлено политическими обязательствами этих стран перед США, размерами их экономик, привязкой экспортных стратегий к американским рынкам, доминирующей ролью доллара во взаимных внешнеторговых расчетах (что, соответственно, вызывает необходимость стерилизации долларовой выручки на их внутренних рынках), а также необходимостью обеспечения ликвидности и стабильности национальной финансово-банковской системы в условиях действующей системы свободно плавающих валютных курсов и свободного международного движения капиталов с целью противодействия спекулятивным атакам на курсы их национальных валют.   </w:t>
      </w:r>
    </w:p>
    <w:p w:rsidR="00534AA2" w:rsidRDefault="00534AA2">
      <w:pPr>
        <w:spacing w:after="0" w:line="360" w:lineRule="auto"/>
        <w:jc w:val="center"/>
        <w:rPr>
          <w:rFonts w:ascii="Times New Roman" w:hAnsi="Times New Roman"/>
          <w:sz w:val="24"/>
          <w:szCs w:val="24"/>
        </w:rPr>
      </w:pPr>
      <w:r w:rsidRPr="00674750">
        <w:rPr>
          <w:noProof/>
          <w:lang w:eastAsia="ru-RU"/>
        </w:rPr>
        <w:pict>
          <v:shape id="Рисунок 56" o:spid="_x0000_i1026" type="#_x0000_t75" style="width:319.5pt;height:201.5pt;visibility:visible">
            <v:imagedata r:id="rId8" o:title=""/>
          </v:shape>
        </w:pict>
      </w:r>
    </w:p>
    <w:p w:rsidR="00534AA2" w:rsidRDefault="00534AA2">
      <w:pPr>
        <w:shd w:val="clear" w:color="auto" w:fill="FFFFFF"/>
        <w:spacing w:after="0" w:line="360" w:lineRule="auto"/>
        <w:ind w:firstLine="709"/>
        <w:jc w:val="center"/>
        <w:rPr>
          <w:rFonts w:ascii="Times New Roman" w:hAnsi="Times New Roman"/>
          <w:b/>
          <w:sz w:val="24"/>
          <w:szCs w:val="24"/>
        </w:rPr>
      </w:pPr>
      <w:r>
        <w:rPr>
          <w:rFonts w:ascii="Times New Roman" w:hAnsi="Times New Roman"/>
          <w:b/>
          <w:sz w:val="24"/>
          <w:szCs w:val="24"/>
        </w:rPr>
        <w:t xml:space="preserve">Рисунок 2. Основные страны-держатели казначейских бумаг США, август </w:t>
      </w:r>
      <w:smartTag w:uri="urn:schemas-microsoft-com:office:smarttags" w:element="metricconverter">
        <w:smartTagPr>
          <w:attr w:name="ProductID" w:val="2015 г"/>
        </w:smartTagPr>
        <w:r>
          <w:rPr>
            <w:rFonts w:ascii="Times New Roman" w:hAnsi="Times New Roman"/>
            <w:b/>
            <w:sz w:val="24"/>
            <w:szCs w:val="24"/>
          </w:rPr>
          <w:t>2015 г</w:t>
        </w:r>
      </w:smartTag>
      <w:r>
        <w:rPr>
          <w:rFonts w:ascii="Times New Roman" w:hAnsi="Times New Roman"/>
          <w:b/>
          <w:sz w:val="24"/>
          <w:szCs w:val="24"/>
        </w:rPr>
        <w:t>. (в % от совокупного размера – 6,1 трлн. долл.).</w:t>
      </w:r>
    </w:p>
    <w:p w:rsidR="00534AA2" w:rsidRDefault="00534AA2">
      <w:pPr>
        <w:shd w:val="clear" w:color="auto" w:fill="FFFFFF"/>
        <w:spacing w:after="0" w:line="360" w:lineRule="auto"/>
        <w:ind w:firstLine="709"/>
        <w:jc w:val="both"/>
        <w:outlineLvl w:val="0"/>
        <w:rPr>
          <w:rFonts w:ascii="Times New Roman" w:hAnsi="Times New Roman"/>
          <w:sz w:val="24"/>
          <w:szCs w:val="24"/>
        </w:rPr>
      </w:pPr>
      <w:r>
        <w:rPr>
          <w:rFonts w:ascii="Times New Roman" w:hAnsi="Times New Roman"/>
          <w:sz w:val="24"/>
          <w:szCs w:val="24"/>
        </w:rPr>
        <w:t>Источник</w:t>
      </w:r>
      <w:r>
        <w:rPr>
          <w:rFonts w:ascii="Times New Roman" w:hAnsi="Times New Roman"/>
          <w:sz w:val="24"/>
          <w:szCs w:val="24"/>
          <w:lang w:val="en-US"/>
        </w:rPr>
        <w:t xml:space="preserve">: </w:t>
      </w:r>
      <w:r>
        <w:rPr>
          <w:rFonts w:ascii="Times New Roman" w:hAnsi="Times New Roman"/>
          <w:sz w:val="24"/>
          <w:szCs w:val="24"/>
        </w:rPr>
        <w:t xml:space="preserve">составлено автором по данным: </w:t>
      </w:r>
      <w:r>
        <w:rPr>
          <w:rFonts w:ascii="Times New Roman" w:hAnsi="Times New Roman"/>
          <w:sz w:val="24"/>
          <w:szCs w:val="24"/>
          <w:lang w:val="en-US"/>
        </w:rPr>
        <w:t>US Treasury (http://ticdata.treasury.gov/Publish/mfh.txt)</w:t>
      </w:r>
      <w:r>
        <w:rPr>
          <w:rFonts w:ascii="Times New Roman" w:hAnsi="Times New Roman"/>
          <w:sz w:val="24"/>
          <w:szCs w:val="24"/>
        </w:rPr>
        <w:t>.</w:t>
      </w:r>
    </w:p>
    <w:p w:rsidR="00534AA2" w:rsidRDefault="00534AA2">
      <w:pPr>
        <w:spacing w:after="0" w:line="360" w:lineRule="auto"/>
        <w:ind w:firstLine="708"/>
        <w:jc w:val="both"/>
        <w:rPr>
          <w:rFonts w:ascii="Times New Roman" w:hAnsi="Times New Roman"/>
          <w:sz w:val="24"/>
          <w:szCs w:val="24"/>
        </w:rPr>
      </w:pPr>
    </w:p>
    <w:p w:rsidR="00534AA2" w:rsidRDefault="00534AA2">
      <w:pPr>
        <w:spacing w:after="0" w:line="360" w:lineRule="auto"/>
        <w:ind w:firstLine="708"/>
        <w:jc w:val="both"/>
      </w:pPr>
      <w:r>
        <w:rPr>
          <w:rFonts w:ascii="Times New Roman" w:hAnsi="Times New Roman"/>
          <w:sz w:val="24"/>
          <w:szCs w:val="24"/>
        </w:rPr>
        <w:t xml:space="preserve">Подчеркнем, что Россия постепенно сворачивает свое участие в финансировании внешнего долга США. В период с февраля </w:t>
      </w:r>
      <w:smartTag w:uri="urn:schemas-microsoft-com:office:smarttags" w:element="metricconverter">
        <w:smartTagPr>
          <w:attr w:name="ProductID" w:val="2012 г"/>
        </w:smartTagPr>
        <w:r>
          <w:rPr>
            <w:rFonts w:ascii="Times New Roman" w:hAnsi="Times New Roman"/>
            <w:sz w:val="24"/>
            <w:szCs w:val="24"/>
          </w:rPr>
          <w:t>2012 г</w:t>
        </w:r>
      </w:smartTag>
      <w:r>
        <w:rPr>
          <w:rFonts w:ascii="Times New Roman" w:hAnsi="Times New Roman"/>
          <w:sz w:val="24"/>
          <w:szCs w:val="24"/>
        </w:rPr>
        <w:t xml:space="preserve">. по октябрь </w:t>
      </w:r>
      <w:smartTag w:uri="urn:schemas-microsoft-com:office:smarttags" w:element="metricconverter">
        <w:smartTagPr>
          <w:attr w:name="ProductID" w:val="2015 г"/>
        </w:smartTagPr>
        <w:r>
          <w:rPr>
            <w:rFonts w:ascii="Times New Roman" w:hAnsi="Times New Roman"/>
            <w:sz w:val="24"/>
            <w:szCs w:val="24"/>
          </w:rPr>
          <w:t>2015 г</w:t>
        </w:r>
      </w:smartTag>
      <w:r>
        <w:rPr>
          <w:rFonts w:ascii="Times New Roman" w:hAnsi="Times New Roman"/>
          <w:sz w:val="24"/>
          <w:szCs w:val="24"/>
        </w:rPr>
        <w:t xml:space="preserve">. размер российского портфеля казначейских облигаций США сократился со 142,1 млрд. долл. до 80,2 млрд. долл. Переориентация денежного предложения на внутренний рублевый рынок путем повышения доверия к рублю через дальнейшее накопление золотого запаса позволила бы России постепенно преодолеть свою зависимость от доллара как резервного актива. </w:t>
      </w:r>
    </w:p>
    <w:p w:rsidR="00534AA2" w:rsidRDefault="00534AA2">
      <w:pPr>
        <w:spacing w:after="0" w:line="360" w:lineRule="auto"/>
        <w:ind w:firstLine="709"/>
        <w:jc w:val="both"/>
      </w:pPr>
      <w:r>
        <w:rPr>
          <w:rFonts w:ascii="Times New Roman" w:hAnsi="Times New Roman"/>
          <w:sz w:val="24"/>
          <w:szCs w:val="24"/>
        </w:rPr>
        <w:t>Следует подчеркнуть, что после разрушения системы биполярного мироустройства именно Великобритания стала наиболее активным участником процессов финансовой глобализации благодаря той ключевой роли, которую начал играть Лондон в обслуживании вновь открывшихся рынков евразийского пространства. Финансовая открытость Британии (определяемая как суммарные потоки прямых и портфельных инвестиций) увеличилась в период 1990–2010 гг. в 37 раз и составила более 1300% от ВВП, тогда как соответствующий показатель в США возрос за это время только в три с половиной раза и составил около 300% от ВВП</w:t>
      </w:r>
      <w:r>
        <w:rPr>
          <w:rStyle w:val="a1"/>
          <w:rFonts w:ascii="Times New Roman" w:hAnsi="Times New Roman"/>
          <w:sz w:val="24"/>
          <w:szCs w:val="24"/>
        </w:rPr>
        <w:footnoteReference w:id="3"/>
      </w:r>
      <w:r>
        <w:rPr>
          <w:rFonts w:ascii="Times New Roman" w:hAnsi="Times New Roman"/>
          <w:sz w:val="24"/>
          <w:szCs w:val="24"/>
        </w:rPr>
        <w:t xml:space="preserve">. </w:t>
      </w:r>
    </w:p>
    <w:p w:rsidR="00534AA2" w:rsidRDefault="00534AA2">
      <w:pPr>
        <w:tabs>
          <w:tab w:val="left" w:pos="3112"/>
        </w:tabs>
        <w:spacing w:after="0" w:line="360" w:lineRule="auto"/>
        <w:ind w:firstLine="709"/>
        <w:jc w:val="both"/>
      </w:pPr>
      <w:r>
        <w:rPr>
          <w:rFonts w:ascii="Times New Roman" w:hAnsi="Times New Roman"/>
          <w:sz w:val="24"/>
          <w:szCs w:val="24"/>
        </w:rPr>
        <w:t xml:space="preserve">Великобритания и США являются лидерами финансовой глобализации в первую очередь за счет того, что выступают крупнейшими глобальными финансовыми центрами, в которых концентрируется подавляющая доля международных финансовых активов. Такая ситуация складывалась в  продолжительный период времени, в течение которого англосаксонские страны создали институциональную основу международной валютно-финансовой системы, её основные инфраструктурные и системные элементы, механизмы, стандарты и инструменты управления глобальными финансовыми потоками. </w:t>
      </w:r>
    </w:p>
    <w:p w:rsidR="00534AA2" w:rsidRDefault="00534AA2">
      <w:pPr>
        <w:shd w:val="clear" w:color="auto" w:fill="FFFFFF"/>
        <w:spacing w:after="0" w:line="360" w:lineRule="auto"/>
        <w:ind w:firstLine="708"/>
        <w:jc w:val="both"/>
      </w:pPr>
      <w:r>
        <w:rPr>
          <w:rFonts w:ascii="Times New Roman" w:hAnsi="Times New Roman"/>
          <w:sz w:val="24"/>
          <w:szCs w:val="24"/>
        </w:rPr>
        <w:t xml:space="preserve">По данным, опубликованным в июле </w:t>
      </w:r>
      <w:smartTag w:uri="urn:schemas-microsoft-com:office:smarttags" w:element="metricconverter">
        <w:smartTagPr>
          <w:attr w:name="ProductID" w:val="2015 г"/>
        </w:smartTagPr>
        <w:r>
          <w:rPr>
            <w:rFonts w:ascii="Times New Roman" w:hAnsi="Times New Roman"/>
            <w:sz w:val="24"/>
            <w:szCs w:val="24"/>
          </w:rPr>
          <w:t>2015 г</w:t>
        </w:r>
      </w:smartTag>
      <w:r>
        <w:rPr>
          <w:rFonts w:ascii="Times New Roman" w:hAnsi="Times New Roman"/>
          <w:sz w:val="24"/>
          <w:szCs w:val="24"/>
        </w:rPr>
        <w:t>. компанией «Сити-Ю-Кей» (</w:t>
      </w:r>
      <w:r>
        <w:rPr>
          <w:rFonts w:ascii="Times New Roman" w:hAnsi="Times New Roman"/>
          <w:iCs/>
          <w:sz w:val="24"/>
          <w:szCs w:val="24"/>
        </w:rPr>
        <w:t>TheCityUK</w:t>
      </w:r>
      <w:r>
        <w:rPr>
          <w:rFonts w:ascii="Times New Roman" w:hAnsi="Times New Roman"/>
          <w:sz w:val="24"/>
          <w:szCs w:val="24"/>
        </w:rPr>
        <w:t>), США и Великобритания контролировали 60% международной валютной торговли, 72% внебиржевой торговли процентными деривативами, 70% рынка международных облигаций, 66% частного выпуска акций, 83% активов хедж-фондов (табл. 2). Кроме того, 15 из 25 крупнейших товарных бирж мира расположены в</w:t>
      </w:r>
      <w:r>
        <w:rPr>
          <w:rFonts w:ascii="Times New Roman" w:hAnsi="Times New Roman"/>
          <w:b/>
          <w:sz w:val="24"/>
          <w:szCs w:val="24"/>
        </w:rPr>
        <w:t xml:space="preserve"> </w:t>
      </w:r>
      <w:r>
        <w:rPr>
          <w:rFonts w:ascii="Times New Roman" w:hAnsi="Times New Roman"/>
          <w:sz w:val="24"/>
          <w:szCs w:val="24"/>
        </w:rPr>
        <w:t>США и Великобритании, на которых ежедневно устанавливаются цены на сырьевые продукты, включая нефть.</w:t>
      </w:r>
    </w:p>
    <w:p w:rsidR="00534AA2" w:rsidRDefault="00534AA2">
      <w:pPr>
        <w:shd w:val="clear" w:color="auto" w:fill="FFFFFF"/>
        <w:spacing w:after="0" w:line="360" w:lineRule="auto"/>
        <w:jc w:val="right"/>
      </w:pPr>
      <w:r>
        <w:rPr>
          <w:rFonts w:ascii="Times New Roman" w:hAnsi="Times New Roman"/>
          <w:sz w:val="24"/>
          <w:szCs w:val="24"/>
        </w:rPr>
        <w:t>Таблица 2</w:t>
      </w:r>
    </w:p>
    <w:p w:rsidR="00534AA2" w:rsidRDefault="00534AA2">
      <w:pPr>
        <w:shd w:val="clear" w:color="auto" w:fill="FFFFFF"/>
        <w:spacing w:after="0" w:line="360" w:lineRule="auto"/>
        <w:jc w:val="center"/>
        <w:rPr>
          <w:rFonts w:ascii="Times New Roman" w:hAnsi="Times New Roman"/>
          <w:b/>
          <w:sz w:val="24"/>
          <w:szCs w:val="24"/>
        </w:rPr>
      </w:pPr>
      <w:r>
        <w:rPr>
          <w:rFonts w:ascii="Times New Roman" w:hAnsi="Times New Roman"/>
          <w:b/>
          <w:sz w:val="24"/>
          <w:szCs w:val="24"/>
        </w:rPr>
        <w:t>Доли индустриальных стран на международных финансовых рынках</w:t>
      </w:r>
    </w:p>
    <w:tbl>
      <w:tblPr>
        <w:tblW w:w="9268"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A0"/>
      </w:tblPr>
      <w:tblGrid>
        <w:gridCol w:w="4483"/>
        <w:gridCol w:w="568"/>
        <w:gridCol w:w="567"/>
        <w:gridCol w:w="567"/>
        <w:gridCol w:w="567"/>
        <w:gridCol w:w="568"/>
        <w:gridCol w:w="568"/>
        <w:gridCol w:w="568"/>
        <w:gridCol w:w="812"/>
      </w:tblGrid>
      <w:tr w:rsidR="00534AA2">
        <w:trPr>
          <w:trHeight w:val="2025"/>
          <w:jc w:val="center"/>
        </w:trPr>
        <w:tc>
          <w:tcPr>
            <w:tcW w:w="4482" w:type="dxa"/>
            <w:tcMar>
              <w:left w:w="98" w:type="dxa"/>
            </w:tcMar>
            <w:vAlign w:val="center"/>
          </w:tcPr>
          <w:p w:rsidR="00534AA2" w:rsidRDefault="00534AA2">
            <w:pPr>
              <w:spacing w:after="0" w:line="240" w:lineRule="auto"/>
              <w:jc w:val="center"/>
              <w:rPr>
                <w:rFonts w:ascii="Times New Roman" w:hAnsi="Times New Roman"/>
                <w:sz w:val="24"/>
                <w:szCs w:val="24"/>
              </w:rPr>
            </w:pPr>
          </w:p>
        </w:tc>
        <w:tc>
          <w:tcPr>
            <w:tcW w:w="568" w:type="dxa"/>
            <w:tcMar>
              <w:left w:w="98" w:type="dxa"/>
            </w:tcMar>
            <w:textDirection w:val="btLr"/>
            <w:vAlign w:val="center"/>
          </w:tcPr>
          <w:p w:rsidR="00534AA2" w:rsidRDefault="00534AA2">
            <w:pPr>
              <w:spacing w:after="0" w:line="240" w:lineRule="auto"/>
              <w:jc w:val="center"/>
              <w:rPr>
                <w:rFonts w:ascii="Times New Roman" w:hAnsi="Times New Roman"/>
                <w:sz w:val="24"/>
                <w:szCs w:val="24"/>
              </w:rPr>
            </w:pPr>
            <w:r>
              <w:rPr>
                <w:rFonts w:ascii="Times New Roman" w:hAnsi="Times New Roman"/>
                <w:bCs/>
                <w:sz w:val="24"/>
                <w:szCs w:val="24"/>
              </w:rPr>
              <w:t>Британия</w:t>
            </w:r>
          </w:p>
        </w:tc>
        <w:tc>
          <w:tcPr>
            <w:tcW w:w="567" w:type="dxa"/>
            <w:tcMar>
              <w:left w:w="98" w:type="dxa"/>
            </w:tcMar>
            <w:textDirection w:val="btLr"/>
            <w:vAlign w:val="center"/>
          </w:tcPr>
          <w:p w:rsidR="00534AA2" w:rsidRDefault="00534AA2">
            <w:pPr>
              <w:spacing w:after="0" w:line="240" w:lineRule="auto"/>
              <w:jc w:val="center"/>
              <w:rPr>
                <w:rFonts w:ascii="Times New Roman" w:hAnsi="Times New Roman"/>
                <w:sz w:val="24"/>
                <w:szCs w:val="24"/>
              </w:rPr>
            </w:pPr>
            <w:r>
              <w:rPr>
                <w:rFonts w:ascii="Times New Roman" w:hAnsi="Times New Roman"/>
                <w:bCs/>
                <w:sz w:val="24"/>
                <w:szCs w:val="24"/>
              </w:rPr>
              <w:t>США</w:t>
            </w:r>
          </w:p>
        </w:tc>
        <w:tc>
          <w:tcPr>
            <w:tcW w:w="567" w:type="dxa"/>
            <w:tcMar>
              <w:left w:w="98" w:type="dxa"/>
            </w:tcMar>
            <w:textDirection w:val="btLr"/>
            <w:vAlign w:val="center"/>
          </w:tcPr>
          <w:p w:rsidR="00534AA2" w:rsidRDefault="00534AA2">
            <w:pPr>
              <w:spacing w:after="0" w:line="240" w:lineRule="auto"/>
              <w:jc w:val="center"/>
              <w:rPr>
                <w:rFonts w:ascii="Times New Roman" w:hAnsi="Times New Roman"/>
                <w:sz w:val="24"/>
                <w:szCs w:val="24"/>
              </w:rPr>
            </w:pPr>
            <w:r>
              <w:rPr>
                <w:rFonts w:ascii="Times New Roman" w:hAnsi="Times New Roman"/>
                <w:bCs/>
                <w:sz w:val="24"/>
                <w:szCs w:val="24"/>
              </w:rPr>
              <w:t>Япония</w:t>
            </w:r>
          </w:p>
        </w:tc>
        <w:tc>
          <w:tcPr>
            <w:tcW w:w="567" w:type="dxa"/>
            <w:tcMar>
              <w:left w:w="98" w:type="dxa"/>
            </w:tcMar>
            <w:textDirection w:val="btLr"/>
            <w:vAlign w:val="center"/>
          </w:tcPr>
          <w:p w:rsidR="00534AA2" w:rsidRDefault="00534AA2">
            <w:pPr>
              <w:spacing w:after="0" w:line="240" w:lineRule="auto"/>
              <w:jc w:val="center"/>
              <w:rPr>
                <w:rFonts w:ascii="Times New Roman" w:hAnsi="Times New Roman"/>
                <w:sz w:val="24"/>
                <w:szCs w:val="24"/>
              </w:rPr>
            </w:pPr>
            <w:r>
              <w:rPr>
                <w:rFonts w:ascii="Times New Roman" w:hAnsi="Times New Roman"/>
                <w:bCs/>
                <w:sz w:val="24"/>
                <w:szCs w:val="24"/>
              </w:rPr>
              <w:t>Франция</w:t>
            </w:r>
          </w:p>
        </w:tc>
        <w:tc>
          <w:tcPr>
            <w:tcW w:w="568" w:type="dxa"/>
            <w:tcMar>
              <w:left w:w="98" w:type="dxa"/>
            </w:tcMar>
            <w:textDirection w:val="btLr"/>
            <w:vAlign w:val="center"/>
          </w:tcPr>
          <w:p w:rsidR="00534AA2" w:rsidRDefault="00534AA2">
            <w:pPr>
              <w:spacing w:after="0" w:line="240" w:lineRule="auto"/>
              <w:jc w:val="center"/>
              <w:rPr>
                <w:rFonts w:ascii="Times New Roman" w:hAnsi="Times New Roman"/>
                <w:sz w:val="24"/>
                <w:szCs w:val="24"/>
              </w:rPr>
            </w:pPr>
            <w:r>
              <w:rPr>
                <w:rFonts w:ascii="Times New Roman" w:hAnsi="Times New Roman"/>
                <w:bCs/>
                <w:sz w:val="24"/>
                <w:szCs w:val="24"/>
              </w:rPr>
              <w:t>Германия</w:t>
            </w:r>
          </w:p>
        </w:tc>
        <w:tc>
          <w:tcPr>
            <w:tcW w:w="568" w:type="dxa"/>
            <w:tcMar>
              <w:left w:w="98" w:type="dxa"/>
            </w:tcMar>
            <w:textDirection w:val="btLr"/>
            <w:vAlign w:val="center"/>
          </w:tcPr>
          <w:p w:rsidR="00534AA2" w:rsidRDefault="00534AA2">
            <w:pPr>
              <w:spacing w:after="0" w:line="240" w:lineRule="auto"/>
              <w:jc w:val="center"/>
              <w:rPr>
                <w:rFonts w:ascii="Times New Roman" w:hAnsi="Times New Roman"/>
                <w:sz w:val="24"/>
                <w:szCs w:val="24"/>
              </w:rPr>
            </w:pPr>
            <w:r>
              <w:rPr>
                <w:rFonts w:ascii="Times New Roman" w:hAnsi="Times New Roman"/>
                <w:bCs/>
                <w:sz w:val="24"/>
                <w:szCs w:val="24"/>
              </w:rPr>
              <w:t>Сингапур</w:t>
            </w:r>
          </w:p>
        </w:tc>
        <w:tc>
          <w:tcPr>
            <w:tcW w:w="568" w:type="dxa"/>
            <w:tcMar>
              <w:left w:w="98" w:type="dxa"/>
            </w:tcMar>
            <w:textDirection w:val="btLr"/>
            <w:vAlign w:val="center"/>
          </w:tcPr>
          <w:p w:rsidR="00534AA2" w:rsidRDefault="00534AA2">
            <w:pPr>
              <w:spacing w:after="0" w:line="240" w:lineRule="auto"/>
              <w:jc w:val="center"/>
              <w:rPr>
                <w:rFonts w:ascii="Times New Roman" w:hAnsi="Times New Roman"/>
                <w:sz w:val="24"/>
                <w:szCs w:val="24"/>
              </w:rPr>
            </w:pPr>
            <w:r>
              <w:rPr>
                <w:rFonts w:ascii="Times New Roman" w:hAnsi="Times New Roman"/>
                <w:bCs/>
                <w:sz w:val="24"/>
                <w:szCs w:val="24"/>
              </w:rPr>
              <w:t>Гонконг</w:t>
            </w:r>
          </w:p>
        </w:tc>
        <w:tc>
          <w:tcPr>
            <w:tcW w:w="812" w:type="dxa"/>
            <w:tcMar>
              <w:left w:w="98" w:type="dxa"/>
            </w:tcMar>
            <w:textDirection w:val="btLr"/>
            <w:vAlign w:val="center"/>
          </w:tcPr>
          <w:p w:rsidR="00534AA2" w:rsidRDefault="00534AA2">
            <w:pPr>
              <w:spacing w:after="0" w:line="240" w:lineRule="auto"/>
              <w:jc w:val="center"/>
              <w:rPr>
                <w:rFonts w:ascii="Times New Roman" w:hAnsi="Times New Roman"/>
                <w:sz w:val="24"/>
                <w:szCs w:val="24"/>
              </w:rPr>
            </w:pPr>
            <w:r>
              <w:rPr>
                <w:rFonts w:ascii="Times New Roman" w:hAnsi="Times New Roman"/>
                <w:bCs/>
                <w:sz w:val="24"/>
                <w:szCs w:val="24"/>
              </w:rPr>
              <w:t>Другие страны</w:t>
            </w:r>
          </w:p>
        </w:tc>
      </w:tr>
      <w:tr w:rsidR="00534AA2">
        <w:trPr>
          <w:trHeight w:val="537"/>
          <w:jc w:val="center"/>
        </w:trPr>
        <w:tc>
          <w:tcPr>
            <w:tcW w:w="4482" w:type="dxa"/>
            <w:tcMar>
              <w:left w:w="98" w:type="dxa"/>
            </w:tcMar>
          </w:tcPr>
          <w:p w:rsidR="00534AA2" w:rsidRDefault="00534AA2">
            <w:pPr>
              <w:pStyle w:val="NormalWeb"/>
              <w:spacing w:beforeAutospacing="0" w:after="0" w:afterAutospacing="0"/>
              <w:rPr>
                <w:lang w:eastAsia="en-US"/>
              </w:rPr>
            </w:pPr>
            <w:r>
              <w:rPr>
                <w:lang w:eastAsia="en-US"/>
              </w:rPr>
              <w:t>Международное межбанковское кредитование (сентябрь, 201</w:t>
            </w:r>
            <w:r>
              <w:rPr>
                <w:lang w:val="en-US" w:eastAsia="en-US"/>
              </w:rPr>
              <w:t>4</w:t>
            </w:r>
            <w:r>
              <w:rPr>
                <w:lang w:eastAsia="en-US"/>
              </w:rPr>
              <w:t xml:space="preserve"> г.)</w:t>
            </w:r>
          </w:p>
        </w:tc>
        <w:tc>
          <w:tcPr>
            <w:tcW w:w="568" w:type="dxa"/>
            <w:tcMar>
              <w:left w:w="98" w:type="dxa"/>
            </w:tcMa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7</w:t>
            </w:r>
          </w:p>
        </w:tc>
        <w:tc>
          <w:tcPr>
            <w:tcW w:w="567" w:type="dxa"/>
            <w:tcMar>
              <w:left w:w="98" w:type="dxa"/>
            </w:tcMa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lang w:val="en-US"/>
              </w:rPr>
              <w:t>11</w:t>
            </w:r>
          </w:p>
        </w:tc>
        <w:tc>
          <w:tcPr>
            <w:tcW w:w="567" w:type="dxa"/>
            <w:tcMar>
              <w:left w:w="98" w:type="dxa"/>
            </w:tcMa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1</w:t>
            </w:r>
          </w:p>
        </w:tc>
        <w:tc>
          <w:tcPr>
            <w:tcW w:w="567" w:type="dxa"/>
            <w:tcMar>
              <w:left w:w="98" w:type="dxa"/>
            </w:tcMar>
          </w:tcPr>
          <w:p w:rsidR="00534AA2" w:rsidRDefault="00534AA2">
            <w:pPr>
              <w:spacing w:after="0" w:line="240" w:lineRule="auto"/>
              <w:jc w:val="center"/>
              <w:rPr>
                <w:rFonts w:ascii="Times New Roman" w:hAnsi="Times New Roman"/>
                <w:sz w:val="24"/>
                <w:szCs w:val="24"/>
                <w:lang w:val="en-US"/>
              </w:rPr>
            </w:pPr>
            <w:r>
              <w:rPr>
                <w:rFonts w:ascii="Times New Roman" w:hAnsi="Times New Roman"/>
                <w:sz w:val="24"/>
                <w:szCs w:val="24"/>
                <w:lang w:val="en-US"/>
              </w:rPr>
              <w:t>8</w:t>
            </w:r>
          </w:p>
        </w:tc>
        <w:tc>
          <w:tcPr>
            <w:tcW w:w="568" w:type="dxa"/>
            <w:tcMar>
              <w:left w:w="98" w:type="dxa"/>
            </w:tcMar>
          </w:tcPr>
          <w:p w:rsidR="00534AA2" w:rsidRDefault="00534AA2">
            <w:pPr>
              <w:spacing w:after="0" w:line="240" w:lineRule="auto"/>
              <w:jc w:val="center"/>
              <w:rPr>
                <w:rFonts w:ascii="Times New Roman" w:hAnsi="Times New Roman"/>
                <w:sz w:val="24"/>
                <w:szCs w:val="24"/>
                <w:lang w:val="en-US"/>
              </w:rPr>
            </w:pPr>
            <w:r>
              <w:rPr>
                <w:rFonts w:ascii="Times New Roman" w:hAnsi="Times New Roman"/>
                <w:sz w:val="24"/>
                <w:szCs w:val="24"/>
                <w:lang w:val="en-US"/>
              </w:rPr>
              <w:t>8</w:t>
            </w:r>
          </w:p>
        </w:tc>
        <w:tc>
          <w:tcPr>
            <w:tcW w:w="568" w:type="dxa"/>
            <w:tcMar>
              <w:left w:w="98" w:type="dxa"/>
            </w:tcMa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rPr>
              <w:t>3</w:t>
            </w:r>
          </w:p>
        </w:tc>
        <w:tc>
          <w:tcPr>
            <w:tcW w:w="568" w:type="dxa"/>
            <w:tcMar>
              <w:left w:w="98" w:type="dxa"/>
            </w:tcMa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rPr>
              <w:t>4</w:t>
            </w:r>
          </w:p>
        </w:tc>
        <w:tc>
          <w:tcPr>
            <w:tcW w:w="812" w:type="dxa"/>
            <w:tcMar>
              <w:left w:w="98" w:type="dxa"/>
            </w:tcMar>
          </w:tcPr>
          <w:p w:rsidR="00534AA2" w:rsidRDefault="00534AA2">
            <w:pPr>
              <w:spacing w:after="0" w:line="240" w:lineRule="auto"/>
              <w:jc w:val="center"/>
              <w:rPr>
                <w:rFonts w:ascii="Times New Roman" w:hAnsi="Times New Roman"/>
                <w:sz w:val="24"/>
                <w:szCs w:val="24"/>
                <w:lang w:val="en-US"/>
              </w:rPr>
            </w:pPr>
            <w:r>
              <w:rPr>
                <w:rFonts w:ascii="Times New Roman" w:hAnsi="Times New Roman"/>
                <w:sz w:val="24"/>
                <w:szCs w:val="24"/>
              </w:rPr>
              <w:t>3</w:t>
            </w:r>
            <w:r>
              <w:rPr>
                <w:rFonts w:ascii="Times New Roman" w:hAnsi="Times New Roman"/>
                <w:sz w:val="24"/>
                <w:szCs w:val="24"/>
                <w:lang w:val="en-US"/>
              </w:rPr>
              <w:t>8</w:t>
            </w:r>
          </w:p>
        </w:tc>
      </w:tr>
      <w:tr w:rsidR="00534AA2">
        <w:trPr>
          <w:trHeight w:val="375"/>
          <w:jc w:val="center"/>
        </w:trPr>
        <w:tc>
          <w:tcPr>
            <w:tcW w:w="4482" w:type="dxa"/>
            <w:tcMar>
              <w:left w:w="98" w:type="dxa"/>
            </w:tcMar>
          </w:tcPr>
          <w:p w:rsidR="00534AA2" w:rsidRDefault="00534AA2">
            <w:pPr>
              <w:spacing w:after="0" w:line="240" w:lineRule="auto"/>
              <w:rPr>
                <w:rFonts w:ascii="Times New Roman" w:hAnsi="Times New Roman"/>
                <w:sz w:val="24"/>
                <w:szCs w:val="24"/>
              </w:rPr>
            </w:pPr>
            <w:r>
              <w:rPr>
                <w:rFonts w:ascii="Times New Roman" w:hAnsi="Times New Roman"/>
                <w:sz w:val="24"/>
                <w:szCs w:val="24"/>
              </w:rPr>
              <w:t xml:space="preserve">Валютная торговля </w:t>
            </w:r>
            <w:r>
              <w:rPr>
                <w:rFonts w:ascii="Times New Roman" w:hAnsi="Times New Roman"/>
                <w:sz w:val="24"/>
                <w:szCs w:val="24"/>
                <w:lang w:val="en-US"/>
              </w:rPr>
              <w:t>(</w:t>
            </w:r>
            <w:r>
              <w:rPr>
                <w:rFonts w:ascii="Times New Roman" w:hAnsi="Times New Roman"/>
                <w:sz w:val="24"/>
                <w:szCs w:val="24"/>
              </w:rPr>
              <w:t xml:space="preserve">апрель, </w:t>
            </w:r>
            <w:r>
              <w:rPr>
                <w:rFonts w:ascii="Times New Roman" w:hAnsi="Times New Roman"/>
                <w:sz w:val="24"/>
                <w:szCs w:val="24"/>
                <w:lang w:val="en-US"/>
              </w:rPr>
              <w:t>201</w:t>
            </w:r>
            <w:r>
              <w:rPr>
                <w:rFonts w:ascii="Times New Roman" w:hAnsi="Times New Roman"/>
                <w:sz w:val="24"/>
                <w:szCs w:val="24"/>
              </w:rPr>
              <w:t>3 г.</w:t>
            </w:r>
            <w:r>
              <w:rPr>
                <w:rFonts w:ascii="Times New Roman" w:hAnsi="Times New Roman"/>
                <w:sz w:val="24"/>
                <w:szCs w:val="24"/>
                <w:lang w:val="en-US"/>
              </w:rPr>
              <w:t>)</w:t>
            </w:r>
          </w:p>
        </w:tc>
        <w:tc>
          <w:tcPr>
            <w:tcW w:w="568" w:type="dxa"/>
            <w:tcMar>
              <w:left w:w="98" w:type="dxa"/>
            </w:tcMa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rPr>
              <w:t>41</w:t>
            </w:r>
          </w:p>
        </w:tc>
        <w:tc>
          <w:tcPr>
            <w:tcW w:w="567" w:type="dxa"/>
            <w:tcMar>
              <w:left w:w="98" w:type="dxa"/>
            </w:tcMa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rPr>
              <w:t>19</w:t>
            </w:r>
          </w:p>
        </w:tc>
        <w:tc>
          <w:tcPr>
            <w:tcW w:w="567" w:type="dxa"/>
            <w:tcMar>
              <w:left w:w="98" w:type="dxa"/>
            </w:tcMa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rPr>
              <w:t>6</w:t>
            </w:r>
          </w:p>
        </w:tc>
        <w:tc>
          <w:tcPr>
            <w:tcW w:w="567" w:type="dxa"/>
            <w:tcMar>
              <w:left w:w="98" w:type="dxa"/>
            </w:tcMa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lang w:val="en-US"/>
              </w:rPr>
              <w:t>3</w:t>
            </w:r>
          </w:p>
        </w:tc>
        <w:tc>
          <w:tcPr>
            <w:tcW w:w="568" w:type="dxa"/>
            <w:tcMar>
              <w:left w:w="98" w:type="dxa"/>
            </w:tcMa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lang w:val="en-US"/>
              </w:rPr>
              <w:t>2</w:t>
            </w:r>
          </w:p>
        </w:tc>
        <w:tc>
          <w:tcPr>
            <w:tcW w:w="568" w:type="dxa"/>
            <w:tcMar>
              <w:left w:w="98" w:type="dxa"/>
            </w:tcMa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rPr>
              <w:t>6</w:t>
            </w:r>
          </w:p>
        </w:tc>
        <w:tc>
          <w:tcPr>
            <w:tcW w:w="568" w:type="dxa"/>
            <w:tcMar>
              <w:left w:w="98" w:type="dxa"/>
            </w:tcMa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rPr>
              <w:t>4</w:t>
            </w:r>
          </w:p>
        </w:tc>
        <w:tc>
          <w:tcPr>
            <w:tcW w:w="812" w:type="dxa"/>
            <w:tcMar>
              <w:left w:w="98" w:type="dxa"/>
            </w:tcMa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rPr>
              <w:t>19</w:t>
            </w:r>
          </w:p>
        </w:tc>
      </w:tr>
      <w:tr w:rsidR="00534AA2">
        <w:trPr>
          <w:trHeight w:val="551"/>
          <w:jc w:val="center"/>
        </w:trPr>
        <w:tc>
          <w:tcPr>
            <w:tcW w:w="4482" w:type="dxa"/>
            <w:tcMar>
              <w:left w:w="98" w:type="dxa"/>
            </w:tcMar>
          </w:tcPr>
          <w:p w:rsidR="00534AA2" w:rsidRDefault="00534AA2">
            <w:pPr>
              <w:pStyle w:val="NormalWeb"/>
              <w:spacing w:beforeAutospacing="0" w:after="0" w:afterAutospacing="0"/>
              <w:rPr>
                <w:lang w:eastAsia="en-US"/>
              </w:rPr>
            </w:pPr>
            <w:r>
              <w:rPr>
                <w:lang w:eastAsia="en-US"/>
              </w:rPr>
              <w:t>Внебиржевая торговля процентными деривативами (апрель, 2013 г.)</w:t>
            </w:r>
          </w:p>
        </w:tc>
        <w:tc>
          <w:tcPr>
            <w:tcW w:w="568" w:type="dxa"/>
            <w:tcMar>
              <w:left w:w="98" w:type="dxa"/>
            </w:tcMa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lang w:val="en-US"/>
              </w:rPr>
              <w:t>4</w:t>
            </w:r>
            <w:r>
              <w:rPr>
                <w:rFonts w:ascii="Times New Roman" w:hAnsi="Times New Roman"/>
                <w:sz w:val="24"/>
                <w:szCs w:val="24"/>
              </w:rPr>
              <w:t>9</w:t>
            </w:r>
          </w:p>
        </w:tc>
        <w:tc>
          <w:tcPr>
            <w:tcW w:w="567" w:type="dxa"/>
            <w:tcMar>
              <w:left w:w="98" w:type="dxa"/>
            </w:tcMa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lang w:val="en-US"/>
              </w:rPr>
              <w:t>2</w:t>
            </w:r>
            <w:r>
              <w:rPr>
                <w:rFonts w:ascii="Times New Roman" w:hAnsi="Times New Roman"/>
                <w:sz w:val="24"/>
                <w:szCs w:val="24"/>
              </w:rPr>
              <w:t>3</w:t>
            </w:r>
          </w:p>
        </w:tc>
        <w:tc>
          <w:tcPr>
            <w:tcW w:w="567" w:type="dxa"/>
            <w:tcMar>
              <w:left w:w="98" w:type="dxa"/>
            </w:tcMa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tcMar>
              <w:left w:w="98" w:type="dxa"/>
            </w:tcMa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lang w:val="en-US"/>
              </w:rPr>
              <w:t>7</w:t>
            </w:r>
          </w:p>
        </w:tc>
        <w:tc>
          <w:tcPr>
            <w:tcW w:w="568" w:type="dxa"/>
            <w:tcMar>
              <w:left w:w="98" w:type="dxa"/>
            </w:tcMa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rPr>
              <w:t>4</w:t>
            </w:r>
          </w:p>
        </w:tc>
        <w:tc>
          <w:tcPr>
            <w:tcW w:w="568" w:type="dxa"/>
            <w:tcMar>
              <w:left w:w="98" w:type="dxa"/>
            </w:tcMa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rPr>
              <w:t>1</w:t>
            </w:r>
          </w:p>
        </w:tc>
        <w:tc>
          <w:tcPr>
            <w:tcW w:w="568" w:type="dxa"/>
            <w:tcMar>
              <w:left w:w="98" w:type="dxa"/>
            </w:tcMa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rPr>
              <w:t>1</w:t>
            </w:r>
          </w:p>
        </w:tc>
        <w:tc>
          <w:tcPr>
            <w:tcW w:w="812" w:type="dxa"/>
            <w:tcMar>
              <w:left w:w="98" w:type="dxa"/>
            </w:tcMa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3</w:t>
            </w:r>
          </w:p>
        </w:tc>
      </w:tr>
      <w:tr w:rsidR="00534AA2">
        <w:trPr>
          <w:trHeight w:val="416"/>
          <w:jc w:val="center"/>
        </w:trPr>
        <w:tc>
          <w:tcPr>
            <w:tcW w:w="4482" w:type="dxa"/>
            <w:tcMar>
              <w:left w:w="98" w:type="dxa"/>
            </w:tcMar>
          </w:tcPr>
          <w:p w:rsidR="00534AA2" w:rsidRDefault="00534AA2">
            <w:pPr>
              <w:pStyle w:val="NormalWeb"/>
              <w:spacing w:beforeAutospacing="0" w:after="0" w:afterAutospacing="0"/>
              <w:rPr>
                <w:lang w:eastAsia="en-US"/>
              </w:rPr>
            </w:pPr>
            <w:r>
              <w:rPr>
                <w:lang w:eastAsia="en-US"/>
              </w:rPr>
              <w:t>Морское страхование, чистый премиальный доход (2013 г.)</w:t>
            </w:r>
          </w:p>
        </w:tc>
        <w:tc>
          <w:tcPr>
            <w:tcW w:w="568" w:type="dxa"/>
            <w:tcMar>
              <w:left w:w="98" w:type="dxa"/>
            </w:tcMa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rPr>
              <w:t>26</w:t>
            </w:r>
          </w:p>
        </w:tc>
        <w:tc>
          <w:tcPr>
            <w:tcW w:w="567" w:type="dxa"/>
            <w:tcMar>
              <w:left w:w="98" w:type="dxa"/>
            </w:tcMa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rPr>
              <w:t>5</w:t>
            </w:r>
          </w:p>
        </w:tc>
        <w:tc>
          <w:tcPr>
            <w:tcW w:w="567" w:type="dxa"/>
            <w:tcMar>
              <w:left w:w="98" w:type="dxa"/>
            </w:tcMa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rPr>
              <w:t>7</w:t>
            </w:r>
          </w:p>
        </w:tc>
        <w:tc>
          <w:tcPr>
            <w:tcW w:w="567" w:type="dxa"/>
            <w:tcMar>
              <w:left w:w="98" w:type="dxa"/>
            </w:tcMa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rPr>
              <w:t>4</w:t>
            </w:r>
          </w:p>
        </w:tc>
        <w:tc>
          <w:tcPr>
            <w:tcW w:w="568" w:type="dxa"/>
            <w:tcMar>
              <w:left w:w="98" w:type="dxa"/>
            </w:tcMa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rPr>
              <w:t>4</w:t>
            </w:r>
          </w:p>
        </w:tc>
        <w:tc>
          <w:tcPr>
            <w:tcW w:w="568" w:type="dxa"/>
            <w:tcMar>
              <w:left w:w="98" w:type="dxa"/>
            </w:tcMa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rPr>
              <w:t>1</w:t>
            </w:r>
          </w:p>
        </w:tc>
        <w:tc>
          <w:tcPr>
            <w:tcW w:w="568" w:type="dxa"/>
            <w:tcMar>
              <w:left w:w="98" w:type="dxa"/>
            </w:tcMa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rPr>
              <w:t>1</w:t>
            </w:r>
          </w:p>
        </w:tc>
        <w:tc>
          <w:tcPr>
            <w:tcW w:w="812" w:type="dxa"/>
            <w:tcMar>
              <w:left w:w="98" w:type="dxa"/>
            </w:tcMa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rPr>
              <w:t>53</w:t>
            </w:r>
          </w:p>
        </w:tc>
      </w:tr>
      <w:tr w:rsidR="00534AA2">
        <w:trPr>
          <w:trHeight w:val="411"/>
          <w:jc w:val="center"/>
        </w:trPr>
        <w:tc>
          <w:tcPr>
            <w:tcW w:w="4482" w:type="dxa"/>
            <w:tcMar>
              <w:left w:w="98" w:type="dxa"/>
            </w:tcMar>
          </w:tcPr>
          <w:p w:rsidR="00534AA2" w:rsidRDefault="00534AA2">
            <w:pPr>
              <w:pStyle w:val="NormalWeb"/>
              <w:spacing w:beforeAutospacing="0" w:after="0" w:afterAutospacing="0"/>
              <w:rPr>
                <w:lang w:eastAsia="en-US"/>
              </w:rPr>
            </w:pPr>
            <w:r>
              <w:rPr>
                <w:lang w:eastAsia="en-US"/>
              </w:rPr>
              <w:t>Активы в управлении фондов (2013 г.)</w:t>
            </w:r>
          </w:p>
        </w:tc>
        <w:tc>
          <w:tcPr>
            <w:tcW w:w="568" w:type="dxa"/>
            <w:tcMar>
              <w:left w:w="98" w:type="dxa"/>
            </w:tcMar>
          </w:tcPr>
          <w:p w:rsidR="00534AA2" w:rsidRDefault="00534AA2">
            <w:pPr>
              <w:spacing w:after="0" w:line="240" w:lineRule="auto"/>
              <w:jc w:val="center"/>
              <w:rPr>
                <w:rFonts w:ascii="Times New Roman" w:hAnsi="Times New Roman"/>
                <w:sz w:val="24"/>
                <w:szCs w:val="24"/>
                <w:lang w:val="en-US"/>
              </w:rPr>
            </w:pPr>
            <w:r>
              <w:rPr>
                <w:rFonts w:ascii="Times New Roman" w:hAnsi="Times New Roman"/>
                <w:sz w:val="24"/>
                <w:szCs w:val="24"/>
                <w:lang w:val="en-US"/>
              </w:rPr>
              <w:t>8</w:t>
            </w:r>
          </w:p>
        </w:tc>
        <w:tc>
          <w:tcPr>
            <w:tcW w:w="567" w:type="dxa"/>
            <w:tcMar>
              <w:left w:w="98" w:type="dxa"/>
            </w:tcMa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lang w:val="en-US"/>
              </w:rPr>
              <w:t>4</w:t>
            </w:r>
            <w:r>
              <w:rPr>
                <w:rFonts w:ascii="Times New Roman" w:hAnsi="Times New Roman"/>
                <w:sz w:val="24"/>
                <w:szCs w:val="24"/>
              </w:rPr>
              <w:t>6</w:t>
            </w:r>
          </w:p>
        </w:tc>
        <w:tc>
          <w:tcPr>
            <w:tcW w:w="567" w:type="dxa"/>
            <w:tcMar>
              <w:left w:w="98" w:type="dxa"/>
            </w:tcMar>
          </w:tcPr>
          <w:p w:rsidR="00534AA2" w:rsidRDefault="00534AA2">
            <w:pPr>
              <w:spacing w:after="0" w:line="240" w:lineRule="auto"/>
              <w:jc w:val="center"/>
              <w:rPr>
                <w:rFonts w:ascii="Times New Roman" w:hAnsi="Times New Roman"/>
                <w:sz w:val="24"/>
                <w:szCs w:val="24"/>
                <w:lang w:val="en-US"/>
              </w:rPr>
            </w:pPr>
            <w:r>
              <w:rPr>
                <w:rFonts w:ascii="Times New Roman" w:hAnsi="Times New Roman"/>
                <w:sz w:val="24"/>
                <w:szCs w:val="24"/>
                <w:lang w:val="en-US"/>
              </w:rPr>
              <w:t>7</w:t>
            </w:r>
          </w:p>
        </w:tc>
        <w:tc>
          <w:tcPr>
            <w:tcW w:w="567" w:type="dxa"/>
            <w:tcMar>
              <w:left w:w="98" w:type="dxa"/>
            </w:tcMar>
          </w:tcPr>
          <w:p w:rsidR="00534AA2" w:rsidRDefault="00534AA2">
            <w:pPr>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c>
          <w:tcPr>
            <w:tcW w:w="568" w:type="dxa"/>
            <w:tcMar>
              <w:left w:w="98" w:type="dxa"/>
            </w:tcMar>
          </w:tcPr>
          <w:p w:rsidR="00534AA2" w:rsidRDefault="00534AA2">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568" w:type="dxa"/>
            <w:tcMar>
              <w:left w:w="98" w:type="dxa"/>
            </w:tcMar>
          </w:tcPr>
          <w:p w:rsidR="00534AA2" w:rsidRDefault="00534AA2">
            <w:pPr>
              <w:spacing w:after="0" w:line="240" w:lineRule="auto"/>
              <w:jc w:val="center"/>
              <w:rPr>
                <w:rFonts w:ascii="Times New Roman" w:hAnsi="Times New Roman"/>
                <w:sz w:val="24"/>
                <w:szCs w:val="24"/>
                <w:lang w:val="en-US"/>
              </w:rPr>
            </w:pPr>
            <w:r>
              <w:rPr>
                <w:rFonts w:ascii="Times New Roman" w:hAnsi="Times New Roman"/>
                <w:sz w:val="24"/>
                <w:szCs w:val="24"/>
                <w:lang w:val="en-US"/>
              </w:rPr>
              <w:t>---</w:t>
            </w:r>
          </w:p>
        </w:tc>
        <w:tc>
          <w:tcPr>
            <w:tcW w:w="568" w:type="dxa"/>
            <w:tcMar>
              <w:left w:w="98" w:type="dxa"/>
            </w:tcMar>
          </w:tcPr>
          <w:p w:rsidR="00534AA2" w:rsidRDefault="00534AA2">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812" w:type="dxa"/>
            <w:tcMar>
              <w:left w:w="98" w:type="dxa"/>
            </w:tcMa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lang w:val="en-US"/>
              </w:rPr>
              <w:t>3</w:t>
            </w:r>
            <w:r>
              <w:rPr>
                <w:rFonts w:ascii="Times New Roman" w:hAnsi="Times New Roman"/>
                <w:sz w:val="24"/>
                <w:szCs w:val="24"/>
              </w:rPr>
              <w:t>3</w:t>
            </w:r>
          </w:p>
        </w:tc>
      </w:tr>
      <w:tr w:rsidR="00534AA2">
        <w:trPr>
          <w:trHeight w:val="418"/>
          <w:jc w:val="center"/>
        </w:trPr>
        <w:tc>
          <w:tcPr>
            <w:tcW w:w="4482" w:type="dxa"/>
            <w:tcMar>
              <w:left w:w="98" w:type="dxa"/>
            </w:tcMar>
          </w:tcPr>
          <w:p w:rsidR="00534AA2" w:rsidRDefault="00534AA2">
            <w:pPr>
              <w:spacing w:after="0" w:line="240" w:lineRule="auto"/>
              <w:rPr>
                <w:rFonts w:ascii="Times New Roman" w:hAnsi="Times New Roman"/>
                <w:sz w:val="24"/>
                <w:szCs w:val="24"/>
                <w:lang w:val="en-US"/>
              </w:rPr>
            </w:pPr>
            <w:r>
              <w:rPr>
                <w:rFonts w:ascii="Times New Roman" w:hAnsi="Times New Roman"/>
                <w:sz w:val="24"/>
                <w:szCs w:val="24"/>
              </w:rPr>
              <w:t>Активы</w:t>
            </w:r>
            <w:r>
              <w:rPr>
                <w:rFonts w:ascii="Times New Roman" w:hAnsi="Times New Roman"/>
                <w:sz w:val="24"/>
                <w:szCs w:val="24"/>
                <w:lang w:val="en-US"/>
              </w:rPr>
              <w:t xml:space="preserve"> </w:t>
            </w:r>
            <w:r>
              <w:rPr>
                <w:rFonts w:ascii="Times New Roman" w:hAnsi="Times New Roman"/>
                <w:sz w:val="24"/>
                <w:szCs w:val="24"/>
              </w:rPr>
              <w:t>хедж</w:t>
            </w:r>
            <w:r>
              <w:rPr>
                <w:rFonts w:ascii="Times New Roman" w:hAnsi="Times New Roman"/>
                <w:sz w:val="24"/>
                <w:szCs w:val="24"/>
                <w:lang w:val="en-US"/>
              </w:rPr>
              <w:t>-</w:t>
            </w:r>
            <w:r>
              <w:rPr>
                <w:rFonts w:ascii="Times New Roman" w:hAnsi="Times New Roman"/>
                <w:sz w:val="24"/>
                <w:szCs w:val="24"/>
              </w:rPr>
              <w:t>фондов</w:t>
            </w:r>
            <w:r>
              <w:rPr>
                <w:rFonts w:ascii="Times New Roman" w:hAnsi="Times New Roman"/>
                <w:sz w:val="24"/>
                <w:szCs w:val="24"/>
                <w:lang w:val="en-US"/>
              </w:rPr>
              <w:t xml:space="preserve"> (2013 </w:t>
            </w:r>
            <w:r>
              <w:rPr>
                <w:rFonts w:ascii="Times New Roman" w:hAnsi="Times New Roman"/>
                <w:sz w:val="24"/>
                <w:szCs w:val="24"/>
              </w:rPr>
              <w:t>г</w:t>
            </w:r>
            <w:r>
              <w:rPr>
                <w:rFonts w:ascii="Times New Roman" w:hAnsi="Times New Roman"/>
                <w:sz w:val="24"/>
                <w:szCs w:val="24"/>
                <w:lang w:val="en-US"/>
              </w:rPr>
              <w:t>.)</w:t>
            </w:r>
          </w:p>
        </w:tc>
        <w:tc>
          <w:tcPr>
            <w:tcW w:w="568" w:type="dxa"/>
            <w:tcMar>
              <w:left w:w="98" w:type="dxa"/>
            </w:tcMar>
          </w:tcPr>
          <w:p w:rsidR="00534AA2" w:rsidRDefault="00534AA2">
            <w:pPr>
              <w:spacing w:after="0" w:line="240" w:lineRule="auto"/>
              <w:jc w:val="center"/>
              <w:rPr>
                <w:rFonts w:ascii="Times New Roman" w:hAnsi="Times New Roman"/>
                <w:sz w:val="24"/>
                <w:szCs w:val="24"/>
                <w:lang w:val="en-US"/>
              </w:rPr>
            </w:pPr>
            <w:r>
              <w:rPr>
                <w:rFonts w:ascii="Times New Roman" w:hAnsi="Times New Roman"/>
                <w:sz w:val="24"/>
                <w:szCs w:val="24"/>
                <w:lang w:val="en-US"/>
              </w:rPr>
              <w:t>18</w:t>
            </w:r>
          </w:p>
        </w:tc>
        <w:tc>
          <w:tcPr>
            <w:tcW w:w="567" w:type="dxa"/>
            <w:tcMar>
              <w:left w:w="98" w:type="dxa"/>
            </w:tcMar>
          </w:tcPr>
          <w:p w:rsidR="00534AA2" w:rsidRDefault="00534AA2">
            <w:pPr>
              <w:spacing w:after="0" w:line="240" w:lineRule="auto"/>
              <w:jc w:val="center"/>
              <w:rPr>
                <w:rFonts w:ascii="Times New Roman" w:hAnsi="Times New Roman"/>
                <w:sz w:val="24"/>
                <w:szCs w:val="24"/>
                <w:lang w:val="en-US"/>
              </w:rPr>
            </w:pPr>
            <w:r>
              <w:rPr>
                <w:rFonts w:ascii="Times New Roman" w:hAnsi="Times New Roman"/>
                <w:sz w:val="24"/>
                <w:szCs w:val="24"/>
                <w:lang w:val="en-US"/>
              </w:rPr>
              <w:t>65</w:t>
            </w:r>
          </w:p>
        </w:tc>
        <w:tc>
          <w:tcPr>
            <w:tcW w:w="567" w:type="dxa"/>
            <w:tcMar>
              <w:left w:w="98" w:type="dxa"/>
            </w:tcMar>
          </w:tcPr>
          <w:p w:rsidR="00534AA2" w:rsidRDefault="00534AA2">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567" w:type="dxa"/>
            <w:tcMar>
              <w:left w:w="98" w:type="dxa"/>
            </w:tcMar>
          </w:tcPr>
          <w:p w:rsidR="00534AA2" w:rsidRDefault="00534AA2">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568" w:type="dxa"/>
            <w:tcMar>
              <w:left w:w="98" w:type="dxa"/>
            </w:tcMar>
          </w:tcPr>
          <w:p w:rsidR="00534AA2" w:rsidRDefault="00534AA2">
            <w:pPr>
              <w:spacing w:after="0" w:line="240" w:lineRule="auto"/>
              <w:jc w:val="center"/>
              <w:rPr>
                <w:rFonts w:ascii="Times New Roman" w:hAnsi="Times New Roman"/>
                <w:sz w:val="24"/>
                <w:szCs w:val="24"/>
                <w:lang w:val="en-US"/>
              </w:rPr>
            </w:pPr>
            <w:r>
              <w:rPr>
                <w:rFonts w:ascii="Times New Roman" w:hAnsi="Times New Roman"/>
                <w:sz w:val="24"/>
                <w:szCs w:val="24"/>
                <w:lang w:val="en-US"/>
              </w:rPr>
              <w:t>---</w:t>
            </w:r>
          </w:p>
        </w:tc>
        <w:tc>
          <w:tcPr>
            <w:tcW w:w="568" w:type="dxa"/>
            <w:tcMar>
              <w:left w:w="98" w:type="dxa"/>
            </w:tcMar>
          </w:tcPr>
          <w:p w:rsidR="00534AA2" w:rsidRDefault="00534AA2">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568" w:type="dxa"/>
            <w:tcMar>
              <w:left w:w="98" w:type="dxa"/>
            </w:tcMar>
          </w:tcPr>
          <w:p w:rsidR="00534AA2" w:rsidRDefault="00534AA2">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812" w:type="dxa"/>
            <w:tcMar>
              <w:left w:w="98" w:type="dxa"/>
            </w:tcMar>
          </w:tcPr>
          <w:p w:rsidR="00534AA2" w:rsidRDefault="00534AA2">
            <w:pPr>
              <w:spacing w:after="0" w:line="240" w:lineRule="auto"/>
              <w:jc w:val="center"/>
              <w:rPr>
                <w:rFonts w:ascii="Times New Roman" w:hAnsi="Times New Roman"/>
                <w:sz w:val="24"/>
                <w:szCs w:val="24"/>
                <w:lang w:val="en-US"/>
              </w:rPr>
            </w:pPr>
            <w:r>
              <w:rPr>
                <w:rFonts w:ascii="Times New Roman" w:hAnsi="Times New Roman"/>
                <w:sz w:val="24"/>
                <w:szCs w:val="24"/>
                <w:lang w:val="en-US"/>
              </w:rPr>
              <w:t>12</w:t>
            </w:r>
          </w:p>
        </w:tc>
      </w:tr>
      <w:tr w:rsidR="00534AA2">
        <w:trPr>
          <w:trHeight w:val="421"/>
          <w:jc w:val="center"/>
        </w:trPr>
        <w:tc>
          <w:tcPr>
            <w:tcW w:w="4482" w:type="dxa"/>
            <w:tcMar>
              <w:left w:w="98" w:type="dxa"/>
            </w:tcMar>
          </w:tcPr>
          <w:p w:rsidR="00534AA2" w:rsidRDefault="00534AA2">
            <w:pPr>
              <w:spacing w:after="0" w:line="240" w:lineRule="auto"/>
              <w:rPr>
                <w:rFonts w:ascii="Times New Roman" w:hAnsi="Times New Roman"/>
                <w:sz w:val="24"/>
                <w:szCs w:val="24"/>
                <w:lang w:val="en-US"/>
              </w:rPr>
            </w:pPr>
            <w:r>
              <w:rPr>
                <w:rFonts w:ascii="Times New Roman" w:hAnsi="Times New Roman"/>
                <w:sz w:val="24"/>
                <w:szCs w:val="24"/>
              </w:rPr>
              <w:t>Частный</w:t>
            </w:r>
            <w:r>
              <w:rPr>
                <w:rFonts w:ascii="Times New Roman" w:hAnsi="Times New Roman"/>
                <w:sz w:val="24"/>
                <w:szCs w:val="24"/>
                <w:lang w:val="en-US"/>
              </w:rPr>
              <w:t xml:space="preserve"> </w:t>
            </w:r>
            <w:r>
              <w:rPr>
                <w:rFonts w:ascii="Times New Roman" w:hAnsi="Times New Roman"/>
                <w:sz w:val="24"/>
                <w:szCs w:val="24"/>
              </w:rPr>
              <w:t>выпуск</w:t>
            </w:r>
            <w:r>
              <w:rPr>
                <w:rFonts w:ascii="Times New Roman" w:hAnsi="Times New Roman"/>
                <w:sz w:val="24"/>
                <w:szCs w:val="24"/>
                <w:lang w:val="en-US"/>
              </w:rPr>
              <w:t xml:space="preserve"> </w:t>
            </w:r>
            <w:r>
              <w:rPr>
                <w:rFonts w:ascii="Times New Roman" w:hAnsi="Times New Roman"/>
                <w:sz w:val="24"/>
                <w:szCs w:val="24"/>
              </w:rPr>
              <w:t>акций</w:t>
            </w:r>
            <w:r>
              <w:rPr>
                <w:rFonts w:ascii="Times New Roman" w:hAnsi="Times New Roman"/>
                <w:sz w:val="24"/>
                <w:szCs w:val="24"/>
                <w:lang w:val="en-US"/>
              </w:rPr>
              <w:t xml:space="preserve"> (201</w:t>
            </w:r>
            <w:r>
              <w:rPr>
                <w:rFonts w:ascii="Times New Roman" w:hAnsi="Times New Roman"/>
                <w:sz w:val="24"/>
                <w:szCs w:val="24"/>
              </w:rPr>
              <w:t>3</w:t>
            </w:r>
            <w:r>
              <w:rPr>
                <w:rFonts w:ascii="Times New Roman" w:hAnsi="Times New Roman"/>
                <w:sz w:val="24"/>
                <w:szCs w:val="24"/>
                <w:lang w:val="en-US"/>
              </w:rPr>
              <w:t xml:space="preserve"> </w:t>
            </w:r>
            <w:r>
              <w:rPr>
                <w:rFonts w:ascii="Times New Roman" w:hAnsi="Times New Roman"/>
                <w:sz w:val="24"/>
                <w:szCs w:val="24"/>
              </w:rPr>
              <w:t>г</w:t>
            </w:r>
            <w:r>
              <w:rPr>
                <w:rFonts w:ascii="Times New Roman" w:hAnsi="Times New Roman"/>
                <w:sz w:val="24"/>
                <w:szCs w:val="24"/>
                <w:lang w:val="en-US"/>
              </w:rPr>
              <w:t>.)</w:t>
            </w:r>
          </w:p>
        </w:tc>
        <w:tc>
          <w:tcPr>
            <w:tcW w:w="568" w:type="dxa"/>
            <w:tcMar>
              <w:left w:w="98" w:type="dxa"/>
            </w:tcMa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3</w:t>
            </w:r>
          </w:p>
        </w:tc>
        <w:tc>
          <w:tcPr>
            <w:tcW w:w="567" w:type="dxa"/>
            <w:tcMar>
              <w:left w:w="98" w:type="dxa"/>
            </w:tcMa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rPr>
              <w:t>53</w:t>
            </w:r>
          </w:p>
        </w:tc>
        <w:tc>
          <w:tcPr>
            <w:tcW w:w="567" w:type="dxa"/>
            <w:tcMar>
              <w:left w:w="98" w:type="dxa"/>
            </w:tcMa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tcMar>
              <w:left w:w="98" w:type="dxa"/>
            </w:tcMar>
          </w:tcPr>
          <w:p w:rsidR="00534AA2" w:rsidRDefault="00534AA2">
            <w:pPr>
              <w:spacing w:after="0" w:line="240" w:lineRule="auto"/>
              <w:jc w:val="center"/>
              <w:rPr>
                <w:rFonts w:ascii="Times New Roman" w:hAnsi="Times New Roman"/>
                <w:sz w:val="24"/>
                <w:szCs w:val="24"/>
                <w:lang w:val="en-US"/>
              </w:rPr>
            </w:pPr>
            <w:r>
              <w:rPr>
                <w:rFonts w:ascii="Times New Roman" w:hAnsi="Times New Roman"/>
                <w:sz w:val="24"/>
                <w:szCs w:val="24"/>
                <w:lang w:val="en-US"/>
              </w:rPr>
              <w:t>5</w:t>
            </w:r>
          </w:p>
        </w:tc>
        <w:tc>
          <w:tcPr>
            <w:tcW w:w="568" w:type="dxa"/>
            <w:tcMar>
              <w:left w:w="98" w:type="dxa"/>
            </w:tcMar>
          </w:tcPr>
          <w:p w:rsidR="00534AA2" w:rsidRDefault="00534AA2">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568" w:type="dxa"/>
            <w:tcMar>
              <w:left w:w="98" w:type="dxa"/>
            </w:tcMar>
          </w:tcPr>
          <w:p w:rsidR="00534AA2" w:rsidRDefault="00534AA2">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568" w:type="dxa"/>
            <w:tcMar>
              <w:left w:w="98" w:type="dxa"/>
            </w:tcMar>
          </w:tcPr>
          <w:p w:rsidR="00534AA2" w:rsidRDefault="00534AA2">
            <w:pPr>
              <w:spacing w:after="0" w:line="240" w:lineRule="auto"/>
              <w:jc w:val="center"/>
              <w:rPr>
                <w:rFonts w:ascii="Times New Roman" w:hAnsi="Times New Roman"/>
                <w:sz w:val="24"/>
                <w:szCs w:val="24"/>
                <w:lang w:val="en-US"/>
              </w:rPr>
            </w:pPr>
            <w:r>
              <w:rPr>
                <w:rFonts w:ascii="Times New Roman" w:hAnsi="Times New Roman"/>
                <w:sz w:val="24"/>
                <w:szCs w:val="24"/>
                <w:lang w:val="en-US"/>
              </w:rPr>
              <w:t>---</w:t>
            </w:r>
          </w:p>
        </w:tc>
        <w:tc>
          <w:tcPr>
            <w:tcW w:w="812" w:type="dxa"/>
            <w:tcMar>
              <w:left w:w="98" w:type="dxa"/>
            </w:tcMa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rPr>
              <w:t>24</w:t>
            </w:r>
          </w:p>
        </w:tc>
      </w:tr>
    </w:tbl>
    <w:p w:rsidR="00534AA2" w:rsidRDefault="00534AA2">
      <w:pPr>
        <w:spacing w:after="0" w:line="360" w:lineRule="auto"/>
        <w:ind w:firstLine="709"/>
        <w:jc w:val="both"/>
        <w:rPr>
          <w:rFonts w:ascii="Times New Roman" w:hAnsi="Times New Roman"/>
          <w:sz w:val="24"/>
          <w:szCs w:val="24"/>
          <w:lang w:val="en-US"/>
        </w:rPr>
      </w:pPr>
      <w:r>
        <w:rPr>
          <w:rFonts w:ascii="Times New Roman" w:hAnsi="Times New Roman"/>
          <w:sz w:val="24"/>
          <w:szCs w:val="24"/>
        </w:rPr>
        <w:t xml:space="preserve">Источник: </w:t>
      </w:r>
      <w:r>
        <w:rPr>
          <w:rFonts w:ascii="Times New Roman" w:hAnsi="Times New Roman"/>
          <w:sz w:val="24"/>
          <w:szCs w:val="24"/>
          <w:lang w:val="en-US"/>
        </w:rPr>
        <w:t>Key facts about the UK as an international financial centre. TheCityUK</w:t>
      </w:r>
      <w:r>
        <w:rPr>
          <w:rFonts w:ascii="Times New Roman" w:hAnsi="Times New Roman"/>
          <w:sz w:val="24"/>
          <w:szCs w:val="24"/>
        </w:rPr>
        <w:t xml:space="preserve">. </w:t>
      </w:r>
      <w:r>
        <w:rPr>
          <w:rFonts w:ascii="Times New Roman" w:hAnsi="Times New Roman"/>
          <w:sz w:val="24"/>
          <w:szCs w:val="24"/>
          <w:lang w:val="en-US"/>
        </w:rPr>
        <w:t>July</w:t>
      </w:r>
      <w:r>
        <w:rPr>
          <w:rFonts w:ascii="Times New Roman" w:hAnsi="Times New Roman"/>
          <w:sz w:val="24"/>
          <w:szCs w:val="24"/>
        </w:rPr>
        <w:t xml:space="preserve"> 201</w:t>
      </w:r>
      <w:r>
        <w:rPr>
          <w:rFonts w:ascii="Times New Roman" w:hAnsi="Times New Roman"/>
          <w:sz w:val="24"/>
          <w:szCs w:val="24"/>
          <w:lang w:val="en-US"/>
        </w:rPr>
        <w:t>5</w:t>
      </w:r>
      <w:r>
        <w:rPr>
          <w:rFonts w:ascii="Times New Roman" w:hAnsi="Times New Roman"/>
          <w:sz w:val="24"/>
          <w:szCs w:val="24"/>
        </w:rPr>
        <w:t xml:space="preserve">. </w:t>
      </w:r>
      <w:r>
        <w:rPr>
          <w:rFonts w:ascii="Times New Roman" w:hAnsi="Times New Roman"/>
          <w:sz w:val="24"/>
          <w:szCs w:val="24"/>
          <w:lang w:val="en-US"/>
        </w:rPr>
        <w:t>p</w:t>
      </w:r>
      <w:r>
        <w:rPr>
          <w:rFonts w:ascii="Times New Roman" w:hAnsi="Times New Roman"/>
          <w:sz w:val="24"/>
          <w:szCs w:val="24"/>
        </w:rPr>
        <w:t>. 7.</w:t>
      </w:r>
      <w:r>
        <w:rPr>
          <w:rFonts w:ascii="Times New Roman" w:hAnsi="Times New Roman"/>
          <w:sz w:val="24"/>
          <w:szCs w:val="24"/>
          <w:lang w:val="en-US"/>
        </w:rPr>
        <w:t xml:space="preserve"> </w:t>
      </w:r>
    </w:p>
    <w:p w:rsidR="00534AA2" w:rsidRDefault="00534AA2">
      <w:pPr>
        <w:tabs>
          <w:tab w:val="left" w:pos="3112"/>
        </w:tabs>
        <w:spacing w:after="0" w:line="360" w:lineRule="auto"/>
        <w:ind w:firstLine="709"/>
        <w:jc w:val="both"/>
        <w:rPr>
          <w:rFonts w:ascii="Times New Roman" w:hAnsi="Times New Roman"/>
          <w:sz w:val="24"/>
          <w:szCs w:val="24"/>
        </w:rPr>
      </w:pPr>
      <w:r>
        <w:rPr>
          <w:rFonts w:ascii="Times New Roman" w:hAnsi="Times New Roman"/>
          <w:sz w:val="24"/>
          <w:szCs w:val="24"/>
        </w:rPr>
        <w:t>Великобритания является крупнейшим глобальным рынком валютной торговли, среднесуточный оборот которого, включая валютные деривативы, в апреле 2015 г. составлял 5,1 трлн. долл. Доля Великобритании на этом рынке в период 2004–2014 гг. увеличилась с 32,2% до 43,1%. Это вдвое больше, чем совокупная доля США и Японии (табл. 3). Залогом лидерства Британии на глобальном валютном рынке является не только развитая высокотехнологическая инфраструктура и присутствие в Лондоне наибольшего в мире количества иностранных банков, но и тот существенный факт, что через предместье Лондона – Гринвич проходит нулевой меридиан, обеспечивающий преимущества страны в международной валютной торговле. Находясь в зоне прохождения нулевого меридиана, Лондон имеет возможность на несколько часов дольше (чем любой другой финансовый центр) торговать одновременно с крупнейшими финансовыми центрами Азии и Европы, а затем Европы и Америки, что обеспечивает британской столице ежедневные дополнительные прибыли. Право прохождения международного нулевого меридиана через Гринвич было закреплено за англичанами в 1884 году на международной конференции в Вашингтоне. Дальновидные англичане «выторговали» это право у французов, которые использовали до этого свой собственный «парижский меридиан».</w:t>
      </w:r>
    </w:p>
    <w:p w:rsidR="00534AA2" w:rsidRDefault="00534AA2">
      <w:pPr>
        <w:shd w:val="clear" w:color="auto" w:fill="FFFFFF"/>
        <w:spacing w:after="0" w:line="360" w:lineRule="auto"/>
        <w:ind w:firstLine="709"/>
        <w:jc w:val="right"/>
        <w:rPr>
          <w:rFonts w:ascii="Times New Roman" w:hAnsi="Times New Roman"/>
          <w:sz w:val="24"/>
          <w:szCs w:val="24"/>
        </w:rPr>
      </w:pPr>
      <w:r>
        <w:rPr>
          <w:rFonts w:ascii="Times New Roman" w:hAnsi="Times New Roman"/>
          <w:sz w:val="24"/>
          <w:szCs w:val="24"/>
        </w:rPr>
        <w:t>Таблица 3</w:t>
      </w:r>
    </w:p>
    <w:p w:rsidR="00534AA2" w:rsidRDefault="00534AA2">
      <w:pPr>
        <w:shd w:val="clear" w:color="auto" w:fill="FFFFFF"/>
        <w:spacing w:after="0" w:line="360" w:lineRule="auto"/>
        <w:ind w:firstLine="709"/>
        <w:jc w:val="center"/>
        <w:rPr>
          <w:rFonts w:ascii="Times New Roman" w:hAnsi="Times New Roman"/>
          <w:b/>
          <w:sz w:val="24"/>
          <w:szCs w:val="24"/>
          <w:lang w:val="en-US"/>
        </w:rPr>
      </w:pPr>
      <w:r>
        <w:rPr>
          <w:rFonts w:ascii="Times New Roman" w:hAnsi="Times New Roman"/>
          <w:b/>
          <w:sz w:val="24"/>
          <w:szCs w:val="24"/>
        </w:rPr>
        <w:t>Среднесуточный оборот и доли основных стран на мировом валютном рынке</w:t>
      </w:r>
    </w:p>
    <w:tbl>
      <w:tblPr>
        <w:tblW w:w="9360" w:type="dxa"/>
        <w:tblInd w:w="9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A0"/>
      </w:tblPr>
      <w:tblGrid>
        <w:gridCol w:w="1843"/>
        <w:gridCol w:w="1276"/>
        <w:gridCol w:w="2151"/>
        <w:gridCol w:w="1531"/>
        <w:gridCol w:w="1276"/>
        <w:gridCol w:w="1283"/>
      </w:tblGrid>
      <w:tr w:rsidR="00534AA2">
        <w:tc>
          <w:tcPr>
            <w:tcW w:w="3119" w:type="dxa"/>
            <w:gridSpan w:val="2"/>
            <w:vMerge w:val="restart"/>
            <w:tcMar>
              <w:left w:w="98" w:type="dxa"/>
            </w:tcMar>
            <w:vAlign w:val="cente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rPr>
              <w:t>Оборот, млрд. долл.</w:t>
            </w:r>
          </w:p>
        </w:tc>
        <w:tc>
          <w:tcPr>
            <w:tcW w:w="6241" w:type="dxa"/>
            <w:gridSpan w:val="4"/>
            <w:tcMar>
              <w:left w:w="98" w:type="dxa"/>
            </w:tcMar>
            <w:vAlign w:val="cente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rPr>
              <w:t>Доли стран, %</w:t>
            </w:r>
          </w:p>
        </w:tc>
      </w:tr>
      <w:tr w:rsidR="00534AA2">
        <w:tc>
          <w:tcPr>
            <w:tcW w:w="3119" w:type="dxa"/>
            <w:gridSpan w:val="2"/>
            <w:vMerge/>
            <w:tcMar>
              <w:left w:w="98" w:type="dxa"/>
            </w:tcMar>
            <w:vAlign w:val="center"/>
          </w:tcPr>
          <w:p w:rsidR="00534AA2" w:rsidRDefault="00534AA2">
            <w:pPr>
              <w:spacing w:after="0" w:line="240" w:lineRule="auto"/>
              <w:jc w:val="center"/>
              <w:rPr>
                <w:rFonts w:ascii="Times New Roman" w:hAnsi="Times New Roman"/>
                <w:sz w:val="24"/>
                <w:szCs w:val="24"/>
              </w:rPr>
            </w:pPr>
          </w:p>
        </w:tc>
        <w:tc>
          <w:tcPr>
            <w:tcW w:w="2151" w:type="dxa"/>
            <w:tcMar>
              <w:left w:w="98" w:type="dxa"/>
            </w:tcMar>
            <w:vAlign w:val="cente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rPr>
              <w:t>Великобритания</w:t>
            </w:r>
          </w:p>
        </w:tc>
        <w:tc>
          <w:tcPr>
            <w:tcW w:w="1531" w:type="dxa"/>
            <w:tcMar>
              <w:left w:w="98" w:type="dxa"/>
            </w:tcMar>
            <w:vAlign w:val="cente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rPr>
              <w:t>США</w:t>
            </w:r>
          </w:p>
        </w:tc>
        <w:tc>
          <w:tcPr>
            <w:tcW w:w="1276" w:type="dxa"/>
            <w:tcMar>
              <w:left w:w="98" w:type="dxa"/>
            </w:tcMar>
            <w:vAlign w:val="cente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rPr>
              <w:t>Япония</w:t>
            </w:r>
          </w:p>
        </w:tc>
        <w:tc>
          <w:tcPr>
            <w:tcW w:w="1283" w:type="dxa"/>
            <w:tcMar>
              <w:left w:w="98" w:type="dxa"/>
            </w:tcMar>
            <w:vAlign w:val="cente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rPr>
              <w:t>Другие</w:t>
            </w:r>
          </w:p>
        </w:tc>
      </w:tr>
      <w:tr w:rsidR="00534AA2">
        <w:tc>
          <w:tcPr>
            <w:tcW w:w="1843" w:type="dxa"/>
            <w:tcMar>
              <w:left w:w="98" w:type="dxa"/>
            </w:tcMar>
            <w:vAlign w:val="cente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rPr>
              <w:t>Апрель 2010</w:t>
            </w:r>
          </w:p>
        </w:tc>
        <w:tc>
          <w:tcPr>
            <w:tcW w:w="1276" w:type="dxa"/>
            <w:tcMar>
              <w:left w:w="98" w:type="dxa"/>
            </w:tcMar>
            <w:vAlign w:val="cente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rPr>
              <w:t>3 981</w:t>
            </w:r>
          </w:p>
        </w:tc>
        <w:tc>
          <w:tcPr>
            <w:tcW w:w="2151" w:type="dxa"/>
            <w:tcMar>
              <w:left w:w="98" w:type="dxa"/>
            </w:tcMar>
            <w:vAlign w:val="cente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rPr>
              <w:t>36.8</w:t>
            </w:r>
          </w:p>
        </w:tc>
        <w:tc>
          <w:tcPr>
            <w:tcW w:w="1531" w:type="dxa"/>
            <w:tcMar>
              <w:left w:w="98" w:type="dxa"/>
            </w:tcMar>
            <w:vAlign w:val="cente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rPr>
              <w:t>17.9</w:t>
            </w:r>
          </w:p>
        </w:tc>
        <w:tc>
          <w:tcPr>
            <w:tcW w:w="1276" w:type="dxa"/>
            <w:tcMar>
              <w:left w:w="98" w:type="dxa"/>
            </w:tcMar>
            <w:vAlign w:val="cente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rPr>
              <w:t>6.2</w:t>
            </w:r>
          </w:p>
        </w:tc>
        <w:tc>
          <w:tcPr>
            <w:tcW w:w="1283" w:type="dxa"/>
            <w:tcMar>
              <w:left w:w="98" w:type="dxa"/>
            </w:tcMar>
            <w:vAlign w:val="cente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rPr>
              <w:t>39.1</w:t>
            </w:r>
          </w:p>
        </w:tc>
      </w:tr>
      <w:tr w:rsidR="00534AA2">
        <w:tc>
          <w:tcPr>
            <w:tcW w:w="1843" w:type="dxa"/>
            <w:tcMar>
              <w:left w:w="98" w:type="dxa"/>
            </w:tcMar>
            <w:vAlign w:val="cente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rPr>
              <w:t>Апрель 2011</w:t>
            </w:r>
          </w:p>
        </w:tc>
        <w:tc>
          <w:tcPr>
            <w:tcW w:w="1276" w:type="dxa"/>
            <w:tcMar>
              <w:left w:w="98" w:type="dxa"/>
            </w:tcMar>
            <w:vAlign w:val="cente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rPr>
              <w:t>4 487</w:t>
            </w:r>
          </w:p>
        </w:tc>
        <w:tc>
          <w:tcPr>
            <w:tcW w:w="2151" w:type="dxa"/>
            <w:tcMar>
              <w:left w:w="98" w:type="dxa"/>
            </w:tcMar>
            <w:vAlign w:val="cente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rPr>
              <w:t>40.1</w:t>
            </w:r>
          </w:p>
        </w:tc>
        <w:tc>
          <w:tcPr>
            <w:tcW w:w="1531" w:type="dxa"/>
            <w:tcMar>
              <w:left w:w="98" w:type="dxa"/>
            </w:tcMar>
            <w:vAlign w:val="cente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rPr>
              <w:t>16.8</w:t>
            </w:r>
          </w:p>
        </w:tc>
        <w:tc>
          <w:tcPr>
            <w:tcW w:w="1276" w:type="dxa"/>
            <w:tcMar>
              <w:left w:w="98" w:type="dxa"/>
            </w:tcMar>
            <w:vAlign w:val="cente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rPr>
              <w:t>5.6</w:t>
            </w:r>
          </w:p>
        </w:tc>
        <w:tc>
          <w:tcPr>
            <w:tcW w:w="1283" w:type="dxa"/>
            <w:tcMar>
              <w:left w:w="98" w:type="dxa"/>
            </w:tcMar>
            <w:vAlign w:val="cente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rPr>
              <w:t>37.5</w:t>
            </w:r>
          </w:p>
        </w:tc>
      </w:tr>
      <w:tr w:rsidR="00534AA2">
        <w:tc>
          <w:tcPr>
            <w:tcW w:w="1843" w:type="dxa"/>
            <w:tcMar>
              <w:left w:w="98" w:type="dxa"/>
            </w:tcMar>
            <w:vAlign w:val="cente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rPr>
              <w:t>Апрель 2012</w:t>
            </w:r>
          </w:p>
        </w:tc>
        <w:tc>
          <w:tcPr>
            <w:tcW w:w="1276" w:type="dxa"/>
            <w:tcMar>
              <w:left w:w="98" w:type="dxa"/>
            </w:tcMar>
            <w:vAlign w:val="cente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rPr>
              <w:t>4 400</w:t>
            </w:r>
          </w:p>
        </w:tc>
        <w:tc>
          <w:tcPr>
            <w:tcW w:w="2151" w:type="dxa"/>
            <w:tcMar>
              <w:left w:w="98" w:type="dxa"/>
            </w:tcMar>
            <w:vAlign w:val="cente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rPr>
              <w:t>40.3</w:t>
            </w:r>
          </w:p>
        </w:tc>
        <w:tc>
          <w:tcPr>
            <w:tcW w:w="1531" w:type="dxa"/>
            <w:tcMar>
              <w:left w:w="98" w:type="dxa"/>
            </w:tcMar>
            <w:vAlign w:val="cente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rPr>
              <w:t>17.2</w:t>
            </w:r>
          </w:p>
        </w:tc>
        <w:tc>
          <w:tcPr>
            <w:tcW w:w="1276" w:type="dxa"/>
            <w:tcMar>
              <w:left w:w="98" w:type="dxa"/>
            </w:tcMar>
            <w:vAlign w:val="cente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rPr>
              <w:t>5.7</w:t>
            </w:r>
          </w:p>
        </w:tc>
        <w:tc>
          <w:tcPr>
            <w:tcW w:w="1283" w:type="dxa"/>
            <w:tcMar>
              <w:left w:w="98" w:type="dxa"/>
            </w:tcMar>
            <w:vAlign w:val="cente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rPr>
              <w:t>36.8</w:t>
            </w:r>
          </w:p>
        </w:tc>
      </w:tr>
      <w:tr w:rsidR="00534AA2">
        <w:tc>
          <w:tcPr>
            <w:tcW w:w="1843" w:type="dxa"/>
            <w:tcMar>
              <w:left w:w="98" w:type="dxa"/>
            </w:tcMar>
            <w:vAlign w:val="cente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rPr>
              <w:t>Апрель 2013</w:t>
            </w:r>
          </w:p>
        </w:tc>
        <w:tc>
          <w:tcPr>
            <w:tcW w:w="1276" w:type="dxa"/>
            <w:tcMar>
              <w:left w:w="98" w:type="dxa"/>
            </w:tcMar>
            <w:vAlign w:val="cente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rPr>
              <w:t>5 345</w:t>
            </w:r>
          </w:p>
        </w:tc>
        <w:tc>
          <w:tcPr>
            <w:tcW w:w="2151" w:type="dxa"/>
            <w:tcMar>
              <w:left w:w="98" w:type="dxa"/>
            </w:tcMar>
            <w:vAlign w:val="cente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rPr>
              <w:t>40.9</w:t>
            </w:r>
          </w:p>
        </w:tc>
        <w:tc>
          <w:tcPr>
            <w:tcW w:w="1531" w:type="dxa"/>
            <w:tcMar>
              <w:left w:w="98" w:type="dxa"/>
            </w:tcMar>
            <w:vAlign w:val="cente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rPr>
              <w:t>18.9</w:t>
            </w:r>
          </w:p>
        </w:tc>
        <w:tc>
          <w:tcPr>
            <w:tcW w:w="1276" w:type="dxa"/>
            <w:tcMar>
              <w:left w:w="98" w:type="dxa"/>
            </w:tcMar>
            <w:vAlign w:val="cente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rPr>
              <w:t>5.6</w:t>
            </w:r>
          </w:p>
        </w:tc>
        <w:tc>
          <w:tcPr>
            <w:tcW w:w="1283" w:type="dxa"/>
            <w:tcMar>
              <w:left w:w="98" w:type="dxa"/>
            </w:tcMar>
            <w:vAlign w:val="cente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rPr>
              <w:t>34.6</w:t>
            </w:r>
          </w:p>
        </w:tc>
      </w:tr>
      <w:tr w:rsidR="00534AA2">
        <w:tc>
          <w:tcPr>
            <w:tcW w:w="1843" w:type="dxa"/>
            <w:tcMar>
              <w:left w:w="98" w:type="dxa"/>
            </w:tcMar>
            <w:vAlign w:val="cente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rPr>
              <w:t>Апрель 2014</w:t>
            </w:r>
          </w:p>
        </w:tc>
        <w:tc>
          <w:tcPr>
            <w:tcW w:w="1276" w:type="dxa"/>
            <w:tcMar>
              <w:left w:w="98" w:type="dxa"/>
            </w:tcMar>
            <w:vAlign w:val="cente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rPr>
              <w:t>4 898</w:t>
            </w:r>
          </w:p>
        </w:tc>
        <w:tc>
          <w:tcPr>
            <w:tcW w:w="2151" w:type="dxa"/>
            <w:tcMar>
              <w:left w:w="98" w:type="dxa"/>
            </w:tcMar>
            <w:vAlign w:val="cente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rPr>
              <w:t>43.2</w:t>
            </w:r>
          </w:p>
        </w:tc>
        <w:tc>
          <w:tcPr>
            <w:tcW w:w="1531" w:type="dxa"/>
            <w:tcMar>
              <w:left w:w="98" w:type="dxa"/>
            </w:tcMar>
            <w:vAlign w:val="cente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rPr>
              <w:t>14.6</w:t>
            </w:r>
          </w:p>
        </w:tc>
        <w:tc>
          <w:tcPr>
            <w:tcW w:w="1276" w:type="dxa"/>
            <w:tcMar>
              <w:left w:w="98" w:type="dxa"/>
            </w:tcMar>
            <w:vAlign w:val="cente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rPr>
              <w:t>6.5</w:t>
            </w:r>
          </w:p>
        </w:tc>
        <w:tc>
          <w:tcPr>
            <w:tcW w:w="1283" w:type="dxa"/>
            <w:tcMar>
              <w:left w:w="98" w:type="dxa"/>
            </w:tcMar>
            <w:vAlign w:val="cente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rPr>
              <w:t>35.7</w:t>
            </w:r>
          </w:p>
        </w:tc>
      </w:tr>
      <w:tr w:rsidR="00534AA2">
        <w:tc>
          <w:tcPr>
            <w:tcW w:w="1843" w:type="dxa"/>
            <w:tcMar>
              <w:left w:w="98" w:type="dxa"/>
            </w:tcMar>
            <w:vAlign w:val="cente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rPr>
              <w:t>Октябрь 2014</w:t>
            </w:r>
          </w:p>
        </w:tc>
        <w:tc>
          <w:tcPr>
            <w:tcW w:w="1276" w:type="dxa"/>
            <w:tcMar>
              <w:left w:w="98" w:type="dxa"/>
            </w:tcMar>
            <w:vAlign w:val="cente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rPr>
              <w:t>5 667</w:t>
            </w:r>
          </w:p>
        </w:tc>
        <w:tc>
          <w:tcPr>
            <w:tcW w:w="2151" w:type="dxa"/>
            <w:tcMar>
              <w:left w:w="98" w:type="dxa"/>
            </w:tcMar>
            <w:vAlign w:val="cente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rPr>
              <w:t>41.4</w:t>
            </w:r>
          </w:p>
        </w:tc>
        <w:tc>
          <w:tcPr>
            <w:tcW w:w="1531" w:type="dxa"/>
            <w:tcMar>
              <w:left w:w="98" w:type="dxa"/>
            </w:tcMar>
            <w:vAlign w:val="cente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rPr>
              <w:t>17.0</w:t>
            </w:r>
          </w:p>
        </w:tc>
        <w:tc>
          <w:tcPr>
            <w:tcW w:w="1276" w:type="dxa"/>
            <w:tcMar>
              <w:left w:w="98" w:type="dxa"/>
            </w:tcMar>
            <w:vAlign w:val="cente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rPr>
              <w:t>5.8</w:t>
            </w:r>
          </w:p>
        </w:tc>
        <w:tc>
          <w:tcPr>
            <w:tcW w:w="1283" w:type="dxa"/>
            <w:tcMar>
              <w:left w:w="98" w:type="dxa"/>
            </w:tcMar>
            <w:vAlign w:val="cente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rPr>
              <w:t>35.8</w:t>
            </w:r>
          </w:p>
        </w:tc>
      </w:tr>
      <w:tr w:rsidR="00534AA2">
        <w:tc>
          <w:tcPr>
            <w:tcW w:w="1843" w:type="dxa"/>
            <w:tcMar>
              <w:left w:w="98" w:type="dxa"/>
            </w:tcMar>
            <w:vAlign w:val="cente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rPr>
              <w:t>Апрель 2015</w:t>
            </w:r>
          </w:p>
        </w:tc>
        <w:tc>
          <w:tcPr>
            <w:tcW w:w="1276" w:type="dxa"/>
            <w:tcMar>
              <w:left w:w="98" w:type="dxa"/>
            </w:tcMar>
            <w:vAlign w:val="cente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rPr>
              <w:t>5 068</w:t>
            </w:r>
          </w:p>
        </w:tc>
        <w:tc>
          <w:tcPr>
            <w:tcW w:w="2151" w:type="dxa"/>
            <w:tcMar>
              <w:left w:w="98" w:type="dxa"/>
            </w:tcMar>
            <w:vAlign w:val="cente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rPr>
              <w:t>43.1</w:t>
            </w:r>
          </w:p>
        </w:tc>
        <w:tc>
          <w:tcPr>
            <w:tcW w:w="1531" w:type="dxa"/>
            <w:tcMar>
              <w:left w:w="98" w:type="dxa"/>
            </w:tcMar>
            <w:vAlign w:val="cente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rPr>
              <w:t>15.3</w:t>
            </w:r>
          </w:p>
        </w:tc>
        <w:tc>
          <w:tcPr>
            <w:tcW w:w="1276" w:type="dxa"/>
            <w:tcMar>
              <w:left w:w="98" w:type="dxa"/>
            </w:tcMar>
            <w:vAlign w:val="cente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rPr>
              <w:t>6.3</w:t>
            </w:r>
          </w:p>
        </w:tc>
        <w:tc>
          <w:tcPr>
            <w:tcW w:w="1283" w:type="dxa"/>
            <w:tcMar>
              <w:left w:w="98" w:type="dxa"/>
            </w:tcMar>
            <w:vAlign w:val="cente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rPr>
              <w:t>35.3</w:t>
            </w:r>
          </w:p>
        </w:tc>
      </w:tr>
    </w:tbl>
    <w:p w:rsidR="00534AA2" w:rsidRDefault="00534AA2">
      <w:pPr>
        <w:pStyle w:val="FootnoteText"/>
        <w:tabs>
          <w:tab w:val="left" w:pos="709"/>
        </w:tabs>
        <w:spacing w:after="0" w:line="360" w:lineRule="auto"/>
        <w:contextualSpacing/>
        <w:jc w:val="both"/>
        <w:rPr>
          <w:rFonts w:ascii="Times New Roman" w:hAnsi="Times New Roman"/>
          <w:sz w:val="24"/>
          <w:szCs w:val="24"/>
        </w:rPr>
      </w:pPr>
      <w:r>
        <w:rPr>
          <w:rFonts w:ascii="Times New Roman" w:hAnsi="Times New Roman"/>
          <w:sz w:val="24"/>
          <w:szCs w:val="24"/>
        </w:rPr>
        <w:tab/>
        <w:t xml:space="preserve">Источник: </w:t>
      </w:r>
      <w:r>
        <w:rPr>
          <w:rFonts w:ascii="Times New Roman" w:hAnsi="Times New Roman"/>
          <w:sz w:val="24"/>
          <w:szCs w:val="24"/>
          <w:lang w:val="en-US"/>
        </w:rPr>
        <w:t xml:space="preserve">UK increases lead in global FX trading while global turnover falls. TheCityUK. 30.07.2015. </w:t>
      </w:r>
      <w:r>
        <w:rPr>
          <w:rFonts w:ascii="Times New Roman" w:hAnsi="Times New Roman"/>
          <w:sz w:val="24"/>
          <w:szCs w:val="24"/>
        </w:rPr>
        <w:t>(</w:t>
      </w:r>
      <w:r>
        <w:rPr>
          <w:rFonts w:ascii="Times New Roman" w:hAnsi="Times New Roman"/>
          <w:sz w:val="24"/>
          <w:szCs w:val="24"/>
          <w:lang w:val="en-US"/>
        </w:rPr>
        <w:t>http://www.thecityuk.com</w:t>
      </w:r>
      <w:r>
        <w:rPr>
          <w:rFonts w:ascii="Times New Roman" w:hAnsi="Times New Roman"/>
          <w:sz w:val="24"/>
          <w:szCs w:val="24"/>
        </w:rPr>
        <w:t>).</w:t>
      </w:r>
    </w:p>
    <w:p w:rsidR="00534AA2" w:rsidRDefault="00534AA2">
      <w:pPr>
        <w:tabs>
          <w:tab w:val="left" w:pos="3112"/>
        </w:tabs>
        <w:spacing w:after="0" w:line="360" w:lineRule="auto"/>
        <w:ind w:firstLine="709"/>
        <w:jc w:val="both"/>
        <w:rPr>
          <w:rFonts w:ascii="Times New Roman" w:hAnsi="Times New Roman"/>
          <w:sz w:val="24"/>
          <w:szCs w:val="24"/>
        </w:rPr>
      </w:pPr>
    </w:p>
    <w:p w:rsidR="00534AA2" w:rsidRDefault="00534AA2">
      <w:pPr>
        <w:spacing w:after="0" w:line="360" w:lineRule="auto"/>
        <w:ind w:firstLine="709"/>
        <w:jc w:val="both"/>
        <w:rPr>
          <w:rFonts w:ascii="Times New Roman" w:hAnsi="Times New Roman"/>
          <w:sz w:val="24"/>
          <w:szCs w:val="24"/>
        </w:rPr>
      </w:pPr>
      <w:r>
        <w:rPr>
          <w:rFonts w:ascii="Times New Roman" w:hAnsi="Times New Roman"/>
          <w:sz w:val="24"/>
          <w:szCs w:val="24"/>
        </w:rPr>
        <w:t>Примечательно, что сегодня российский рубль фактически является внутренней валютой, использование которого в международной торговой и финансовой деятельности является крайне низким, не сопоставимым с экономико-сырьевым потенциалом России. По данным Банка международных расчетов, доля российского рубля в обороте мирового валютного рынка в 2013 г. составляла всего 1,6%. Для сравнения, доля доллара США равнялась 87%, евро – 33%</w:t>
      </w:r>
      <w:r>
        <w:rPr>
          <w:rStyle w:val="a1"/>
          <w:rFonts w:ascii="Times New Roman" w:hAnsi="Times New Roman"/>
          <w:sz w:val="24"/>
          <w:szCs w:val="24"/>
        </w:rPr>
        <w:footnoteReference w:id="4"/>
      </w:r>
      <w:r>
        <w:rPr>
          <w:rFonts w:ascii="Times New Roman" w:hAnsi="Times New Roman"/>
          <w:sz w:val="24"/>
          <w:szCs w:val="24"/>
        </w:rPr>
        <w:t xml:space="preserve">. </w:t>
      </w:r>
    </w:p>
    <w:p w:rsidR="00534AA2" w:rsidRDefault="00534AA2">
      <w:pPr>
        <w:spacing w:after="0" w:line="360" w:lineRule="auto"/>
        <w:ind w:firstLine="709"/>
        <w:jc w:val="both"/>
      </w:pPr>
      <w:r>
        <w:rPr>
          <w:rFonts w:ascii="Times New Roman" w:hAnsi="Times New Roman"/>
          <w:sz w:val="24"/>
          <w:szCs w:val="24"/>
        </w:rPr>
        <w:t xml:space="preserve">Что касается международных торговых расчетов и выставления счетов-фактур, то здесь комплексная и консолидированная статистика отсутствует. Имеющиеся данные варьируют в широких пределах в разных странах. В качестве ориентира нередко используют данные Сообщества всемирных межбанковских финансовых телекоммуникаций (SWIFT), которое ведет запись торговых сделок и платежей с использованием своей информационной платформы. Так, по данным </w:t>
      </w:r>
      <w:r>
        <w:rPr>
          <w:rFonts w:ascii="Times New Roman" w:hAnsi="Times New Roman"/>
          <w:sz w:val="24"/>
          <w:szCs w:val="24"/>
          <w:lang w:val="en-US"/>
        </w:rPr>
        <w:t xml:space="preserve">SWIFT </w:t>
      </w:r>
      <w:r>
        <w:rPr>
          <w:rFonts w:ascii="Times New Roman" w:hAnsi="Times New Roman"/>
          <w:sz w:val="24"/>
          <w:szCs w:val="24"/>
        </w:rPr>
        <w:t>в ноябре 2015 г. тремя ведущими валютами международных платежей выступали: доллар (42,68%), евро (29,50%) и британский фунт стерлингов. Доля китайского юаня (2,28%) несколько уступала доле японской иены (2,68%), которые занимали соответственно 5-е и 4-е места в обслуживании международных платежей. В результате антироссийских санкций российский рубль вышел из состава 20 ведущих валют международных платежей: его доля сократилась с 0,4% (17-е место) в январе 2014 г. до менее 0,2 % в ноябре 2015 г.</w:t>
      </w:r>
      <w:r>
        <w:rPr>
          <w:rStyle w:val="a1"/>
          <w:rFonts w:ascii="Times New Roman" w:hAnsi="Times New Roman"/>
          <w:sz w:val="24"/>
          <w:szCs w:val="24"/>
        </w:rPr>
        <w:footnoteReference w:id="5"/>
      </w:r>
      <w:r>
        <w:rPr>
          <w:rFonts w:ascii="Times New Roman" w:hAnsi="Times New Roman"/>
          <w:sz w:val="24"/>
          <w:szCs w:val="24"/>
        </w:rPr>
        <w:t>.</w:t>
      </w:r>
    </w:p>
    <w:p w:rsidR="00534AA2" w:rsidRDefault="00534AA2">
      <w:pPr>
        <w:spacing w:after="0" w:line="360" w:lineRule="auto"/>
        <w:ind w:firstLine="709"/>
        <w:jc w:val="both"/>
      </w:pPr>
      <w:r>
        <w:rPr>
          <w:rFonts w:ascii="Times New Roman" w:hAnsi="Times New Roman"/>
          <w:sz w:val="24"/>
          <w:szCs w:val="24"/>
        </w:rPr>
        <w:t xml:space="preserve">С учетом доминирования доллара как средства платежа в международной торговле, статуса доллара как неофициальной резервной валюты, а также лидирующих позиций Нью-Йорка в глобальном финансовом посредничестве, сохраняется также и повышенный интерес к инвестированию в американские финансовые активы. В конце 2014 г. в долларах было номинировано 62,9% международных валютных резервов, 56,8% международных валютных депозитов, 58,2% непогашенных международных облигаций, 52,7% международных займов (табл. </w:t>
      </w:r>
      <w:r>
        <w:rPr>
          <w:rFonts w:ascii="Times New Roman" w:hAnsi="Times New Roman"/>
          <w:sz w:val="24"/>
          <w:szCs w:val="24"/>
          <w:lang w:val="en-US"/>
        </w:rPr>
        <w:t>4</w:t>
      </w:r>
      <w:r>
        <w:rPr>
          <w:rFonts w:ascii="Times New Roman" w:hAnsi="Times New Roman"/>
          <w:sz w:val="24"/>
          <w:szCs w:val="24"/>
        </w:rPr>
        <w:t xml:space="preserve">). </w:t>
      </w:r>
    </w:p>
    <w:p w:rsidR="00534AA2" w:rsidRDefault="00534AA2">
      <w:pPr>
        <w:shd w:val="clear" w:color="auto" w:fill="FFFFFF"/>
        <w:spacing w:after="0" w:line="360" w:lineRule="auto"/>
        <w:jc w:val="right"/>
      </w:pPr>
      <w:r>
        <w:rPr>
          <w:rFonts w:ascii="Times New Roman" w:hAnsi="Times New Roman"/>
          <w:sz w:val="24"/>
          <w:szCs w:val="24"/>
        </w:rPr>
        <w:t xml:space="preserve">Таблица </w:t>
      </w:r>
      <w:r>
        <w:rPr>
          <w:rFonts w:ascii="Times New Roman" w:hAnsi="Times New Roman"/>
          <w:sz w:val="24"/>
          <w:szCs w:val="24"/>
          <w:lang w:val="en-US"/>
        </w:rPr>
        <w:t>4</w:t>
      </w:r>
    </w:p>
    <w:p w:rsidR="00534AA2" w:rsidRDefault="00534AA2">
      <w:pPr>
        <w:shd w:val="clear" w:color="auto" w:fill="FFFFFF"/>
        <w:spacing w:after="0" w:line="360" w:lineRule="auto"/>
        <w:jc w:val="center"/>
        <w:rPr>
          <w:rFonts w:ascii="Times New Roman" w:hAnsi="Times New Roman"/>
          <w:b/>
          <w:sz w:val="24"/>
          <w:szCs w:val="24"/>
        </w:rPr>
      </w:pPr>
      <w:r>
        <w:rPr>
          <w:rFonts w:ascii="Times New Roman" w:hAnsi="Times New Roman"/>
          <w:b/>
          <w:sz w:val="24"/>
          <w:szCs w:val="24"/>
        </w:rPr>
        <w:t xml:space="preserve">Доли ключевых валют в крупнейших сегментах мировой финансовой системы в </w:t>
      </w:r>
    </w:p>
    <w:p w:rsidR="00534AA2" w:rsidRDefault="00534AA2">
      <w:pPr>
        <w:shd w:val="clear" w:color="auto" w:fill="FFFFFF"/>
        <w:spacing w:after="0" w:line="360" w:lineRule="auto"/>
        <w:jc w:val="center"/>
        <w:rPr>
          <w:rFonts w:ascii="Times New Roman" w:hAnsi="Times New Roman"/>
          <w:b/>
          <w:sz w:val="24"/>
          <w:szCs w:val="24"/>
          <w:lang w:val="en-US"/>
        </w:rPr>
      </w:pPr>
      <w:r>
        <w:rPr>
          <w:rFonts w:ascii="Times New Roman" w:hAnsi="Times New Roman"/>
          <w:b/>
          <w:sz w:val="24"/>
          <w:szCs w:val="24"/>
        </w:rPr>
        <w:t>2014 г. (%)</w:t>
      </w:r>
    </w:p>
    <w:tbl>
      <w:tblPr>
        <w:tblW w:w="9356" w:type="dxa"/>
        <w:tblInd w:w="9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A0"/>
      </w:tblPr>
      <w:tblGrid>
        <w:gridCol w:w="4112"/>
        <w:gridCol w:w="989"/>
        <w:gridCol w:w="854"/>
        <w:gridCol w:w="849"/>
        <w:gridCol w:w="853"/>
        <w:gridCol w:w="1699"/>
      </w:tblGrid>
      <w:tr w:rsidR="00534AA2">
        <w:trPr>
          <w:cantSplit/>
          <w:trHeight w:hRule="exact" w:val="1461"/>
        </w:trPr>
        <w:tc>
          <w:tcPr>
            <w:tcW w:w="4111" w:type="dxa"/>
            <w:tcMar>
              <w:left w:w="98" w:type="dxa"/>
            </w:tcMar>
            <w:textDirection w:val="btLr"/>
            <w:vAlign w:val="center"/>
          </w:tcPr>
          <w:p w:rsidR="00534AA2" w:rsidRDefault="00534AA2">
            <w:pPr>
              <w:spacing w:after="0" w:line="360" w:lineRule="auto"/>
              <w:ind w:left="113" w:right="113"/>
              <w:jc w:val="center"/>
              <w:rPr>
                <w:rFonts w:ascii="Times New Roman" w:hAnsi="Times New Roman"/>
                <w:sz w:val="24"/>
                <w:szCs w:val="24"/>
              </w:rPr>
            </w:pPr>
          </w:p>
        </w:tc>
        <w:tc>
          <w:tcPr>
            <w:tcW w:w="989" w:type="dxa"/>
            <w:tcMar>
              <w:left w:w="98" w:type="dxa"/>
            </w:tcMar>
            <w:textDirection w:val="btLr"/>
            <w:vAlign w:val="center"/>
          </w:tcPr>
          <w:p w:rsidR="00534AA2" w:rsidRDefault="00534AA2">
            <w:pPr>
              <w:spacing w:after="0" w:line="360" w:lineRule="auto"/>
              <w:ind w:left="113" w:right="113"/>
              <w:jc w:val="center"/>
              <w:rPr>
                <w:rFonts w:ascii="Times New Roman" w:hAnsi="Times New Roman"/>
                <w:sz w:val="24"/>
                <w:szCs w:val="24"/>
              </w:rPr>
            </w:pPr>
            <w:r>
              <w:rPr>
                <w:rFonts w:ascii="Times New Roman" w:hAnsi="Times New Roman"/>
                <w:sz w:val="24"/>
                <w:szCs w:val="24"/>
              </w:rPr>
              <w:t>Доллар США</w:t>
            </w:r>
          </w:p>
        </w:tc>
        <w:tc>
          <w:tcPr>
            <w:tcW w:w="854" w:type="dxa"/>
            <w:tcMar>
              <w:left w:w="98" w:type="dxa"/>
            </w:tcMar>
            <w:textDirection w:val="btLr"/>
            <w:vAlign w:val="center"/>
          </w:tcPr>
          <w:p w:rsidR="00534AA2" w:rsidRDefault="00534AA2">
            <w:pPr>
              <w:spacing w:after="0" w:line="360" w:lineRule="auto"/>
              <w:ind w:left="113" w:right="113"/>
              <w:jc w:val="center"/>
              <w:rPr>
                <w:rFonts w:ascii="Times New Roman" w:hAnsi="Times New Roman"/>
                <w:sz w:val="24"/>
                <w:szCs w:val="24"/>
              </w:rPr>
            </w:pPr>
            <w:r>
              <w:rPr>
                <w:rFonts w:ascii="Times New Roman" w:hAnsi="Times New Roman"/>
                <w:sz w:val="24"/>
                <w:szCs w:val="24"/>
              </w:rPr>
              <w:t>Евро</w:t>
            </w:r>
          </w:p>
        </w:tc>
        <w:tc>
          <w:tcPr>
            <w:tcW w:w="849" w:type="dxa"/>
            <w:tcMar>
              <w:left w:w="98" w:type="dxa"/>
            </w:tcMar>
            <w:textDirection w:val="btLr"/>
            <w:vAlign w:val="center"/>
          </w:tcPr>
          <w:p w:rsidR="00534AA2" w:rsidRDefault="00534AA2">
            <w:pPr>
              <w:spacing w:after="0" w:line="360" w:lineRule="auto"/>
              <w:ind w:left="113" w:right="113"/>
              <w:jc w:val="center"/>
              <w:rPr>
                <w:rFonts w:ascii="Times New Roman" w:hAnsi="Times New Roman"/>
                <w:sz w:val="24"/>
                <w:szCs w:val="24"/>
              </w:rPr>
            </w:pPr>
            <w:r>
              <w:rPr>
                <w:rFonts w:ascii="Times New Roman" w:hAnsi="Times New Roman"/>
                <w:sz w:val="24"/>
                <w:szCs w:val="24"/>
              </w:rPr>
              <w:t>Японская иена</w:t>
            </w:r>
          </w:p>
        </w:tc>
        <w:tc>
          <w:tcPr>
            <w:tcW w:w="853" w:type="dxa"/>
            <w:tcMar>
              <w:left w:w="98" w:type="dxa"/>
            </w:tcMar>
            <w:textDirection w:val="btLr"/>
            <w:vAlign w:val="center"/>
          </w:tcPr>
          <w:p w:rsidR="00534AA2" w:rsidRDefault="00534AA2">
            <w:pPr>
              <w:spacing w:after="0" w:line="360" w:lineRule="auto"/>
              <w:ind w:left="113" w:right="113"/>
              <w:jc w:val="center"/>
              <w:rPr>
                <w:rFonts w:ascii="Times New Roman" w:hAnsi="Times New Roman"/>
                <w:sz w:val="24"/>
                <w:szCs w:val="24"/>
              </w:rPr>
            </w:pPr>
            <w:r>
              <w:rPr>
                <w:rFonts w:ascii="Times New Roman" w:hAnsi="Times New Roman"/>
                <w:sz w:val="24"/>
                <w:szCs w:val="24"/>
              </w:rPr>
              <w:t>Фунт стерлингов</w:t>
            </w:r>
          </w:p>
        </w:tc>
        <w:tc>
          <w:tcPr>
            <w:tcW w:w="1699" w:type="dxa"/>
            <w:tcMar>
              <w:left w:w="98" w:type="dxa"/>
            </w:tcMar>
            <w:textDirection w:val="btLr"/>
            <w:vAlign w:val="center"/>
          </w:tcPr>
          <w:p w:rsidR="00534AA2" w:rsidRDefault="00534AA2">
            <w:pPr>
              <w:spacing w:after="0" w:line="360" w:lineRule="auto"/>
              <w:ind w:left="113" w:right="113"/>
              <w:jc w:val="center"/>
              <w:rPr>
                <w:rFonts w:ascii="Times New Roman" w:hAnsi="Times New Roman"/>
                <w:sz w:val="24"/>
                <w:szCs w:val="24"/>
              </w:rPr>
            </w:pPr>
            <w:r>
              <w:rPr>
                <w:rFonts w:ascii="Times New Roman" w:hAnsi="Times New Roman"/>
                <w:sz w:val="24"/>
                <w:szCs w:val="24"/>
              </w:rPr>
              <w:t>Другие валюты</w:t>
            </w:r>
          </w:p>
        </w:tc>
      </w:tr>
      <w:tr w:rsidR="00534AA2">
        <w:tc>
          <w:tcPr>
            <w:tcW w:w="4111" w:type="dxa"/>
            <w:tcMar>
              <w:left w:w="98" w:type="dxa"/>
            </w:tcMar>
          </w:tcPr>
          <w:p w:rsidR="00534AA2" w:rsidRDefault="00534AA2">
            <w:pPr>
              <w:spacing w:after="0" w:line="360" w:lineRule="auto"/>
              <w:jc w:val="both"/>
              <w:rPr>
                <w:rFonts w:ascii="Times New Roman" w:hAnsi="Times New Roman"/>
                <w:sz w:val="24"/>
                <w:szCs w:val="24"/>
              </w:rPr>
            </w:pPr>
            <w:r>
              <w:rPr>
                <w:rFonts w:ascii="Times New Roman" w:hAnsi="Times New Roman"/>
                <w:sz w:val="24"/>
                <w:szCs w:val="24"/>
              </w:rPr>
              <w:t>Международные облигации</w:t>
            </w:r>
          </w:p>
        </w:tc>
        <w:tc>
          <w:tcPr>
            <w:tcW w:w="989" w:type="dxa"/>
            <w:tcMar>
              <w:left w:w="98" w:type="dxa"/>
            </w:tcMar>
            <w:vAlign w:val="center"/>
          </w:tcPr>
          <w:p w:rsidR="00534AA2" w:rsidRDefault="00534AA2">
            <w:pPr>
              <w:spacing w:after="0" w:line="360" w:lineRule="auto"/>
              <w:jc w:val="center"/>
              <w:rPr>
                <w:rFonts w:ascii="Times New Roman" w:hAnsi="Times New Roman"/>
                <w:sz w:val="24"/>
                <w:szCs w:val="24"/>
              </w:rPr>
            </w:pPr>
            <w:r>
              <w:rPr>
                <w:rFonts w:ascii="Times New Roman" w:hAnsi="Times New Roman"/>
                <w:sz w:val="24"/>
                <w:szCs w:val="24"/>
              </w:rPr>
              <w:t>58,2</w:t>
            </w:r>
          </w:p>
        </w:tc>
        <w:tc>
          <w:tcPr>
            <w:tcW w:w="854" w:type="dxa"/>
            <w:tcMar>
              <w:left w:w="98" w:type="dxa"/>
            </w:tcMar>
            <w:vAlign w:val="center"/>
          </w:tcPr>
          <w:p w:rsidR="00534AA2" w:rsidRDefault="00534AA2">
            <w:pPr>
              <w:spacing w:after="0" w:line="360" w:lineRule="auto"/>
              <w:jc w:val="center"/>
              <w:rPr>
                <w:rFonts w:ascii="Times New Roman" w:hAnsi="Times New Roman"/>
                <w:sz w:val="24"/>
                <w:szCs w:val="24"/>
              </w:rPr>
            </w:pPr>
            <w:r>
              <w:rPr>
                <w:rFonts w:ascii="Times New Roman" w:hAnsi="Times New Roman"/>
                <w:sz w:val="24"/>
                <w:szCs w:val="24"/>
              </w:rPr>
              <w:t>23,4</w:t>
            </w:r>
          </w:p>
        </w:tc>
        <w:tc>
          <w:tcPr>
            <w:tcW w:w="849" w:type="dxa"/>
            <w:tcMar>
              <w:left w:w="98" w:type="dxa"/>
            </w:tcMar>
            <w:vAlign w:val="center"/>
          </w:tcPr>
          <w:p w:rsidR="00534AA2" w:rsidRDefault="00534AA2">
            <w:pPr>
              <w:spacing w:after="0" w:line="360" w:lineRule="auto"/>
              <w:jc w:val="center"/>
              <w:rPr>
                <w:rFonts w:ascii="Times New Roman" w:hAnsi="Times New Roman"/>
                <w:sz w:val="24"/>
                <w:szCs w:val="24"/>
              </w:rPr>
            </w:pPr>
            <w:r>
              <w:rPr>
                <w:rFonts w:ascii="Times New Roman" w:hAnsi="Times New Roman"/>
                <w:sz w:val="24"/>
                <w:szCs w:val="24"/>
              </w:rPr>
              <w:t>2,9</w:t>
            </w:r>
          </w:p>
        </w:tc>
        <w:tc>
          <w:tcPr>
            <w:tcW w:w="853" w:type="dxa"/>
            <w:tcMar>
              <w:left w:w="98" w:type="dxa"/>
            </w:tcMar>
            <w:vAlign w:val="center"/>
          </w:tcPr>
          <w:p w:rsidR="00534AA2" w:rsidRDefault="00534AA2">
            <w:pPr>
              <w:spacing w:after="0" w:line="360" w:lineRule="auto"/>
              <w:jc w:val="center"/>
              <w:rPr>
                <w:rFonts w:ascii="Times New Roman" w:hAnsi="Times New Roman"/>
                <w:sz w:val="24"/>
                <w:szCs w:val="24"/>
              </w:rPr>
            </w:pPr>
            <w:r>
              <w:rPr>
                <w:rFonts w:ascii="Times New Roman" w:hAnsi="Times New Roman"/>
                <w:sz w:val="24"/>
                <w:szCs w:val="24"/>
              </w:rPr>
              <w:t>Н.д.</w:t>
            </w:r>
          </w:p>
        </w:tc>
        <w:tc>
          <w:tcPr>
            <w:tcW w:w="1699" w:type="dxa"/>
            <w:tcMar>
              <w:left w:w="98" w:type="dxa"/>
            </w:tcMar>
            <w:vAlign w:val="center"/>
          </w:tcPr>
          <w:p w:rsidR="00534AA2" w:rsidRDefault="00534AA2">
            <w:pPr>
              <w:spacing w:after="0" w:line="360" w:lineRule="auto"/>
              <w:jc w:val="center"/>
              <w:rPr>
                <w:rFonts w:ascii="Times New Roman" w:hAnsi="Times New Roman"/>
                <w:sz w:val="24"/>
                <w:szCs w:val="24"/>
              </w:rPr>
            </w:pPr>
            <w:r>
              <w:rPr>
                <w:rFonts w:ascii="Times New Roman" w:hAnsi="Times New Roman"/>
                <w:sz w:val="24"/>
                <w:szCs w:val="24"/>
              </w:rPr>
              <w:t>15,5</w:t>
            </w:r>
          </w:p>
        </w:tc>
      </w:tr>
      <w:tr w:rsidR="00534AA2">
        <w:tc>
          <w:tcPr>
            <w:tcW w:w="4111" w:type="dxa"/>
            <w:tcMar>
              <w:left w:w="98" w:type="dxa"/>
            </w:tcMar>
          </w:tcPr>
          <w:p w:rsidR="00534AA2" w:rsidRDefault="00534AA2">
            <w:pPr>
              <w:spacing w:after="0" w:line="360" w:lineRule="auto"/>
              <w:jc w:val="both"/>
              <w:rPr>
                <w:rFonts w:ascii="Times New Roman" w:hAnsi="Times New Roman"/>
                <w:sz w:val="24"/>
                <w:szCs w:val="24"/>
              </w:rPr>
            </w:pPr>
            <w:r>
              <w:rPr>
                <w:rFonts w:ascii="Times New Roman" w:hAnsi="Times New Roman"/>
                <w:sz w:val="24"/>
                <w:szCs w:val="24"/>
              </w:rPr>
              <w:t>Международные кредиты</w:t>
            </w:r>
          </w:p>
        </w:tc>
        <w:tc>
          <w:tcPr>
            <w:tcW w:w="989" w:type="dxa"/>
            <w:tcMar>
              <w:left w:w="98" w:type="dxa"/>
            </w:tcMar>
            <w:vAlign w:val="center"/>
          </w:tcPr>
          <w:p w:rsidR="00534AA2" w:rsidRDefault="00534AA2">
            <w:pPr>
              <w:spacing w:after="0" w:line="360" w:lineRule="auto"/>
              <w:jc w:val="center"/>
              <w:rPr>
                <w:rFonts w:ascii="Times New Roman" w:hAnsi="Times New Roman"/>
                <w:sz w:val="24"/>
                <w:szCs w:val="24"/>
              </w:rPr>
            </w:pPr>
            <w:r>
              <w:rPr>
                <w:rFonts w:ascii="Times New Roman" w:hAnsi="Times New Roman"/>
                <w:sz w:val="24"/>
                <w:szCs w:val="24"/>
              </w:rPr>
              <w:t>52,7</w:t>
            </w:r>
          </w:p>
        </w:tc>
        <w:tc>
          <w:tcPr>
            <w:tcW w:w="854" w:type="dxa"/>
            <w:tcMar>
              <w:left w:w="98" w:type="dxa"/>
            </w:tcMar>
            <w:vAlign w:val="center"/>
          </w:tcPr>
          <w:p w:rsidR="00534AA2" w:rsidRDefault="00534AA2">
            <w:pPr>
              <w:spacing w:after="0" w:line="360" w:lineRule="auto"/>
              <w:jc w:val="center"/>
              <w:rPr>
                <w:rFonts w:ascii="Times New Roman" w:hAnsi="Times New Roman"/>
                <w:sz w:val="24"/>
                <w:szCs w:val="24"/>
              </w:rPr>
            </w:pPr>
            <w:r>
              <w:rPr>
                <w:rFonts w:ascii="Times New Roman" w:hAnsi="Times New Roman"/>
                <w:sz w:val="24"/>
                <w:szCs w:val="24"/>
              </w:rPr>
              <w:t>16,8</w:t>
            </w:r>
          </w:p>
        </w:tc>
        <w:tc>
          <w:tcPr>
            <w:tcW w:w="849" w:type="dxa"/>
            <w:tcMar>
              <w:left w:w="98" w:type="dxa"/>
            </w:tcMar>
            <w:vAlign w:val="center"/>
          </w:tcPr>
          <w:p w:rsidR="00534AA2" w:rsidRDefault="00534AA2">
            <w:pPr>
              <w:spacing w:after="0" w:line="360" w:lineRule="auto"/>
              <w:jc w:val="center"/>
              <w:rPr>
                <w:rFonts w:ascii="Times New Roman" w:hAnsi="Times New Roman"/>
                <w:sz w:val="24"/>
                <w:szCs w:val="24"/>
              </w:rPr>
            </w:pPr>
            <w:r>
              <w:rPr>
                <w:rFonts w:ascii="Times New Roman" w:hAnsi="Times New Roman"/>
                <w:sz w:val="24"/>
                <w:szCs w:val="24"/>
              </w:rPr>
              <w:t>2,8</w:t>
            </w:r>
          </w:p>
        </w:tc>
        <w:tc>
          <w:tcPr>
            <w:tcW w:w="853" w:type="dxa"/>
            <w:tcMar>
              <w:left w:w="98" w:type="dxa"/>
            </w:tcMar>
            <w:vAlign w:val="center"/>
          </w:tcPr>
          <w:p w:rsidR="00534AA2" w:rsidRDefault="00534AA2">
            <w:pPr>
              <w:spacing w:after="0" w:line="360" w:lineRule="auto"/>
              <w:jc w:val="center"/>
              <w:rPr>
                <w:rFonts w:ascii="Times New Roman" w:hAnsi="Times New Roman"/>
                <w:sz w:val="24"/>
                <w:szCs w:val="24"/>
              </w:rPr>
            </w:pPr>
            <w:r>
              <w:rPr>
                <w:rFonts w:ascii="Times New Roman" w:hAnsi="Times New Roman"/>
                <w:sz w:val="24"/>
                <w:szCs w:val="24"/>
              </w:rPr>
              <w:t>Н.д.</w:t>
            </w:r>
          </w:p>
        </w:tc>
        <w:tc>
          <w:tcPr>
            <w:tcW w:w="1699" w:type="dxa"/>
            <w:tcMar>
              <w:left w:w="98" w:type="dxa"/>
            </w:tcMar>
            <w:vAlign w:val="center"/>
          </w:tcPr>
          <w:p w:rsidR="00534AA2" w:rsidRDefault="00534AA2">
            <w:pPr>
              <w:spacing w:after="0" w:line="360" w:lineRule="auto"/>
              <w:jc w:val="center"/>
              <w:rPr>
                <w:rFonts w:ascii="Times New Roman" w:hAnsi="Times New Roman"/>
                <w:sz w:val="24"/>
                <w:szCs w:val="24"/>
              </w:rPr>
            </w:pPr>
            <w:r>
              <w:rPr>
                <w:rFonts w:ascii="Times New Roman" w:hAnsi="Times New Roman"/>
                <w:sz w:val="24"/>
                <w:szCs w:val="24"/>
              </w:rPr>
              <w:t>27,6</w:t>
            </w:r>
          </w:p>
        </w:tc>
      </w:tr>
      <w:tr w:rsidR="00534AA2">
        <w:tc>
          <w:tcPr>
            <w:tcW w:w="4111" w:type="dxa"/>
            <w:tcMar>
              <w:left w:w="98" w:type="dxa"/>
            </w:tcMar>
          </w:tcPr>
          <w:p w:rsidR="00534AA2" w:rsidRDefault="00534AA2">
            <w:pPr>
              <w:spacing w:after="0" w:line="360" w:lineRule="auto"/>
              <w:jc w:val="both"/>
              <w:rPr>
                <w:rFonts w:ascii="Times New Roman" w:hAnsi="Times New Roman"/>
                <w:sz w:val="24"/>
                <w:szCs w:val="24"/>
              </w:rPr>
            </w:pPr>
            <w:r>
              <w:rPr>
                <w:rFonts w:ascii="Times New Roman" w:hAnsi="Times New Roman"/>
                <w:sz w:val="24"/>
                <w:szCs w:val="24"/>
              </w:rPr>
              <w:t>Международные депозиты</w:t>
            </w:r>
          </w:p>
        </w:tc>
        <w:tc>
          <w:tcPr>
            <w:tcW w:w="989" w:type="dxa"/>
            <w:tcMar>
              <w:left w:w="98" w:type="dxa"/>
            </w:tcMar>
            <w:vAlign w:val="center"/>
          </w:tcPr>
          <w:p w:rsidR="00534AA2" w:rsidRDefault="00534AA2">
            <w:pPr>
              <w:spacing w:after="0" w:line="360" w:lineRule="auto"/>
              <w:jc w:val="center"/>
              <w:rPr>
                <w:rFonts w:ascii="Times New Roman" w:hAnsi="Times New Roman"/>
                <w:sz w:val="24"/>
                <w:szCs w:val="24"/>
              </w:rPr>
            </w:pPr>
            <w:r>
              <w:rPr>
                <w:rFonts w:ascii="Times New Roman" w:hAnsi="Times New Roman"/>
                <w:sz w:val="24"/>
                <w:szCs w:val="24"/>
              </w:rPr>
              <w:t>56,8</w:t>
            </w:r>
          </w:p>
        </w:tc>
        <w:tc>
          <w:tcPr>
            <w:tcW w:w="854" w:type="dxa"/>
            <w:tcMar>
              <w:left w:w="98" w:type="dxa"/>
            </w:tcMar>
            <w:vAlign w:val="center"/>
          </w:tcPr>
          <w:p w:rsidR="00534AA2" w:rsidRDefault="00534AA2">
            <w:pPr>
              <w:spacing w:after="0" w:line="360" w:lineRule="auto"/>
              <w:jc w:val="center"/>
              <w:rPr>
                <w:rFonts w:ascii="Times New Roman" w:hAnsi="Times New Roman"/>
                <w:sz w:val="24"/>
                <w:szCs w:val="24"/>
              </w:rPr>
            </w:pPr>
            <w:r>
              <w:rPr>
                <w:rFonts w:ascii="Times New Roman" w:hAnsi="Times New Roman"/>
                <w:sz w:val="24"/>
                <w:szCs w:val="24"/>
              </w:rPr>
              <w:t>18,5</w:t>
            </w:r>
          </w:p>
        </w:tc>
        <w:tc>
          <w:tcPr>
            <w:tcW w:w="849" w:type="dxa"/>
            <w:tcMar>
              <w:left w:w="98" w:type="dxa"/>
            </w:tcMar>
            <w:vAlign w:val="center"/>
          </w:tcPr>
          <w:p w:rsidR="00534AA2" w:rsidRDefault="00534AA2">
            <w:pPr>
              <w:spacing w:after="0" w:line="360" w:lineRule="auto"/>
              <w:jc w:val="center"/>
              <w:rPr>
                <w:rFonts w:ascii="Times New Roman" w:hAnsi="Times New Roman"/>
                <w:sz w:val="24"/>
                <w:szCs w:val="24"/>
              </w:rPr>
            </w:pPr>
            <w:r>
              <w:rPr>
                <w:rFonts w:ascii="Times New Roman" w:hAnsi="Times New Roman"/>
                <w:sz w:val="24"/>
                <w:szCs w:val="24"/>
              </w:rPr>
              <w:t>1,9</w:t>
            </w:r>
          </w:p>
        </w:tc>
        <w:tc>
          <w:tcPr>
            <w:tcW w:w="853" w:type="dxa"/>
            <w:tcMar>
              <w:left w:w="98" w:type="dxa"/>
            </w:tcMar>
            <w:vAlign w:val="center"/>
          </w:tcPr>
          <w:p w:rsidR="00534AA2" w:rsidRDefault="00534AA2">
            <w:pPr>
              <w:spacing w:after="0" w:line="360" w:lineRule="auto"/>
              <w:jc w:val="center"/>
              <w:rPr>
                <w:rFonts w:ascii="Times New Roman" w:hAnsi="Times New Roman"/>
                <w:sz w:val="24"/>
                <w:szCs w:val="24"/>
              </w:rPr>
            </w:pPr>
            <w:r>
              <w:rPr>
                <w:rFonts w:ascii="Times New Roman" w:hAnsi="Times New Roman"/>
                <w:sz w:val="24"/>
                <w:szCs w:val="24"/>
              </w:rPr>
              <w:t>Н.д.</w:t>
            </w:r>
          </w:p>
        </w:tc>
        <w:tc>
          <w:tcPr>
            <w:tcW w:w="1699" w:type="dxa"/>
            <w:tcMar>
              <w:left w:w="98" w:type="dxa"/>
            </w:tcMar>
            <w:vAlign w:val="center"/>
          </w:tcPr>
          <w:p w:rsidR="00534AA2" w:rsidRDefault="00534AA2">
            <w:pPr>
              <w:spacing w:after="0" w:line="360" w:lineRule="auto"/>
              <w:jc w:val="center"/>
              <w:rPr>
                <w:rFonts w:ascii="Times New Roman" w:hAnsi="Times New Roman"/>
                <w:sz w:val="24"/>
                <w:szCs w:val="24"/>
              </w:rPr>
            </w:pPr>
            <w:r>
              <w:rPr>
                <w:rFonts w:ascii="Times New Roman" w:hAnsi="Times New Roman"/>
                <w:sz w:val="24"/>
                <w:szCs w:val="24"/>
              </w:rPr>
              <w:t>22,7</w:t>
            </w:r>
          </w:p>
        </w:tc>
      </w:tr>
      <w:tr w:rsidR="00534AA2">
        <w:tc>
          <w:tcPr>
            <w:tcW w:w="4111" w:type="dxa"/>
            <w:tcMar>
              <w:left w:w="98" w:type="dxa"/>
            </w:tcMar>
          </w:tcPr>
          <w:p w:rsidR="00534AA2" w:rsidRDefault="00534AA2">
            <w:pPr>
              <w:spacing w:after="0" w:line="360" w:lineRule="auto"/>
              <w:jc w:val="both"/>
              <w:rPr>
                <w:rFonts w:ascii="Times New Roman" w:hAnsi="Times New Roman"/>
                <w:sz w:val="24"/>
                <w:szCs w:val="24"/>
              </w:rPr>
            </w:pPr>
            <w:r>
              <w:rPr>
                <w:rFonts w:ascii="Times New Roman" w:hAnsi="Times New Roman"/>
                <w:sz w:val="24"/>
                <w:szCs w:val="24"/>
              </w:rPr>
              <w:t>Международные валютные резервы</w:t>
            </w:r>
          </w:p>
        </w:tc>
        <w:tc>
          <w:tcPr>
            <w:tcW w:w="989" w:type="dxa"/>
            <w:tcMar>
              <w:left w:w="98" w:type="dxa"/>
            </w:tcMar>
            <w:vAlign w:val="center"/>
          </w:tcPr>
          <w:p w:rsidR="00534AA2" w:rsidRDefault="00534AA2">
            <w:pPr>
              <w:spacing w:after="0" w:line="360" w:lineRule="auto"/>
              <w:jc w:val="center"/>
              <w:rPr>
                <w:rFonts w:ascii="Times New Roman" w:hAnsi="Times New Roman"/>
                <w:sz w:val="24"/>
                <w:szCs w:val="24"/>
              </w:rPr>
            </w:pPr>
            <w:r>
              <w:rPr>
                <w:rFonts w:ascii="Times New Roman" w:hAnsi="Times New Roman"/>
                <w:sz w:val="24"/>
                <w:szCs w:val="24"/>
              </w:rPr>
              <w:t>62,9</w:t>
            </w:r>
          </w:p>
        </w:tc>
        <w:tc>
          <w:tcPr>
            <w:tcW w:w="854" w:type="dxa"/>
            <w:tcMar>
              <w:left w:w="98" w:type="dxa"/>
            </w:tcMar>
            <w:vAlign w:val="center"/>
          </w:tcPr>
          <w:p w:rsidR="00534AA2" w:rsidRDefault="00534AA2">
            <w:pPr>
              <w:spacing w:after="0" w:line="360" w:lineRule="auto"/>
              <w:jc w:val="center"/>
              <w:rPr>
                <w:rFonts w:ascii="Times New Roman" w:hAnsi="Times New Roman"/>
                <w:sz w:val="24"/>
                <w:szCs w:val="24"/>
              </w:rPr>
            </w:pPr>
            <w:r>
              <w:rPr>
                <w:rFonts w:ascii="Times New Roman" w:hAnsi="Times New Roman"/>
                <w:sz w:val="24"/>
                <w:szCs w:val="24"/>
              </w:rPr>
              <w:t>22,2</w:t>
            </w:r>
          </w:p>
        </w:tc>
        <w:tc>
          <w:tcPr>
            <w:tcW w:w="849" w:type="dxa"/>
            <w:tcMar>
              <w:left w:w="98" w:type="dxa"/>
            </w:tcMar>
            <w:vAlign w:val="center"/>
          </w:tcPr>
          <w:p w:rsidR="00534AA2" w:rsidRDefault="00534AA2">
            <w:pPr>
              <w:spacing w:after="0" w:line="360" w:lineRule="auto"/>
              <w:jc w:val="center"/>
              <w:rPr>
                <w:rFonts w:ascii="Times New Roman" w:hAnsi="Times New Roman"/>
                <w:sz w:val="24"/>
                <w:szCs w:val="24"/>
              </w:rPr>
            </w:pPr>
            <w:r>
              <w:rPr>
                <w:rFonts w:ascii="Times New Roman" w:hAnsi="Times New Roman"/>
                <w:sz w:val="24"/>
                <w:szCs w:val="24"/>
              </w:rPr>
              <w:t>4,0</w:t>
            </w:r>
          </w:p>
        </w:tc>
        <w:tc>
          <w:tcPr>
            <w:tcW w:w="853" w:type="dxa"/>
            <w:tcMar>
              <w:left w:w="98" w:type="dxa"/>
            </w:tcMar>
            <w:vAlign w:val="center"/>
          </w:tcPr>
          <w:p w:rsidR="00534AA2" w:rsidRDefault="00534AA2">
            <w:pPr>
              <w:spacing w:after="0" w:line="360" w:lineRule="auto"/>
              <w:jc w:val="center"/>
              <w:rPr>
                <w:rFonts w:ascii="Times New Roman" w:hAnsi="Times New Roman"/>
                <w:sz w:val="24"/>
                <w:szCs w:val="24"/>
              </w:rPr>
            </w:pPr>
            <w:r>
              <w:rPr>
                <w:rFonts w:ascii="Times New Roman" w:hAnsi="Times New Roman"/>
                <w:sz w:val="24"/>
                <w:szCs w:val="24"/>
              </w:rPr>
              <w:t>3,8</w:t>
            </w:r>
          </w:p>
        </w:tc>
        <w:tc>
          <w:tcPr>
            <w:tcW w:w="1699" w:type="dxa"/>
            <w:tcMar>
              <w:left w:w="98" w:type="dxa"/>
            </w:tcMar>
            <w:vAlign w:val="center"/>
          </w:tcPr>
          <w:p w:rsidR="00534AA2" w:rsidRDefault="00534AA2">
            <w:pPr>
              <w:spacing w:after="0" w:line="360" w:lineRule="auto"/>
              <w:jc w:val="center"/>
              <w:rPr>
                <w:rFonts w:ascii="Times New Roman" w:hAnsi="Times New Roman"/>
                <w:sz w:val="24"/>
                <w:szCs w:val="24"/>
              </w:rPr>
            </w:pPr>
            <w:r>
              <w:rPr>
                <w:rFonts w:ascii="Times New Roman" w:hAnsi="Times New Roman"/>
                <w:sz w:val="24"/>
                <w:szCs w:val="24"/>
              </w:rPr>
              <w:t>7,1</w:t>
            </w:r>
          </w:p>
        </w:tc>
      </w:tr>
    </w:tbl>
    <w:p w:rsidR="00534AA2" w:rsidRDefault="00534AA2">
      <w:pPr>
        <w:shd w:val="clear" w:color="auto" w:fill="FFFFFF"/>
        <w:tabs>
          <w:tab w:val="left" w:pos="709"/>
        </w:tabs>
        <w:spacing w:after="0" w:line="360" w:lineRule="auto"/>
        <w:ind w:firstLine="360"/>
        <w:contextualSpacing/>
      </w:pPr>
      <w:r>
        <w:rPr>
          <w:rFonts w:ascii="Times New Roman" w:hAnsi="Times New Roman"/>
          <w:sz w:val="24"/>
          <w:szCs w:val="24"/>
        </w:rPr>
        <w:t xml:space="preserve">Источник: </w:t>
      </w:r>
      <w:r>
        <w:rPr>
          <w:rFonts w:ascii="Times New Roman" w:hAnsi="Times New Roman"/>
          <w:sz w:val="24"/>
          <w:szCs w:val="24"/>
          <w:lang w:val="en-US"/>
        </w:rPr>
        <w:t>The international role of the euro / European Central Bank</w:t>
      </w:r>
      <w:r>
        <w:rPr>
          <w:rFonts w:ascii="Times New Roman" w:hAnsi="Times New Roman"/>
          <w:sz w:val="24"/>
          <w:szCs w:val="24"/>
        </w:rPr>
        <w:t>.</w:t>
      </w:r>
      <w:r>
        <w:rPr>
          <w:rFonts w:ascii="Times New Roman" w:hAnsi="Times New Roman"/>
          <w:sz w:val="24"/>
          <w:szCs w:val="24"/>
          <w:lang w:val="en-US"/>
        </w:rPr>
        <w:t xml:space="preserve"> 2015. - July. - P. 65, 68, 73, 74</w:t>
      </w:r>
      <w:r>
        <w:rPr>
          <w:rFonts w:ascii="Times New Roman" w:hAnsi="Times New Roman"/>
          <w:sz w:val="24"/>
          <w:szCs w:val="24"/>
        </w:rPr>
        <w:t>.</w:t>
      </w:r>
    </w:p>
    <w:p w:rsidR="00534AA2" w:rsidRDefault="00534AA2">
      <w:pPr>
        <w:spacing w:after="0" w:line="360" w:lineRule="auto"/>
        <w:ind w:firstLine="709"/>
        <w:jc w:val="both"/>
      </w:pPr>
      <w:r>
        <w:rPr>
          <w:rFonts w:ascii="Times New Roman" w:hAnsi="Times New Roman"/>
          <w:sz w:val="24"/>
          <w:szCs w:val="24"/>
        </w:rPr>
        <w:t xml:space="preserve">Итак, рубль остается периферийной валютой, использование которой в международных финансовых трансакциях является крайне низким по сравнению с основными резервными валютами. При этом Россия выступает одним из основных нетто-экспортеров мира, наряду с Китаем, Германией и Саудовской Аравией (табл. </w:t>
      </w:r>
      <w:r>
        <w:rPr>
          <w:rFonts w:ascii="Times New Roman" w:hAnsi="Times New Roman"/>
          <w:sz w:val="24"/>
          <w:szCs w:val="24"/>
          <w:lang w:val="en-US"/>
        </w:rPr>
        <w:t>5</w:t>
      </w:r>
      <w:r>
        <w:rPr>
          <w:rFonts w:ascii="Times New Roman" w:hAnsi="Times New Roman"/>
          <w:sz w:val="24"/>
          <w:szCs w:val="24"/>
        </w:rPr>
        <w:t>). Каждая из этих стран могла бы претендовать на формирование собственной валютной зоны, исходя из своего торгового потенциала, но это невозможно в силу доминирования доллара в обслуживании платежей на рынке углеводородов и евро в обслуживании торговли на европейском континенте. Последнее идет не на пользу Германии, реальный размер заработной платы в которой с момента введения евро последовательно снижается в связи с необходимостью субсидирования Германией менее конкурентоспособной периферии зоны евро.</w:t>
      </w:r>
    </w:p>
    <w:p w:rsidR="00534AA2" w:rsidRDefault="00534AA2">
      <w:pPr>
        <w:spacing w:after="0" w:line="360" w:lineRule="auto"/>
        <w:ind w:firstLine="709"/>
        <w:jc w:val="right"/>
      </w:pPr>
      <w:r>
        <w:rPr>
          <w:rFonts w:ascii="Times New Roman" w:hAnsi="Times New Roman"/>
          <w:sz w:val="24"/>
          <w:szCs w:val="24"/>
        </w:rPr>
        <w:t>Таблица</w:t>
      </w:r>
      <w:r>
        <w:rPr>
          <w:rFonts w:ascii="Times New Roman" w:hAnsi="Times New Roman"/>
          <w:sz w:val="24"/>
          <w:szCs w:val="24"/>
          <w:lang w:val="en-US"/>
        </w:rPr>
        <w:t xml:space="preserve"> 5</w:t>
      </w:r>
    </w:p>
    <w:p w:rsidR="00534AA2" w:rsidRDefault="00534AA2">
      <w:pPr>
        <w:spacing w:after="0" w:line="360" w:lineRule="auto"/>
        <w:ind w:firstLine="709"/>
        <w:jc w:val="center"/>
        <w:rPr>
          <w:rFonts w:ascii="Times New Roman" w:hAnsi="Times New Roman"/>
          <w:b/>
          <w:sz w:val="24"/>
          <w:szCs w:val="24"/>
        </w:rPr>
      </w:pPr>
      <w:r>
        <w:rPr>
          <w:rFonts w:ascii="Times New Roman" w:hAnsi="Times New Roman"/>
          <w:b/>
          <w:sz w:val="24"/>
          <w:szCs w:val="24"/>
        </w:rPr>
        <w:t>Крупнейшие чистые экспортеры товаров в 2014 г., млрд. долл.</w:t>
      </w:r>
    </w:p>
    <w:tbl>
      <w:tblPr>
        <w:tblW w:w="9571"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A0"/>
      </w:tblPr>
      <w:tblGrid>
        <w:gridCol w:w="534"/>
        <w:gridCol w:w="2834"/>
        <w:gridCol w:w="2374"/>
        <w:gridCol w:w="1914"/>
        <w:gridCol w:w="1915"/>
      </w:tblGrid>
      <w:tr w:rsidR="00534AA2">
        <w:tc>
          <w:tcPr>
            <w:tcW w:w="534" w:type="dxa"/>
            <w:tcMar>
              <w:left w:w="98" w:type="dxa"/>
            </w:tcMa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rPr>
              <w:t>№</w:t>
            </w:r>
          </w:p>
        </w:tc>
        <w:tc>
          <w:tcPr>
            <w:tcW w:w="2834" w:type="dxa"/>
            <w:tcMar>
              <w:left w:w="98" w:type="dxa"/>
            </w:tcMar>
            <w:vAlign w:val="center"/>
          </w:tcPr>
          <w:p w:rsidR="00534AA2" w:rsidRDefault="00534AA2">
            <w:pPr>
              <w:spacing w:after="0" w:line="240" w:lineRule="auto"/>
              <w:rPr>
                <w:rFonts w:ascii="Times New Roman" w:hAnsi="Times New Roman"/>
                <w:sz w:val="24"/>
                <w:szCs w:val="24"/>
              </w:rPr>
            </w:pPr>
            <w:r>
              <w:rPr>
                <w:rFonts w:ascii="Times New Roman" w:hAnsi="Times New Roman"/>
                <w:sz w:val="24"/>
                <w:szCs w:val="24"/>
              </w:rPr>
              <w:t>Страна</w:t>
            </w:r>
          </w:p>
        </w:tc>
        <w:tc>
          <w:tcPr>
            <w:tcW w:w="2374" w:type="dxa"/>
            <w:tcMar>
              <w:left w:w="98" w:type="dxa"/>
            </w:tcMa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rPr>
              <w:t>Сальдо торговли</w:t>
            </w:r>
          </w:p>
        </w:tc>
        <w:tc>
          <w:tcPr>
            <w:tcW w:w="1914" w:type="dxa"/>
            <w:tcMar>
              <w:left w:w="98" w:type="dxa"/>
            </w:tcMa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rPr>
              <w:t>Экспорт</w:t>
            </w:r>
          </w:p>
        </w:tc>
        <w:tc>
          <w:tcPr>
            <w:tcW w:w="1915" w:type="dxa"/>
            <w:tcMar>
              <w:left w:w="98" w:type="dxa"/>
            </w:tcMa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rPr>
              <w:t>Импорт</w:t>
            </w:r>
          </w:p>
        </w:tc>
      </w:tr>
      <w:tr w:rsidR="00534AA2">
        <w:tc>
          <w:tcPr>
            <w:tcW w:w="534" w:type="dxa"/>
            <w:tcMar>
              <w:left w:w="98" w:type="dxa"/>
            </w:tcMar>
          </w:tcPr>
          <w:p w:rsidR="00534AA2" w:rsidRDefault="00534AA2">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2834" w:type="dxa"/>
            <w:tcMar>
              <w:left w:w="98" w:type="dxa"/>
            </w:tcMar>
            <w:vAlign w:val="center"/>
          </w:tcPr>
          <w:p w:rsidR="00534AA2" w:rsidRDefault="00534AA2">
            <w:pPr>
              <w:spacing w:after="0" w:line="240" w:lineRule="auto"/>
              <w:rPr>
                <w:rFonts w:ascii="Times New Roman" w:hAnsi="Times New Roman"/>
                <w:sz w:val="24"/>
                <w:szCs w:val="24"/>
              </w:rPr>
            </w:pPr>
            <w:r>
              <w:rPr>
                <w:rFonts w:ascii="Times New Roman" w:hAnsi="Times New Roman"/>
                <w:sz w:val="24"/>
                <w:szCs w:val="24"/>
              </w:rPr>
              <w:t>Китай</w:t>
            </w:r>
          </w:p>
        </w:tc>
        <w:tc>
          <w:tcPr>
            <w:tcW w:w="2374" w:type="dxa"/>
            <w:tcMar>
              <w:left w:w="98" w:type="dxa"/>
            </w:tcMa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rPr>
              <w:t>+383</w:t>
            </w:r>
          </w:p>
        </w:tc>
        <w:tc>
          <w:tcPr>
            <w:tcW w:w="1914" w:type="dxa"/>
            <w:tcMar>
              <w:left w:w="98" w:type="dxa"/>
            </w:tcMa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rPr>
              <w:t>2342</w:t>
            </w:r>
          </w:p>
        </w:tc>
        <w:tc>
          <w:tcPr>
            <w:tcW w:w="1915" w:type="dxa"/>
            <w:tcMar>
              <w:left w:w="98" w:type="dxa"/>
            </w:tcMa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rPr>
              <w:t>1959</w:t>
            </w:r>
          </w:p>
        </w:tc>
      </w:tr>
      <w:tr w:rsidR="00534AA2">
        <w:tc>
          <w:tcPr>
            <w:tcW w:w="534" w:type="dxa"/>
            <w:tcMar>
              <w:left w:w="98" w:type="dxa"/>
            </w:tcMar>
          </w:tcPr>
          <w:p w:rsidR="00534AA2" w:rsidRDefault="00534AA2">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2834" w:type="dxa"/>
            <w:tcMar>
              <w:left w:w="98" w:type="dxa"/>
            </w:tcMar>
            <w:vAlign w:val="center"/>
          </w:tcPr>
          <w:p w:rsidR="00534AA2" w:rsidRDefault="00534AA2">
            <w:pPr>
              <w:spacing w:after="0" w:line="240" w:lineRule="auto"/>
              <w:rPr>
                <w:rFonts w:ascii="Times New Roman" w:hAnsi="Times New Roman"/>
                <w:sz w:val="24"/>
                <w:szCs w:val="24"/>
              </w:rPr>
            </w:pPr>
            <w:r>
              <w:rPr>
                <w:rFonts w:ascii="Times New Roman" w:hAnsi="Times New Roman"/>
                <w:sz w:val="24"/>
                <w:szCs w:val="24"/>
              </w:rPr>
              <w:t>Германия</w:t>
            </w:r>
          </w:p>
        </w:tc>
        <w:tc>
          <w:tcPr>
            <w:tcW w:w="2374" w:type="dxa"/>
            <w:tcMar>
              <w:left w:w="98" w:type="dxa"/>
            </w:tcMa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rPr>
              <w:t>+292</w:t>
            </w:r>
          </w:p>
        </w:tc>
        <w:tc>
          <w:tcPr>
            <w:tcW w:w="1914" w:type="dxa"/>
            <w:tcMar>
              <w:left w:w="98" w:type="dxa"/>
            </w:tcMa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rPr>
              <w:t>1508</w:t>
            </w:r>
          </w:p>
        </w:tc>
        <w:tc>
          <w:tcPr>
            <w:tcW w:w="1915" w:type="dxa"/>
            <w:tcMar>
              <w:left w:w="98" w:type="dxa"/>
            </w:tcMa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rPr>
              <w:t>1216</w:t>
            </w:r>
          </w:p>
        </w:tc>
      </w:tr>
      <w:tr w:rsidR="00534AA2">
        <w:tc>
          <w:tcPr>
            <w:tcW w:w="534" w:type="dxa"/>
            <w:tcMar>
              <w:left w:w="98" w:type="dxa"/>
            </w:tcMar>
          </w:tcPr>
          <w:p w:rsidR="00534AA2" w:rsidRDefault="00534AA2">
            <w:pPr>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c>
          <w:tcPr>
            <w:tcW w:w="2834" w:type="dxa"/>
            <w:tcMar>
              <w:left w:w="98" w:type="dxa"/>
            </w:tcMar>
            <w:vAlign w:val="center"/>
          </w:tcPr>
          <w:p w:rsidR="00534AA2" w:rsidRDefault="00534AA2">
            <w:pPr>
              <w:spacing w:after="0" w:line="240" w:lineRule="auto"/>
              <w:rPr>
                <w:rFonts w:ascii="Times New Roman" w:hAnsi="Times New Roman"/>
                <w:sz w:val="24"/>
                <w:szCs w:val="24"/>
              </w:rPr>
            </w:pPr>
            <w:r>
              <w:rPr>
                <w:rFonts w:ascii="Times New Roman" w:hAnsi="Times New Roman"/>
                <w:sz w:val="24"/>
                <w:szCs w:val="24"/>
              </w:rPr>
              <w:t>Саудовская Аравия</w:t>
            </w:r>
          </w:p>
        </w:tc>
        <w:tc>
          <w:tcPr>
            <w:tcW w:w="2374" w:type="dxa"/>
            <w:tcMar>
              <w:left w:w="98" w:type="dxa"/>
            </w:tcMa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rPr>
              <w:t>+191</w:t>
            </w:r>
          </w:p>
        </w:tc>
        <w:tc>
          <w:tcPr>
            <w:tcW w:w="1914" w:type="dxa"/>
            <w:tcMar>
              <w:left w:w="98" w:type="dxa"/>
            </w:tcMa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rPr>
              <w:t>354</w:t>
            </w:r>
          </w:p>
        </w:tc>
        <w:tc>
          <w:tcPr>
            <w:tcW w:w="1915" w:type="dxa"/>
            <w:tcMar>
              <w:left w:w="98" w:type="dxa"/>
            </w:tcMa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rPr>
              <w:t>163</w:t>
            </w:r>
          </w:p>
        </w:tc>
      </w:tr>
      <w:tr w:rsidR="00534AA2">
        <w:tc>
          <w:tcPr>
            <w:tcW w:w="534" w:type="dxa"/>
            <w:tcMar>
              <w:left w:w="98" w:type="dxa"/>
            </w:tcMar>
          </w:tcPr>
          <w:p w:rsidR="00534AA2" w:rsidRDefault="00534AA2">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c>
          <w:tcPr>
            <w:tcW w:w="2834" w:type="dxa"/>
            <w:tcMar>
              <w:left w:w="98" w:type="dxa"/>
            </w:tcMar>
            <w:vAlign w:val="center"/>
          </w:tcPr>
          <w:p w:rsidR="00534AA2" w:rsidRDefault="00534AA2">
            <w:pPr>
              <w:spacing w:after="0" w:line="240" w:lineRule="auto"/>
              <w:rPr>
                <w:rFonts w:ascii="Times New Roman" w:hAnsi="Times New Roman"/>
                <w:sz w:val="24"/>
                <w:szCs w:val="24"/>
              </w:rPr>
            </w:pPr>
            <w:r>
              <w:rPr>
                <w:rFonts w:ascii="Times New Roman" w:hAnsi="Times New Roman"/>
                <w:sz w:val="24"/>
                <w:szCs w:val="24"/>
              </w:rPr>
              <w:t>Россия</w:t>
            </w:r>
          </w:p>
        </w:tc>
        <w:tc>
          <w:tcPr>
            <w:tcW w:w="2374" w:type="dxa"/>
            <w:tcMar>
              <w:left w:w="98" w:type="dxa"/>
            </w:tcMa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rPr>
              <w:t>+190</w:t>
            </w:r>
          </w:p>
        </w:tc>
        <w:tc>
          <w:tcPr>
            <w:tcW w:w="1914" w:type="dxa"/>
            <w:tcMar>
              <w:left w:w="98" w:type="dxa"/>
            </w:tcMa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rPr>
              <w:t>498</w:t>
            </w:r>
          </w:p>
        </w:tc>
        <w:tc>
          <w:tcPr>
            <w:tcW w:w="1915" w:type="dxa"/>
            <w:tcMar>
              <w:left w:w="98" w:type="dxa"/>
            </w:tcMa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rPr>
              <w:t>308</w:t>
            </w:r>
          </w:p>
        </w:tc>
      </w:tr>
      <w:tr w:rsidR="00534AA2">
        <w:tc>
          <w:tcPr>
            <w:tcW w:w="534" w:type="dxa"/>
            <w:tcMar>
              <w:left w:w="98" w:type="dxa"/>
            </w:tcMar>
          </w:tcPr>
          <w:p w:rsidR="00534AA2" w:rsidRDefault="00534AA2">
            <w:pPr>
              <w:spacing w:after="0" w:line="240" w:lineRule="auto"/>
              <w:jc w:val="center"/>
              <w:rPr>
                <w:rFonts w:ascii="Times New Roman" w:hAnsi="Times New Roman"/>
                <w:sz w:val="24"/>
                <w:szCs w:val="24"/>
                <w:lang w:val="en-US"/>
              </w:rPr>
            </w:pPr>
            <w:r>
              <w:rPr>
                <w:rFonts w:ascii="Times New Roman" w:hAnsi="Times New Roman"/>
                <w:sz w:val="24"/>
                <w:szCs w:val="24"/>
                <w:lang w:val="en-US"/>
              </w:rPr>
              <w:t>5</w:t>
            </w:r>
          </w:p>
        </w:tc>
        <w:tc>
          <w:tcPr>
            <w:tcW w:w="2834" w:type="dxa"/>
            <w:tcMar>
              <w:left w:w="98" w:type="dxa"/>
            </w:tcMar>
            <w:vAlign w:val="center"/>
          </w:tcPr>
          <w:p w:rsidR="00534AA2" w:rsidRDefault="00534AA2">
            <w:pPr>
              <w:spacing w:after="0" w:line="240" w:lineRule="auto"/>
              <w:rPr>
                <w:rFonts w:ascii="Times New Roman" w:hAnsi="Times New Roman"/>
                <w:sz w:val="24"/>
                <w:szCs w:val="24"/>
              </w:rPr>
            </w:pPr>
            <w:r>
              <w:rPr>
                <w:rFonts w:ascii="Times New Roman" w:hAnsi="Times New Roman"/>
                <w:sz w:val="24"/>
                <w:szCs w:val="24"/>
              </w:rPr>
              <w:t>Объединенные Арабские Эмираты</w:t>
            </w:r>
          </w:p>
        </w:tc>
        <w:tc>
          <w:tcPr>
            <w:tcW w:w="2374" w:type="dxa"/>
            <w:tcMar>
              <w:left w:w="98" w:type="dxa"/>
            </w:tcMa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rPr>
              <w:t>+98</w:t>
            </w:r>
          </w:p>
        </w:tc>
        <w:tc>
          <w:tcPr>
            <w:tcW w:w="1914" w:type="dxa"/>
            <w:tcMar>
              <w:left w:w="98" w:type="dxa"/>
            </w:tcMa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rPr>
              <w:t>360</w:t>
            </w:r>
          </w:p>
        </w:tc>
        <w:tc>
          <w:tcPr>
            <w:tcW w:w="1915" w:type="dxa"/>
            <w:tcMar>
              <w:left w:w="98" w:type="dxa"/>
            </w:tcMa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rPr>
              <w:t>262</w:t>
            </w:r>
          </w:p>
        </w:tc>
      </w:tr>
      <w:tr w:rsidR="00534AA2">
        <w:tc>
          <w:tcPr>
            <w:tcW w:w="534" w:type="dxa"/>
            <w:tcMar>
              <w:left w:w="98" w:type="dxa"/>
            </w:tcMar>
          </w:tcPr>
          <w:p w:rsidR="00534AA2" w:rsidRDefault="00534AA2">
            <w:pPr>
              <w:spacing w:after="0" w:line="240" w:lineRule="auto"/>
              <w:jc w:val="center"/>
              <w:rPr>
                <w:rFonts w:ascii="Times New Roman" w:hAnsi="Times New Roman"/>
                <w:sz w:val="24"/>
                <w:szCs w:val="24"/>
                <w:lang w:val="en-US"/>
              </w:rPr>
            </w:pPr>
            <w:r>
              <w:rPr>
                <w:rFonts w:ascii="Times New Roman" w:hAnsi="Times New Roman"/>
                <w:sz w:val="24"/>
                <w:szCs w:val="24"/>
                <w:lang w:val="en-US"/>
              </w:rPr>
              <w:t>6</w:t>
            </w:r>
          </w:p>
        </w:tc>
        <w:tc>
          <w:tcPr>
            <w:tcW w:w="2834" w:type="dxa"/>
            <w:tcMar>
              <w:left w:w="98" w:type="dxa"/>
            </w:tcMar>
            <w:vAlign w:val="center"/>
          </w:tcPr>
          <w:p w:rsidR="00534AA2" w:rsidRDefault="00534AA2">
            <w:pPr>
              <w:spacing w:after="0" w:line="240" w:lineRule="auto"/>
              <w:rPr>
                <w:rFonts w:ascii="Times New Roman" w:hAnsi="Times New Roman"/>
                <w:sz w:val="24"/>
                <w:szCs w:val="24"/>
              </w:rPr>
            </w:pPr>
            <w:r>
              <w:rPr>
                <w:rFonts w:ascii="Times New Roman" w:hAnsi="Times New Roman"/>
                <w:sz w:val="24"/>
                <w:szCs w:val="24"/>
              </w:rPr>
              <w:t>Катар</w:t>
            </w:r>
          </w:p>
        </w:tc>
        <w:tc>
          <w:tcPr>
            <w:tcW w:w="2374" w:type="dxa"/>
            <w:tcMar>
              <w:left w:w="98" w:type="dxa"/>
            </w:tcMa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rPr>
              <w:t>+97</w:t>
            </w:r>
          </w:p>
        </w:tc>
        <w:tc>
          <w:tcPr>
            <w:tcW w:w="1914" w:type="dxa"/>
            <w:tcMar>
              <w:left w:w="98" w:type="dxa"/>
            </w:tcMa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rPr>
              <w:t>132</w:t>
            </w:r>
          </w:p>
        </w:tc>
        <w:tc>
          <w:tcPr>
            <w:tcW w:w="1915" w:type="dxa"/>
            <w:tcMar>
              <w:left w:w="98" w:type="dxa"/>
            </w:tcMa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rPr>
              <w:t>35</w:t>
            </w:r>
          </w:p>
        </w:tc>
      </w:tr>
      <w:tr w:rsidR="00534AA2">
        <w:tc>
          <w:tcPr>
            <w:tcW w:w="534" w:type="dxa"/>
            <w:tcMar>
              <w:left w:w="98" w:type="dxa"/>
            </w:tcMar>
          </w:tcPr>
          <w:p w:rsidR="00534AA2" w:rsidRDefault="00534AA2">
            <w:pPr>
              <w:spacing w:after="0" w:line="240" w:lineRule="auto"/>
              <w:jc w:val="center"/>
              <w:rPr>
                <w:rFonts w:ascii="Times New Roman" w:hAnsi="Times New Roman"/>
                <w:sz w:val="24"/>
                <w:szCs w:val="24"/>
                <w:lang w:val="en-US"/>
              </w:rPr>
            </w:pPr>
            <w:r>
              <w:rPr>
                <w:rFonts w:ascii="Times New Roman" w:hAnsi="Times New Roman"/>
                <w:sz w:val="24"/>
                <w:szCs w:val="24"/>
                <w:lang w:val="en-US"/>
              </w:rPr>
              <w:t>7</w:t>
            </w:r>
          </w:p>
        </w:tc>
        <w:tc>
          <w:tcPr>
            <w:tcW w:w="2834" w:type="dxa"/>
            <w:tcMar>
              <w:left w:w="98" w:type="dxa"/>
            </w:tcMar>
            <w:vAlign w:val="center"/>
          </w:tcPr>
          <w:p w:rsidR="00534AA2" w:rsidRDefault="00534AA2">
            <w:pPr>
              <w:spacing w:after="0" w:line="240" w:lineRule="auto"/>
              <w:rPr>
                <w:rFonts w:ascii="Times New Roman" w:hAnsi="Times New Roman"/>
                <w:sz w:val="24"/>
                <w:szCs w:val="24"/>
              </w:rPr>
            </w:pPr>
            <w:r>
              <w:rPr>
                <w:rFonts w:ascii="Times New Roman" w:hAnsi="Times New Roman"/>
                <w:sz w:val="24"/>
                <w:szCs w:val="24"/>
              </w:rPr>
              <w:t>Нидерланды</w:t>
            </w:r>
          </w:p>
        </w:tc>
        <w:tc>
          <w:tcPr>
            <w:tcW w:w="2374" w:type="dxa"/>
            <w:tcMar>
              <w:left w:w="98" w:type="dxa"/>
            </w:tcMa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rPr>
              <w:t>+84</w:t>
            </w:r>
          </w:p>
        </w:tc>
        <w:tc>
          <w:tcPr>
            <w:tcW w:w="1914" w:type="dxa"/>
            <w:tcMar>
              <w:left w:w="98" w:type="dxa"/>
            </w:tcMa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rPr>
              <w:t>672</w:t>
            </w:r>
          </w:p>
        </w:tc>
        <w:tc>
          <w:tcPr>
            <w:tcW w:w="1915" w:type="dxa"/>
            <w:tcMar>
              <w:left w:w="98" w:type="dxa"/>
            </w:tcMa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rPr>
              <w:t>588</w:t>
            </w:r>
          </w:p>
        </w:tc>
      </w:tr>
      <w:tr w:rsidR="00534AA2">
        <w:tc>
          <w:tcPr>
            <w:tcW w:w="534" w:type="dxa"/>
            <w:tcMar>
              <w:left w:w="98" w:type="dxa"/>
            </w:tcMar>
          </w:tcPr>
          <w:p w:rsidR="00534AA2" w:rsidRDefault="00534AA2">
            <w:pPr>
              <w:spacing w:after="0" w:line="240" w:lineRule="auto"/>
              <w:jc w:val="center"/>
              <w:rPr>
                <w:rFonts w:ascii="Times New Roman" w:hAnsi="Times New Roman"/>
                <w:sz w:val="24"/>
                <w:szCs w:val="24"/>
                <w:lang w:val="en-US"/>
              </w:rPr>
            </w:pPr>
            <w:r>
              <w:rPr>
                <w:rFonts w:ascii="Times New Roman" w:hAnsi="Times New Roman"/>
                <w:sz w:val="24"/>
                <w:szCs w:val="24"/>
                <w:lang w:val="en-US"/>
              </w:rPr>
              <w:t>8</w:t>
            </w:r>
          </w:p>
        </w:tc>
        <w:tc>
          <w:tcPr>
            <w:tcW w:w="2834" w:type="dxa"/>
            <w:tcMar>
              <w:left w:w="98" w:type="dxa"/>
            </w:tcMar>
            <w:vAlign w:val="center"/>
          </w:tcPr>
          <w:p w:rsidR="00534AA2" w:rsidRDefault="00534AA2">
            <w:pPr>
              <w:spacing w:after="0" w:line="240" w:lineRule="auto"/>
              <w:rPr>
                <w:rFonts w:ascii="Times New Roman" w:hAnsi="Times New Roman"/>
                <w:sz w:val="24"/>
                <w:szCs w:val="24"/>
              </w:rPr>
            </w:pPr>
            <w:r>
              <w:rPr>
                <w:rFonts w:ascii="Times New Roman" w:hAnsi="Times New Roman"/>
                <w:sz w:val="24"/>
                <w:szCs w:val="24"/>
              </w:rPr>
              <w:t>Кувейт</w:t>
            </w:r>
          </w:p>
        </w:tc>
        <w:tc>
          <w:tcPr>
            <w:tcW w:w="2374" w:type="dxa"/>
            <w:tcMar>
              <w:left w:w="98" w:type="dxa"/>
            </w:tcMa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rPr>
              <w:t>+73</w:t>
            </w:r>
          </w:p>
        </w:tc>
        <w:tc>
          <w:tcPr>
            <w:tcW w:w="1914" w:type="dxa"/>
            <w:tcMar>
              <w:left w:w="98" w:type="dxa"/>
            </w:tcMa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rPr>
              <w:t>104</w:t>
            </w:r>
          </w:p>
        </w:tc>
        <w:tc>
          <w:tcPr>
            <w:tcW w:w="1915" w:type="dxa"/>
            <w:tcMar>
              <w:left w:w="98" w:type="dxa"/>
            </w:tcMa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rPr>
              <w:t>31</w:t>
            </w:r>
          </w:p>
        </w:tc>
      </w:tr>
      <w:tr w:rsidR="00534AA2">
        <w:tc>
          <w:tcPr>
            <w:tcW w:w="534" w:type="dxa"/>
            <w:tcMar>
              <w:left w:w="98" w:type="dxa"/>
            </w:tcMar>
          </w:tcPr>
          <w:p w:rsidR="00534AA2" w:rsidRDefault="00534AA2">
            <w:pPr>
              <w:spacing w:after="0" w:line="240" w:lineRule="auto"/>
              <w:jc w:val="center"/>
              <w:rPr>
                <w:rFonts w:ascii="Times New Roman" w:hAnsi="Times New Roman"/>
                <w:sz w:val="24"/>
                <w:szCs w:val="24"/>
                <w:lang w:val="en-US"/>
              </w:rPr>
            </w:pPr>
            <w:r>
              <w:rPr>
                <w:rFonts w:ascii="Times New Roman" w:hAnsi="Times New Roman"/>
                <w:sz w:val="24"/>
                <w:szCs w:val="24"/>
                <w:lang w:val="en-US"/>
              </w:rPr>
              <w:t>9</w:t>
            </w:r>
          </w:p>
        </w:tc>
        <w:tc>
          <w:tcPr>
            <w:tcW w:w="2834" w:type="dxa"/>
            <w:tcMar>
              <w:left w:w="98" w:type="dxa"/>
            </w:tcMar>
            <w:vAlign w:val="center"/>
          </w:tcPr>
          <w:p w:rsidR="00534AA2" w:rsidRDefault="00534AA2">
            <w:pPr>
              <w:spacing w:after="0" w:line="240" w:lineRule="auto"/>
              <w:rPr>
                <w:rFonts w:ascii="Times New Roman" w:hAnsi="Times New Roman"/>
                <w:sz w:val="24"/>
                <w:szCs w:val="24"/>
              </w:rPr>
            </w:pPr>
            <w:r>
              <w:rPr>
                <w:rFonts w:ascii="Times New Roman" w:hAnsi="Times New Roman"/>
                <w:sz w:val="24"/>
                <w:szCs w:val="24"/>
              </w:rPr>
              <w:t>Италия</w:t>
            </w:r>
          </w:p>
        </w:tc>
        <w:tc>
          <w:tcPr>
            <w:tcW w:w="2374" w:type="dxa"/>
            <w:tcMar>
              <w:left w:w="98" w:type="dxa"/>
            </w:tcMa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rPr>
              <w:t>+57</w:t>
            </w:r>
          </w:p>
        </w:tc>
        <w:tc>
          <w:tcPr>
            <w:tcW w:w="1914" w:type="dxa"/>
            <w:tcMar>
              <w:left w:w="98" w:type="dxa"/>
            </w:tcMa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rPr>
              <w:t>529</w:t>
            </w:r>
          </w:p>
        </w:tc>
        <w:tc>
          <w:tcPr>
            <w:tcW w:w="1915" w:type="dxa"/>
            <w:tcMar>
              <w:left w:w="98" w:type="dxa"/>
            </w:tcMa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rPr>
              <w:t>472</w:t>
            </w:r>
          </w:p>
        </w:tc>
      </w:tr>
      <w:tr w:rsidR="00534AA2">
        <w:tc>
          <w:tcPr>
            <w:tcW w:w="534" w:type="dxa"/>
            <w:tcMar>
              <w:left w:w="98" w:type="dxa"/>
            </w:tcMar>
          </w:tcPr>
          <w:p w:rsidR="00534AA2" w:rsidRDefault="00534AA2">
            <w:pPr>
              <w:spacing w:after="0" w:line="240" w:lineRule="auto"/>
              <w:jc w:val="center"/>
              <w:rPr>
                <w:rFonts w:ascii="Times New Roman" w:hAnsi="Times New Roman"/>
                <w:sz w:val="24"/>
                <w:szCs w:val="24"/>
                <w:lang w:val="en-US"/>
              </w:rPr>
            </w:pPr>
            <w:r>
              <w:rPr>
                <w:rFonts w:ascii="Times New Roman" w:hAnsi="Times New Roman"/>
                <w:sz w:val="24"/>
                <w:szCs w:val="24"/>
                <w:lang w:val="en-US"/>
              </w:rPr>
              <w:t>10</w:t>
            </w:r>
          </w:p>
        </w:tc>
        <w:tc>
          <w:tcPr>
            <w:tcW w:w="2834" w:type="dxa"/>
            <w:tcMar>
              <w:left w:w="98" w:type="dxa"/>
            </w:tcMar>
            <w:vAlign w:val="center"/>
          </w:tcPr>
          <w:p w:rsidR="00534AA2" w:rsidRDefault="00534AA2">
            <w:pPr>
              <w:spacing w:after="0" w:line="240" w:lineRule="auto"/>
              <w:rPr>
                <w:rFonts w:ascii="Times New Roman" w:hAnsi="Times New Roman"/>
                <w:sz w:val="24"/>
                <w:szCs w:val="24"/>
              </w:rPr>
            </w:pPr>
            <w:r>
              <w:rPr>
                <w:rFonts w:ascii="Times New Roman" w:hAnsi="Times New Roman"/>
                <w:sz w:val="24"/>
                <w:szCs w:val="24"/>
              </w:rPr>
              <w:t>Норвегия</w:t>
            </w:r>
          </w:p>
        </w:tc>
        <w:tc>
          <w:tcPr>
            <w:tcW w:w="2374" w:type="dxa"/>
            <w:tcMar>
              <w:left w:w="98" w:type="dxa"/>
            </w:tcMa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rPr>
              <w:t>+55</w:t>
            </w:r>
          </w:p>
        </w:tc>
        <w:tc>
          <w:tcPr>
            <w:tcW w:w="1914" w:type="dxa"/>
            <w:tcMar>
              <w:left w:w="98" w:type="dxa"/>
            </w:tcMa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rPr>
              <w:t>144</w:t>
            </w:r>
          </w:p>
        </w:tc>
        <w:tc>
          <w:tcPr>
            <w:tcW w:w="1915" w:type="dxa"/>
            <w:tcMar>
              <w:left w:w="98" w:type="dxa"/>
            </w:tcMar>
          </w:tcPr>
          <w:p w:rsidR="00534AA2" w:rsidRDefault="00534AA2">
            <w:pPr>
              <w:spacing w:after="0" w:line="240" w:lineRule="auto"/>
              <w:jc w:val="center"/>
              <w:rPr>
                <w:rFonts w:ascii="Times New Roman" w:hAnsi="Times New Roman"/>
                <w:sz w:val="24"/>
                <w:szCs w:val="24"/>
              </w:rPr>
            </w:pPr>
            <w:r>
              <w:rPr>
                <w:rFonts w:ascii="Times New Roman" w:hAnsi="Times New Roman"/>
                <w:sz w:val="24"/>
                <w:szCs w:val="24"/>
              </w:rPr>
              <w:t>89</w:t>
            </w:r>
          </w:p>
        </w:tc>
      </w:tr>
    </w:tbl>
    <w:p w:rsidR="00534AA2" w:rsidRDefault="00534AA2">
      <w:pPr>
        <w:spacing w:after="0" w:line="360" w:lineRule="auto"/>
        <w:ind w:firstLine="709"/>
        <w:jc w:val="both"/>
        <w:rPr>
          <w:rFonts w:ascii="Times New Roman" w:hAnsi="Times New Roman"/>
          <w:sz w:val="24"/>
          <w:szCs w:val="24"/>
          <w:lang w:val="en-US"/>
        </w:rPr>
      </w:pPr>
      <w:r>
        <w:rPr>
          <w:rFonts w:ascii="Times New Roman" w:hAnsi="Times New Roman"/>
          <w:sz w:val="24"/>
          <w:szCs w:val="24"/>
        </w:rPr>
        <w:t xml:space="preserve">Источник: составлено автором по данным: </w:t>
      </w:r>
      <w:r>
        <w:rPr>
          <w:rFonts w:ascii="Times New Roman" w:hAnsi="Times New Roman"/>
          <w:sz w:val="24"/>
          <w:szCs w:val="24"/>
          <w:lang w:val="en-US"/>
        </w:rPr>
        <w:t xml:space="preserve">International Trade Statistics </w:t>
      </w:r>
      <w:r>
        <w:rPr>
          <w:rFonts w:ascii="Times New Roman" w:hAnsi="Times New Roman"/>
          <w:sz w:val="24"/>
          <w:szCs w:val="24"/>
        </w:rPr>
        <w:t xml:space="preserve">2015 </w:t>
      </w:r>
      <w:r>
        <w:rPr>
          <w:rFonts w:ascii="Times New Roman" w:hAnsi="Times New Roman"/>
          <w:sz w:val="24"/>
          <w:szCs w:val="24"/>
          <w:lang w:val="en-US"/>
        </w:rPr>
        <w:t>(</w:t>
      </w:r>
      <w:r>
        <w:rPr>
          <w:rFonts w:ascii="Times New Roman" w:hAnsi="Times New Roman"/>
          <w:sz w:val="24"/>
          <w:szCs w:val="24"/>
        </w:rPr>
        <w:t>https://www.wto.org/english/res_e/statis_e/its2015_e/its2015_e.pdf</w:t>
      </w:r>
      <w:r>
        <w:rPr>
          <w:rFonts w:ascii="Times New Roman" w:hAnsi="Times New Roman"/>
          <w:sz w:val="24"/>
          <w:szCs w:val="24"/>
          <w:lang w:val="en-US"/>
        </w:rPr>
        <w:t>).</w:t>
      </w:r>
    </w:p>
    <w:p w:rsidR="00534AA2" w:rsidRDefault="00534AA2">
      <w:pPr>
        <w:spacing w:after="0" w:line="360" w:lineRule="auto"/>
        <w:ind w:firstLine="709"/>
        <w:jc w:val="both"/>
        <w:rPr>
          <w:rFonts w:ascii="Times New Roman" w:hAnsi="Times New Roman"/>
          <w:sz w:val="24"/>
          <w:szCs w:val="24"/>
        </w:rPr>
      </w:pPr>
    </w:p>
    <w:p w:rsidR="00534AA2" w:rsidRDefault="00534AA2">
      <w:pPr>
        <w:shd w:val="clear" w:color="auto" w:fill="FFFFFF"/>
        <w:spacing w:after="0" w:line="360" w:lineRule="auto"/>
        <w:ind w:firstLine="708"/>
        <w:jc w:val="both"/>
        <w:rPr>
          <w:rFonts w:ascii="Times New Roman" w:hAnsi="Times New Roman"/>
          <w:bCs/>
          <w:sz w:val="24"/>
          <w:szCs w:val="24"/>
        </w:rPr>
      </w:pPr>
      <w:r>
        <w:rPr>
          <w:rFonts w:ascii="Times New Roman" w:hAnsi="Times New Roman"/>
          <w:bCs/>
          <w:sz w:val="24"/>
          <w:szCs w:val="24"/>
        </w:rPr>
        <w:t>Еще в конце 1990-х гг. американский финансист Дж. Сорос предложил модель построения мирового рынка капиталов «центр-периферия», согласно которой центр обеспечивает капитал, а периферия его использует, причем по правилам игры (финансовая либерализация), которые являются выгодными для центра</w:t>
      </w:r>
      <w:r>
        <w:rPr>
          <w:rStyle w:val="a1"/>
          <w:rFonts w:ascii="Times New Roman" w:hAnsi="Times New Roman"/>
          <w:bCs/>
          <w:sz w:val="24"/>
          <w:szCs w:val="24"/>
        </w:rPr>
        <w:footnoteReference w:id="6"/>
      </w:r>
      <w:r>
        <w:rPr>
          <w:rFonts w:ascii="Times New Roman" w:hAnsi="Times New Roman"/>
          <w:bCs/>
          <w:sz w:val="24"/>
          <w:szCs w:val="24"/>
        </w:rPr>
        <w:t>. Центр расположен в Лондоне и Нью-Йорке (а также в подконтрольных англосаксам офшорных юрисдикциях). Как было показано выше, именно там развернулись международные финансовые рынки, которые обслуживают около двух третей глобальных потоков капитала, обеспечивая англосаксонским странам сверхприбыли, что служит причиной дальнейшего увеличения разрыва в доходах между странами центра и странами периферии.</w:t>
      </w:r>
    </w:p>
    <w:p w:rsidR="00534AA2" w:rsidRDefault="00534AA2">
      <w:pPr>
        <w:shd w:val="clear" w:color="auto" w:fill="FFFFFF"/>
        <w:spacing w:after="0" w:line="360" w:lineRule="auto"/>
        <w:ind w:firstLine="708"/>
        <w:jc w:val="both"/>
        <w:rPr>
          <w:rFonts w:ascii="Times New Roman" w:hAnsi="Times New Roman"/>
          <w:sz w:val="24"/>
          <w:szCs w:val="24"/>
        </w:rPr>
      </w:pPr>
      <w:r>
        <w:rPr>
          <w:rFonts w:ascii="Times New Roman" w:hAnsi="Times New Roman"/>
          <w:sz w:val="24"/>
          <w:szCs w:val="24"/>
        </w:rPr>
        <w:t>Принципиальное преимущество центра в обмене финансовыми ресурсами с периферией заключаются в существовании дифференциала процентных ставок. В данной связи профессор экономики Калифорнийского университета в Беркли Б. Эйхенгрин отмечает: «проценты, которые США вынуждены выплачивать по своим зарубежным обязательствам, оказываются на 2–3 процентных пункта ниже нормы прибыли от иностранных инвестиций Соединенных Штатов. США годами могут жить с внешнеторговым дефицитом, соответствующим величине этой разницы, импортируя больше, чем экспортируя, и потребляя больше, чем производя, но при этом не накапливая своей задолженности перед остальным миром. Или же они могут обирать зарубежные компании на эту сумму – и все благодаря уникальному статусу доллара как мировой валюты»</w:t>
      </w:r>
      <w:r>
        <w:rPr>
          <w:rStyle w:val="a1"/>
          <w:rFonts w:ascii="Times New Roman" w:hAnsi="Times New Roman"/>
          <w:sz w:val="24"/>
          <w:szCs w:val="24"/>
        </w:rPr>
        <w:footnoteReference w:id="7"/>
      </w:r>
      <w:r>
        <w:rPr>
          <w:rFonts w:ascii="Times New Roman" w:hAnsi="Times New Roman"/>
          <w:sz w:val="24"/>
          <w:szCs w:val="24"/>
        </w:rPr>
        <w:t xml:space="preserve">. </w:t>
      </w:r>
    </w:p>
    <w:p w:rsidR="00534AA2" w:rsidRDefault="00534AA2">
      <w:pPr>
        <w:spacing w:after="0" w:line="360" w:lineRule="auto"/>
        <w:ind w:firstLine="709"/>
        <w:jc w:val="both"/>
        <w:rPr>
          <w:rFonts w:ascii="Times New Roman" w:hAnsi="Times New Roman"/>
          <w:sz w:val="24"/>
          <w:szCs w:val="24"/>
        </w:rPr>
      </w:pPr>
      <w:r>
        <w:rPr>
          <w:rFonts w:ascii="Times New Roman" w:hAnsi="Times New Roman"/>
          <w:sz w:val="24"/>
          <w:szCs w:val="24"/>
        </w:rPr>
        <w:t xml:space="preserve">Следует подчеркнуть, что, начиная с 2009 г. Россия имеет положительную чистую международную инвестиционную позицию (превышение внешних активов над зарубежными обязательствами), т.е. выступает чистым кредитором международной финансовой системы. При этом чистый инвестиционный доход России является хронически негативным, что связано, прежде всего, с существованием указанного дифференциала процентных ставок (рис. 3). </w:t>
      </w:r>
    </w:p>
    <w:p w:rsidR="00534AA2" w:rsidRDefault="00534AA2">
      <w:pPr>
        <w:spacing w:after="0" w:line="360" w:lineRule="auto"/>
        <w:jc w:val="center"/>
        <w:rPr>
          <w:rFonts w:ascii="Times New Roman" w:hAnsi="Times New Roman"/>
          <w:sz w:val="24"/>
          <w:szCs w:val="24"/>
        </w:rPr>
      </w:pPr>
      <w:r w:rsidRPr="00674750">
        <w:rPr>
          <w:noProof/>
          <w:lang w:eastAsia="ru-RU"/>
        </w:rPr>
        <w:pict>
          <v:shape id="Рисунок 25" o:spid="_x0000_i1027" type="#_x0000_t75" style="width:346pt;height:203.5pt;visibility:visible">
            <v:imagedata r:id="rId9" o:title=""/>
          </v:shape>
        </w:pict>
      </w:r>
    </w:p>
    <w:p w:rsidR="00534AA2" w:rsidRDefault="00534AA2">
      <w:pPr>
        <w:spacing w:after="0" w:line="360" w:lineRule="auto"/>
        <w:jc w:val="center"/>
      </w:pPr>
      <w:r>
        <w:rPr>
          <w:rFonts w:ascii="Times New Roman" w:hAnsi="Times New Roman"/>
          <w:b/>
          <w:sz w:val="24"/>
          <w:szCs w:val="24"/>
        </w:rPr>
        <w:t xml:space="preserve">Рисунок 3. Международная инвестиционная позиция и чистый инвестиционный доход РФ, млрд. долл. </w:t>
      </w:r>
      <w:r>
        <w:rPr>
          <w:rFonts w:ascii="Times New Roman" w:hAnsi="Times New Roman"/>
          <w:sz w:val="24"/>
          <w:szCs w:val="24"/>
        </w:rPr>
        <w:t>Источник: составлено авторам по данным:</w:t>
      </w:r>
      <w:r>
        <w:t xml:space="preserve"> </w:t>
      </w:r>
      <w:r>
        <w:rPr>
          <w:rFonts w:ascii="Times New Roman" w:hAnsi="Times New Roman"/>
          <w:sz w:val="24"/>
          <w:szCs w:val="24"/>
        </w:rPr>
        <w:t>http://www.cbr.ru/</w:t>
      </w:r>
    </w:p>
    <w:p w:rsidR="00534AA2" w:rsidRDefault="00534AA2">
      <w:pPr>
        <w:shd w:val="clear" w:color="auto" w:fill="FFFFFF"/>
        <w:spacing w:after="0" w:line="360" w:lineRule="auto"/>
        <w:ind w:firstLine="709"/>
        <w:jc w:val="both"/>
        <w:rPr>
          <w:rFonts w:ascii="Times New Roman" w:hAnsi="Times New Roman"/>
          <w:sz w:val="24"/>
          <w:szCs w:val="24"/>
        </w:rPr>
      </w:pPr>
    </w:p>
    <w:p w:rsidR="00534AA2" w:rsidRDefault="00534AA2">
      <w:pPr>
        <w:shd w:val="clear" w:color="auto" w:fill="FFFFFF"/>
        <w:spacing w:after="0" w:line="360" w:lineRule="auto"/>
        <w:ind w:firstLine="709"/>
        <w:jc w:val="both"/>
        <w:rPr>
          <w:rFonts w:ascii="Times New Roman" w:hAnsi="Times New Roman"/>
          <w:sz w:val="24"/>
          <w:szCs w:val="24"/>
        </w:rPr>
      </w:pPr>
      <w:r>
        <w:rPr>
          <w:rFonts w:ascii="Times New Roman" w:hAnsi="Times New Roman"/>
          <w:sz w:val="24"/>
          <w:szCs w:val="24"/>
        </w:rPr>
        <w:t xml:space="preserve">Механизм поддержания дифференциала процентных ставок на международном финансовом рынке обеспечивается благодаря деятельности подконтрольных США рейтинговых агентств: «Стандарт энд Пурс» </w:t>
      </w:r>
      <w:r>
        <w:rPr>
          <w:rFonts w:ascii="Times New Roman" w:hAnsi="Times New Roman"/>
          <w:i/>
          <w:sz w:val="24"/>
          <w:szCs w:val="24"/>
        </w:rPr>
        <w:t>(Standard and Poor’s)</w:t>
      </w:r>
      <w:r>
        <w:rPr>
          <w:rFonts w:ascii="Times New Roman" w:hAnsi="Times New Roman"/>
          <w:sz w:val="24"/>
          <w:szCs w:val="24"/>
        </w:rPr>
        <w:t xml:space="preserve"> – дочернее предприятие издательского дома «МакГроу-Хилл» </w:t>
      </w:r>
      <w:r>
        <w:rPr>
          <w:rFonts w:ascii="Times New Roman" w:hAnsi="Times New Roman"/>
          <w:i/>
          <w:sz w:val="24"/>
          <w:szCs w:val="24"/>
        </w:rPr>
        <w:t>(McGraw-Hill)</w:t>
      </w:r>
      <w:r>
        <w:rPr>
          <w:rFonts w:ascii="Times New Roman" w:hAnsi="Times New Roman"/>
          <w:sz w:val="24"/>
          <w:szCs w:val="24"/>
        </w:rPr>
        <w:t xml:space="preserve">; «Фитч Рейтингз» </w:t>
      </w:r>
      <w:r>
        <w:rPr>
          <w:rFonts w:ascii="Times New Roman" w:hAnsi="Times New Roman"/>
          <w:i/>
          <w:sz w:val="24"/>
          <w:szCs w:val="24"/>
        </w:rPr>
        <w:t>(Fitch Ratings)</w:t>
      </w:r>
      <w:r>
        <w:rPr>
          <w:rFonts w:ascii="Times New Roman" w:hAnsi="Times New Roman"/>
          <w:sz w:val="24"/>
          <w:szCs w:val="24"/>
        </w:rPr>
        <w:t xml:space="preserve"> – дочернее предприятие инвестиционной компании «Фималак» </w:t>
      </w:r>
      <w:r>
        <w:rPr>
          <w:rFonts w:ascii="Times New Roman" w:hAnsi="Times New Roman"/>
          <w:i/>
          <w:sz w:val="24"/>
          <w:szCs w:val="24"/>
        </w:rPr>
        <w:t>(Fimalac)</w:t>
      </w:r>
      <w:r>
        <w:rPr>
          <w:rFonts w:ascii="Times New Roman" w:hAnsi="Times New Roman"/>
          <w:sz w:val="24"/>
          <w:szCs w:val="24"/>
        </w:rPr>
        <w:t xml:space="preserve"> (ее единственным акционером и председателем правления выступает миллиардер, член Бильдербергского клуба Марк Лэчэрир); «Мудиз» </w:t>
      </w:r>
      <w:r>
        <w:rPr>
          <w:rFonts w:ascii="Times New Roman" w:hAnsi="Times New Roman"/>
          <w:i/>
          <w:sz w:val="24"/>
          <w:szCs w:val="24"/>
        </w:rPr>
        <w:t>(Moody’s),</w:t>
      </w:r>
      <w:r>
        <w:rPr>
          <w:rFonts w:ascii="Times New Roman" w:hAnsi="Times New Roman"/>
          <w:sz w:val="24"/>
          <w:szCs w:val="24"/>
        </w:rPr>
        <w:t xml:space="preserve"> 12,72% капитала которого контролируется инвестиционной компанией «Бэркшир Хэтэвэй» </w:t>
      </w:r>
      <w:r>
        <w:rPr>
          <w:rFonts w:ascii="Times New Roman" w:hAnsi="Times New Roman"/>
          <w:i/>
          <w:sz w:val="24"/>
          <w:szCs w:val="24"/>
        </w:rPr>
        <w:t>(Berkshire Hateway)</w:t>
      </w:r>
      <w:r>
        <w:rPr>
          <w:rFonts w:ascii="Times New Roman" w:hAnsi="Times New Roman"/>
          <w:sz w:val="24"/>
          <w:szCs w:val="24"/>
        </w:rPr>
        <w:t xml:space="preserve">, главным совладельцем и председателем совета директоров которой является американец Уорен Баффет – по версии журнала «Форбс» </w:t>
      </w:r>
      <w:r>
        <w:rPr>
          <w:rFonts w:ascii="Times New Roman" w:hAnsi="Times New Roman"/>
          <w:i/>
          <w:sz w:val="24"/>
          <w:szCs w:val="24"/>
        </w:rPr>
        <w:t>(Forbes)</w:t>
      </w:r>
      <w:r>
        <w:rPr>
          <w:rFonts w:ascii="Times New Roman" w:hAnsi="Times New Roman"/>
          <w:sz w:val="24"/>
          <w:szCs w:val="24"/>
        </w:rPr>
        <w:t xml:space="preserve"> второй самый богатый житель США (рис. 4). </w:t>
      </w:r>
    </w:p>
    <w:p w:rsidR="00534AA2" w:rsidRDefault="00534AA2">
      <w:pPr>
        <w:shd w:val="clear" w:color="auto" w:fill="FFFFFF"/>
        <w:spacing w:after="0" w:line="360" w:lineRule="auto"/>
        <w:ind w:firstLine="709"/>
        <w:jc w:val="center"/>
        <w:rPr>
          <w:rFonts w:ascii="Times New Roman" w:hAnsi="Times New Roman"/>
          <w:sz w:val="24"/>
          <w:szCs w:val="24"/>
        </w:rPr>
      </w:pPr>
      <w:r w:rsidRPr="00674750">
        <w:rPr>
          <w:noProof/>
          <w:lang w:eastAsia="ru-RU"/>
        </w:rPr>
        <w:pict>
          <v:shape id="Объект 1" o:spid="_x0000_i1028" type="#_x0000_t75" style="width:248.5pt;height:184.5pt;visibility:visible">
            <v:imagedata r:id="rId10" o:title=""/>
          </v:shape>
        </w:pict>
      </w:r>
    </w:p>
    <w:p w:rsidR="00534AA2" w:rsidRDefault="00534AA2">
      <w:pPr>
        <w:shd w:val="clear" w:color="auto" w:fill="FFFFFF"/>
        <w:spacing w:after="0" w:line="360" w:lineRule="auto"/>
        <w:ind w:firstLine="709"/>
        <w:jc w:val="center"/>
      </w:pPr>
      <w:r>
        <w:rPr>
          <w:rFonts w:ascii="Times New Roman" w:hAnsi="Times New Roman"/>
          <w:b/>
          <w:sz w:val="24"/>
          <w:szCs w:val="24"/>
        </w:rPr>
        <w:t xml:space="preserve">Рисунок 4. Корпоративные связи рейтинговых агентств. </w:t>
      </w:r>
      <w:r>
        <w:rPr>
          <w:rFonts w:ascii="Times New Roman" w:hAnsi="Times New Roman"/>
          <w:sz w:val="24"/>
          <w:szCs w:val="24"/>
        </w:rPr>
        <w:t>Источник</w:t>
      </w:r>
      <w:r>
        <w:rPr>
          <w:rFonts w:ascii="Times New Roman" w:hAnsi="Times New Roman"/>
          <w:sz w:val="24"/>
          <w:szCs w:val="24"/>
          <w:lang w:val="en-US"/>
        </w:rPr>
        <w:t xml:space="preserve">: </w:t>
      </w:r>
      <w:r>
        <w:rPr>
          <w:rFonts w:ascii="Times New Roman" w:hAnsi="Times New Roman"/>
          <w:sz w:val="24"/>
          <w:szCs w:val="24"/>
        </w:rPr>
        <w:t xml:space="preserve">составлено автором по данным </w:t>
      </w:r>
      <w:r>
        <w:rPr>
          <w:rFonts w:ascii="Times New Roman" w:hAnsi="Times New Roman"/>
          <w:sz w:val="24"/>
          <w:szCs w:val="24"/>
          <w:lang w:val="en-US"/>
        </w:rPr>
        <w:t>McGraw Hill, Berkshire Hathaway, Fimalac.</w:t>
      </w:r>
    </w:p>
    <w:p w:rsidR="00534AA2" w:rsidRDefault="00534AA2">
      <w:pPr>
        <w:shd w:val="clear" w:color="auto" w:fill="FFFFFF"/>
        <w:spacing w:after="0" w:line="360" w:lineRule="auto"/>
        <w:ind w:firstLine="709"/>
        <w:jc w:val="both"/>
        <w:rPr>
          <w:rFonts w:ascii="Times New Roman" w:hAnsi="Times New Roman"/>
          <w:sz w:val="24"/>
          <w:szCs w:val="24"/>
        </w:rPr>
      </w:pPr>
    </w:p>
    <w:p w:rsidR="00534AA2" w:rsidRDefault="00534AA2">
      <w:pPr>
        <w:shd w:val="clear" w:color="auto" w:fill="FFFFFF"/>
        <w:spacing w:after="0" w:line="360" w:lineRule="auto"/>
        <w:ind w:firstLine="709"/>
        <w:jc w:val="both"/>
        <w:rPr>
          <w:rFonts w:ascii="Times New Roman" w:hAnsi="Times New Roman"/>
          <w:sz w:val="24"/>
          <w:szCs w:val="24"/>
        </w:rPr>
      </w:pPr>
      <w:r>
        <w:rPr>
          <w:rFonts w:ascii="Times New Roman" w:hAnsi="Times New Roman"/>
          <w:sz w:val="24"/>
          <w:szCs w:val="24"/>
        </w:rPr>
        <w:t xml:space="preserve">Авторы фундаментального исследования «Рукотворный финансовый кризис» Д. Фридмен и В. Краус так определяют особый статус рейтинговых агентств: «Неразбериха норм регулирования федерального уровня и уровня штатов, восходящая к 1936 г., к концу </w:t>
      </w:r>
      <w:r>
        <w:rPr>
          <w:rFonts w:ascii="Times New Roman" w:hAnsi="Times New Roman"/>
          <w:sz w:val="24"/>
          <w:szCs w:val="24"/>
          <w:lang w:val="en-US"/>
        </w:rPr>
        <w:t>XX</w:t>
      </w:r>
      <w:r>
        <w:rPr>
          <w:rFonts w:ascii="Times New Roman" w:hAnsi="Times New Roman"/>
          <w:sz w:val="24"/>
          <w:szCs w:val="24"/>
        </w:rPr>
        <w:t xml:space="preserve"> в. наделила три так называемых агентства (</w:t>
      </w:r>
      <w:r>
        <w:rPr>
          <w:rFonts w:ascii="Times New Roman" w:hAnsi="Times New Roman"/>
          <w:sz w:val="24"/>
          <w:szCs w:val="24"/>
          <w:lang w:val="en-US"/>
        </w:rPr>
        <w:t>Moody</w:t>
      </w:r>
      <w:r>
        <w:rPr>
          <w:rFonts w:ascii="Times New Roman" w:hAnsi="Times New Roman"/>
          <w:sz w:val="24"/>
          <w:szCs w:val="24"/>
        </w:rPr>
        <w:t>’</w:t>
      </w:r>
      <w:r>
        <w:rPr>
          <w:rFonts w:ascii="Times New Roman" w:hAnsi="Times New Roman"/>
          <w:sz w:val="24"/>
          <w:szCs w:val="24"/>
          <w:lang w:val="en-US"/>
        </w:rPr>
        <w:t>s</w:t>
      </w:r>
      <w:r>
        <w:rPr>
          <w:rFonts w:ascii="Times New Roman" w:hAnsi="Times New Roman"/>
          <w:sz w:val="24"/>
          <w:szCs w:val="24"/>
        </w:rPr>
        <w:t xml:space="preserve">, </w:t>
      </w:r>
      <w:r>
        <w:rPr>
          <w:rFonts w:ascii="Times New Roman" w:hAnsi="Times New Roman"/>
          <w:sz w:val="24"/>
          <w:szCs w:val="24"/>
          <w:lang w:val="en-US"/>
        </w:rPr>
        <w:t>S</w:t>
      </w:r>
      <w:r>
        <w:rPr>
          <w:rFonts w:ascii="Times New Roman" w:hAnsi="Times New Roman"/>
          <w:sz w:val="24"/>
          <w:szCs w:val="24"/>
        </w:rPr>
        <w:t>&amp;</w:t>
      </w:r>
      <w:r>
        <w:rPr>
          <w:rFonts w:ascii="Times New Roman" w:hAnsi="Times New Roman"/>
          <w:sz w:val="24"/>
          <w:szCs w:val="24"/>
          <w:lang w:val="en-US"/>
        </w:rPr>
        <w:t>P</w:t>
      </w:r>
      <w:r>
        <w:rPr>
          <w:rFonts w:ascii="Times New Roman" w:hAnsi="Times New Roman"/>
          <w:sz w:val="24"/>
          <w:szCs w:val="24"/>
        </w:rPr>
        <w:t xml:space="preserve"> и </w:t>
      </w:r>
      <w:r>
        <w:rPr>
          <w:rFonts w:ascii="Times New Roman" w:hAnsi="Times New Roman"/>
          <w:sz w:val="24"/>
          <w:szCs w:val="24"/>
          <w:lang w:val="en-US"/>
        </w:rPr>
        <w:t>Fitch</w:t>
      </w:r>
      <w:r>
        <w:rPr>
          <w:rFonts w:ascii="Times New Roman" w:hAnsi="Times New Roman"/>
          <w:sz w:val="24"/>
          <w:szCs w:val="24"/>
        </w:rPr>
        <w:t>), которые на самом деле являются частными компаниями, огромными привилегиями, которые превратили их в неофициальные правительственные органы федерального уровня и уровня штатов»</w:t>
      </w:r>
      <w:r>
        <w:rPr>
          <w:rStyle w:val="a1"/>
          <w:rFonts w:ascii="Times New Roman" w:hAnsi="Times New Roman"/>
          <w:sz w:val="24"/>
          <w:szCs w:val="24"/>
        </w:rPr>
        <w:footnoteReference w:id="8"/>
      </w:r>
      <w:r>
        <w:rPr>
          <w:rFonts w:ascii="Times New Roman" w:hAnsi="Times New Roman"/>
          <w:sz w:val="24"/>
          <w:szCs w:val="24"/>
        </w:rPr>
        <w:t xml:space="preserve">. </w:t>
      </w:r>
    </w:p>
    <w:p w:rsidR="00534AA2" w:rsidRDefault="00534AA2">
      <w:pPr>
        <w:spacing w:after="0" w:line="360" w:lineRule="auto"/>
        <w:ind w:firstLine="709"/>
        <w:jc w:val="both"/>
        <w:rPr>
          <w:rFonts w:ascii="Times New Roman" w:hAnsi="Times New Roman"/>
          <w:sz w:val="24"/>
          <w:szCs w:val="24"/>
        </w:rPr>
      </w:pPr>
      <w:r>
        <w:rPr>
          <w:rFonts w:ascii="Times New Roman" w:hAnsi="Times New Roman"/>
          <w:sz w:val="24"/>
          <w:szCs w:val="24"/>
        </w:rPr>
        <w:t xml:space="preserve">В 1975 г. Комиссия по ценным бумагам и биржам (SEC) предоставила этим трем рейтинговым агентствам специальный статус «статистических рейтинговых организаций, официально признанных на уровне страны» и постановила, что рейтинги только этих трех организаций будут использоваться для выполнения многочисленных обязательных условий, необходимых для присвоения облигациям рейтинга инвестиционной категории и более высоких уровней кредитной надежности. Тем самым SEC санкционировала установление фактической олигополии на данном рынке. </w:t>
      </w:r>
    </w:p>
    <w:p w:rsidR="00534AA2" w:rsidRDefault="00534AA2">
      <w:pPr>
        <w:spacing w:after="0" w:line="360" w:lineRule="auto"/>
        <w:ind w:firstLine="708"/>
        <w:jc w:val="both"/>
        <w:rPr>
          <w:rFonts w:ascii="Times New Roman" w:hAnsi="Times New Roman"/>
          <w:sz w:val="24"/>
          <w:szCs w:val="24"/>
        </w:rPr>
      </w:pPr>
      <w:r>
        <w:rPr>
          <w:rFonts w:ascii="Times New Roman" w:hAnsi="Times New Roman"/>
          <w:sz w:val="24"/>
          <w:szCs w:val="24"/>
        </w:rPr>
        <w:t xml:space="preserve">В ходе следующих этапов регулирования рынка ценных бумаг институциональным инвесторам, таким как страховые компании и пенсионные фонды, было запрещено приобретать в свои инвестиционные портфели облигации, которые не получили бы «инвестиционного рейтинга», то есть рейтинг BBB – и выше. Далее, в 2004 г. положениями Базель II было предписано, что облигациям, обеспеченных ликвидными активами (ABS), которые находятся в портфеле банка и не предназначены для продажи, должны быть присвоены рейтинги двух из трех вышеуказанных агентств. Таким образом, каждому рейтинговому агентству на законодательном уровне практически обеспечивались гарантии получения дохода от присвоения рейтингов, который не зависел от качества используемых методик расчета рейтингов и не создавал необходимых стимулов для совершенствования данных методов с целью повышения точности рейтингования. Следовательно, доходность рейтинговых агентств зависела исключительно от покровительства государства, а допускаемые ошибки не имели для этих агентств никаких финансовых последствий и не представляли угрозы потери рынка. </w:t>
      </w:r>
    </w:p>
    <w:p w:rsidR="00534AA2" w:rsidRDefault="00534AA2">
      <w:pPr>
        <w:shd w:val="clear" w:color="auto" w:fill="FFFFFF"/>
        <w:spacing w:after="0" w:line="360" w:lineRule="auto"/>
        <w:ind w:firstLine="709"/>
        <w:jc w:val="both"/>
        <w:rPr>
          <w:rFonts w:ascii="Times New Roman" w:hAnsi="Times New Roman"/>
          <w:sz w:val="24"/>
          <w:szCs w:val="24"/>
        </w:rPr>
      </w:pPr>
      <w:r>
        <w:rPr>
          <w:rFonts w:ascii="Times New Roman" w:hAnsi="Times New Roman"/>
          <w:sz w:val="24"/>
          <w:szCs w:val="24"/>
        </w:rPr>
        <w:t>Сегодня практически ни одно суверенное государство, ни одна компания не может получить доступ к международным рынкам капитала без получения рейтингов от вышеупомянутых агентств, на которые приходится 95% мировых кредитных рейтингов</w:t>
      </w:r>
      <w:r>
        <w:rPr>
          <w:rStyle w:val="a1"/>
          <w:rFonts w:ascii="Times New Roman" w:hAnsi="Times New Roman"/>
          <w:sz w:val="24"/>
          <w:szCs w:val="24"/>
        </w:rPr>
        <w:footnoteReference w:id="9"/>
      </w:r>
      <w:r>
        <w:rPr>
          <w:rFonts w:ascii="Times New Roman" w:hAnsi="Times New Roman"/>
          <w:sz w:val="24"/>
          <w:szCs w:val="24"/>
        </w:rPr>
        <w:t xml:space="preserve">. Именно эти три рейтинговых агентства поддерживают глобальную систему неэквивалентного распределения финансовых ресурсов, вынуждая развивающиеся и постсоциалистические страны платить по своим внешним займам гораздо более высокую процентную ставку, чем ее платят развитые страны. </w:t>
      </w:r>
    </w:p>
    <w:p w:rsidR="00534AA2" w:rsidRDefault="00534AA2">
      <w:pPr>
        <w:shd w:val="clear" w:color="auto" w:fill="FFFFFF"/>
        <w:spacing w:after="0" w:line="360" w:lineRule="auto"/>
        <w:ind w:firstLine="709"/>
        <w:jc w:val="both"/>
        <w:rPr>
          <w:rFonts w:ascii="Times New Roman" w:hAnsi="Times New Roman"/>
          <w:sz w:val="24"/>
          <w:szCs w:val="24"/>
        </w:rPr>
      </w:pPr>
      <w:r>
        <w:rPr>
          <w:rFonts w:ascii="Times New Roman" w:hAnsi="Times New Roman"/>
          <w:sz w:val="24"/>
          <w:szCs w:val="24"/>
        </w:rPr>
        <w:t xml:space="preserve">В январе и феврале 2015 г. агентства Standard &amp; Poor’s и </w:t>
      </w:r>
      <w:r>
        <w:rPr>
          <w:rFonts w:ascii="Times New Roman" w:hAnsi="Times New Roman"/>
          <w:sz w:val="24"/>
          <w:szCs w:val="24"/>
          <w:lang w:val="en-US"/>
        </w:rPr>
        <w:t>Moody’s</w:t>
      </w:r>
      <w:r>
        <w:rPr>
          <w:rFonts w:ascii="Times New Roman" w:hAnsi="Times New Roman"/>
          <w:sz w:val="24"/>
          <w:szCs w:val="24"/>
        </w:rPr>
        <w:t xml:space="preserve"> снизили кредитный суверенный рейтинг России до спекулятивного уровня. Вот как прокомментировал это событие академик РАН С.Глазьев: «Руководство США ведет с Россией войну. Финансовый рынок пока является главным театром военных действий. На нем мы несем большие потери. В прошлом году потеряли полтораста миллиардов долларов вывезенного капитала. Снижение кредитного рейтинга – это еще один удар, ориентированный на нанесение ущерба российской финансовой системе»</w:t>
      </w:r>
      <w:r>
        <w:rPr>
          <w:rStyle w:val="FootnoteReference"/>
          <w:rFonts w:ascii="Times New Roman" w:hAnsi="Times New Roman"/>
          <w:sz w:val="24"/>
          <w:szCs w:val="24"/>
        </w:rPr>
        <w:t xml:space="preserve"> </w:t>
      </w:r>
      <w:r>
        <w:rPr>
          <w:rStyle w:val="a1"/>
          <w:rFonts w:ascii="Times New Roman" w:hAnsi="Times New Roman"/>
          <w:sz w:val="24"/>
          <w:szCs w:val="24"/>
        </w:rPr>
        <w:footnoteReference w:id="10"/>
      </w:r>
      <w:r>
        <w:rPr>
          <w:rFonts w:ascii="Times New Roman" w:hAnsi="Times New Roman"/>
          <w:sz w:val="24"/>
          <w:szCs w:val="24"/>
        </w:rPr>
        <w:t>.</w:t>
      </w:r>
    </w:p>
    <w:p w:rsidR="00534AA2" w:rsidRDefault="00534AA2">
      <w:pPr>
        <w:spacing w:after="0" w:line="360" w:lineRule="auto"/>
        <w:ind w:firstLine="709"/>
        <w:jc w:val="both"/>
        <w:rPr>
          <w:rFonts w:ascii="Times New Roman" w:hAnsi="Times New Roman"/>
          <w:sz w:val="24"/>
          <w:szCs w:val="24"/>
        </w:rPr>
      </w:pPr>
      <w:r>
        <w:rPr>
          <w:rFonts w:ascii="Times New Roman" w:hAnsi="Times New Roman"/>
          <w:sz w:val="24"/>
          <w:szCs w:val="24"/>
        </w:rPr>
        <w:t>Данная ситуация останется неразрешимой до тех пор, пока Россия будет инвестировать свои финансовые ресурсы в долларовые, а не рублевые активы, а также соглашаться на более высокую норму прибыли по своим внешним обязательствам, чем по своим внешним активам. Для разрешения данной зависимости России необходимо формировать рынок финансовых инструментов, номинированных в рублях, восстанавливать суверенитет в денежно-кредитной сфере, снижая ключевую ставку Центробанка до уровня ставок, действующих в центре глобальной финансовой системы</w:t>
      </w:r>
      <w:r>
        <w:rPr>
          <w:rStyle w:val="a1"/>
          <w:rFonts w:ascii="Times New Roman" w:hAnsi="Times New Roman"/>
          <w:sz w:val="24"/>
          <w:szCs w:val="24"/>
        </w:rPr>
        <w:footnoteReference w:id="11"/>
      </w:r>
      <w:r>
        <w:rPr>
          <w:rFonts w:ascii="Times New Roman" w:hAnsi="Times New Roman"/>
          <w:sz w:val="24"/>
          <w:szCs w:val="24"/>
        </w:rPr>
        <w:t>.</w:t>
      </w:r>
    </w:p>
    <w:p w:rsidR="00534AA2" w:rsidRDefault="00534AA2">
      <w:pPr>
        <w:shd w:val="clear" w:color="auto" w:fill="FFFFFF"/>
        <w:spacing w:after="0" w:line="360" w:lineRule="auto"/>
        <w:ind w:firstLine="709"/>
        <w:jc w:val="both"/>
      </w:pPr>
      <w:r>
        <w:rPr>
          <w:rFonts w:ascii="Times New Roman" w:hAnsi="Times New Roman"/>
          <w:b/>
          <w:sz w:val="24"/>
          <w:szCs w:val="24"/>
        </w:rPr>
        <w:t>Выводы</w:t>
      </w:r>
    </w:p>
    <w:p w:rsidR="00534AA2" w:rsidRDefault="00534AA2">
      <w:pPr>
        <w:spacing w:after="0" w:line="360" w:lineRule="auto"/>
        <w:ind w:firstLine="709"/>
        <w:jc w:val="both"/>
      </w:pPr>
      <w:r>
        <w:rPr>
          <w:rFonts w:ascii="Times New Roman" w:hAnsi="Times New Roman"/>
          <w:sz w:val="24"/>
          <w:szCs w:val="24"/>
        </w:rPr>
        <w:t>Текущий период социально-экономической неустойчивости России связан, главным образом, с её вовлечением в глобальную финансовую систему без создания адекватных перекосам этой системы балансирующих стабилизаторов. Речь идёт, прежде всего, об отсутствии спроса на мировых финансовых рынках на российские финансовые инструменты адекватного её экономико-сырьевому потенциалу.</w:t>
      </w:r>
    </w:p>
    <w:p w:rsidR="00534AA2" w:rsidRDefault="00534AA2">
      <w:pPr>
        <w:spacing w:after="0" w:line="360" w:lineRule="auto"/>
        <w:ind w:firstLine="709"/>
        <w:jc w:val="both"/>
        <w:rPr>
          <w:rFonts w:ascii="Times New Roman" w:hAnsi="Times New Roman"/>
          <w:sz w:val="24"/>
          <w:szCs w:val="24"/>
        </w:rPr>
      </w:pPr>
      <w:r>
        <w:rPr>
          <w:rFonts w:ascii="Times New Roman" w:hAnsi="Times New Roman"/>
          <w:sz w:val="24"/>
          <w:szCs w:val="24"/>
        </w:rPr>
        <w:t>Риски сохранения национального финансового суверенитета в ходе полномасштабного развёртывания процессов финансовой глобализации непосредственно связаны с доминированием доллара в качестве ключевой международной резервной валюты. Накопление развивающимися странами значительных валютных резервов не разрешает вопроса регулирования валютных курсов и глобальных торговых дисбалансов, поскольку основным резервным активом выступают облигации стран, являющихся эмитентами ключевых резервных валют, прежде всего доллара США. Сегодня эти резервы являются «мёртвыми активами», поскольку у развитых стран исчерпаны сферы для их продуктивного размещения. Это актуализирует вопрос, связанный с реформированием глобальной финансовой системы.</w:t>
      </w:r>
    </w:p>
    <w:p w:rsidR="00534AA2" w:rsidRDefault="00534AA2">
      <w:pPr>
        <w:spacing w:after="0" w:line="360" w:lineRule="auto"/>
        <w:ind w:firstLine="709"/>
        <w:jc w:val="both"/>
        <w:rPr>
          <w:rFonts w:ascii="Times New Roman" w:hAnsi="Times New Roman"/>
          <w:sz w:val="24"/>
          <w:szCs w:val="24"/>
        </w:rPr>
      </w:pPr>
      <w:r>
        <w:rPr>
          <w:rFonts w:ascii="Times New Roman" w:hAnsi="Times New Roman"/>
          <w:sz w:val="24"/>
          <w:szCs w:val="24"/>
        </w:rPr>
        <w:t>Однако решение проблемы глобальных дисбалансов за счёт создания новых резервных валют видится в настоящее время достаточно сложным процессом, поскольку страны «большой семёрки» вряд ли готовы лишиться своего главного козыря в рамках финансовой глобализации – контроля над глобальными финансовыми потоками, который осуществляется с помощью резервных валют и кредитных механизмов МВФ</w:t>
      </w:r>
      <w:r>
        <w:rPr>
          <w:rStyle w:val="a1"/>
          <w:rFonts w:ascii="Times New Roman" w:hAnsi="Times New Roman"/>
          <w:sz w:val="24"/>
          <w:szCs w:val="24"/>
        </w:rPr>
        <w:footnoteReference w:id="12"/>
      </w:r>
      <w:r>
        <w:rPr>
          <w:rFonts w:ascii="Times New Roman" w:hAnsi="Times New Roman"/>
          <w:sz w:val="24"/>
          <w:szCs w:val="24"/>
        </w:rPr>
        <w:t xml:space="preserve">. </w:t>
      </w:r>
    </w:p>
    <w:p w:rsidR="00534AA2" w:rsidRDefault="00534AA2">
      <w:pPr>
        <w:shd w:val="clear" w:color="auto" w:fill="FFFFFF"/>
        <w:spacing w:after="0" w:line="360" w:lineRule="auto"/>
        <w:ind w:firstLine="708"/>
        <w:jc w:val="both"/>
        <w:rPr>
          <w:rFonts w:ascii="Times New Roman" w:hAnsi="Times New Roman"/>
          <w:sz w:val="24"/>
          <w:szCs w:val="24"/>
        </w:rPr>
      </w:pPr>
      <w:r>
        <w:rPr>
          <w:rFonts w:ascii="Times New Roman" w:hAnsi="Times New Roman"/>
          <w:sz w:val="24"/>
          <w:szCs w:val="24"/>
        </w:rPr>
        <w:t xml:space="preserve">На данном этапе необходимо более тщательное изучение структуры и механизмов управления глобальными финансовыми потоками вместе с организацией углубленного анализа международной инвестиционной позиции России. </w:t>
      </w:r>
    </w:p>
    <w:p w:rsidR="00534AA2" w:rsidRDefault="00534AA2">
      <w:pPr>
        <w:shd w:val="clear" w:color="auto" w:fill="FFFFFF"/>
        <w:spacing w:after="0" w:line="360" w:lineRule="auto"/>
        <w:ind w:firstLine="708"/>
        <w:jc w:val="both"/>
      </w:pPr>
      <w:r>
        <w:rPr>
          <w:rFonts w:ascii="Times New Roman" w:hAnsi="Times New Roman"/>
          <w:sz w:val="24"/>
          <w:szCs w:val="24"/>
        </w:rPr>
        <w:t>Фактором повышения эффективности интеграции России в глобальную финансовую систему должна стать ключевая роль России в формировании конкурентоспособных региональных финансовых рынков Евразийского экономического союза с учетом опыта США (в развитии национальных финансовых рынков) и опыта Великобритании (в глобальном финансовом посредничестве).</w:t>
      </w:r>
      <w:r>
        <w:rPr>
          <w:rFonts w:ascii="Times New Roman" w:hAnsi="Times New Roman"/>
          <w:sz w:val="24"/>
          <w:szCs w:val="24"/>
          <w:lang w:val="en-US"/>
        </w:rPr>
        <w:t xml:space="preserve"> </w:t>
      </w:r>
      <w:r>
        <w:rPr>
          <w:rFonts w:ascii="Times New Roman" w:hAnsi="Times New Roman"/>
          <w:sz w:val="24"/>
          <w:szCs w:val="24"/>
        </w:rPr>
        <w:t xml:space="preserve">Несмотря на обострение геополитического противостояния между Россией и США на современном этапе, опыт последних в отстаивании своего политического, экономического и финансового суверенитета является крайне поучительным. История политической интеграции США гораздо более подходит для изучения и сопоставления России, чем опыт интеграции ЕС, как с точки зрения размера территории, административно-территориального устройства, так и тех мобилизационных рывков, которые позволили США в </w:t>
      </w:r>
      <w:r>
        <w:rPr>
          <w:rFonts w:ascii="Times New Roman" w:hAnsi="Times New Roman"/>
          <w:sz w:val="24"/>
          <w:szCs w:val="24"/>
          <w:lang w:val="en-US"/>
        </w:rPr>
        <w:t xml:space="preserve">XIX </w:t>
      </w:r>
      <w:r>
        <w:rPr>
          <w:rFonts w:ascii="Times New Roman" w:hAnsi="Times New Roman"/>
          <w:sz w:val="24"/>
          <w:szCs w:val="24"/>
        </w:rPr>
        <w:t xml:space="preserve">веке превратиться из аграрного в индустриальное государство, а в </w:t>
      </w:r>
      <w:r>
        <w:rPr>
          <w:rFonts w:ascii="Times New Roman" w:hAnsi="Times New Roman"/>
          <w:sz w:val="24"/>
          <w:szCs w:val="24"/>
          <w:lang w:val="en-US"/>
        </w:rPr>
        <w:t xml:space="preserve">XX </w:t>
      </w:r>
      <w:r>
        <w:rPr>
          <w:rFonts w:ascii="Times New Roman" w:hAnsi="Times New Roman"/>
          <w:sz w:val="24"/>
          <w:szCs w:val="24"/>
        </w:rPr>
        <w:t xml:space="preserve">веке вырваться в лидеры финансовой, военной и высокотехнологической глобализации. Опыт США ценен для России примером создания политического союза из разрозненных штатов, а также валютного союза с учреждением в 1913 г. Федеральной резервной системы и переходом к единой независимой от Лондона денежно-кредитной политике. По пути восхождения на глобальный Олимп США неуклонно следовали примеру, а не совету предыдущего глобального финансово-экономического гегемона и своей бывшей метрополии – Англии, и чередовали политику либерализации с жестким государственным регулированием. </w:t>
      </w:r>
    </w:p>
    <w:p w:rsidR="00534AA2" w:rsidRDefault="00534AA2">
      <w:pPr>
        <w:spacing w:after="0" w:line="360" w:lineRule="auto"/>
        <w:ind w:firstLine="709"/>
        <w:jc w:val="both"/>
      </w:pPr>
      <w:r>
        <w:rPr>
          <w:rFonts w:ascii="Times New Roman" w:hAnsi="Times New Roman"/>
          <w:sz w:val="24"/>
          <w:szCs w:val="24"/>
        </w:rPr>
        <w:t xml:space="preserve">В свою очередь именно Великобритании принадлежит первенство в создании институциональных основ международной валютно-финансовой системы, а также в практической реализации таких революционных идей, как централизация денежно-кредитной и финансовой сферы, эмиссионная монополия, фондированный долг, международная резервная валюта, создание глобального и офшорных финансовых центров, рынка евродолларов, финансовая либерализация, международные стандарты финансовой отчетности. Весь этот опыт требует вдумчивой переработки и осмысления для выработки стратегических и тактических действий с целью обретения Россией подлинной финансовой независимости и выхода на передовые рубежи глобальной экономики. </w:t>
      </w:r>
    </w:p>
    <w:sectPr w:rsidR="00534AA2" w:rsidSect="00CA0888">
      <w:footerReference w:type="default" r:id="rId11"/>
      <w:footnotePr>
        <w:numRestart w:val="eachPage"/>
      </w:footnotePr>
      <w:pgSz w:w="11906" w:h="16838" w:code="9"/>
      <w:pgMar w:top="1134" w:right="1418" w:bottom="1134" w:left="1418" w:header="0" w:footer="567"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AA2" w:rsidRDefault="00534AA2" w:rsidP="007D3D9E">
      <w:pPr>
        <w:spacing w:after="0" w:line="240" w:lineRule="auto"/>
      </w:pPr>
      <w:r>
        <w:separator/>
      </w:r>
    </w:p>
  </w:endnote>
  <w:endnote w:type="continuationSeparator" w:id="0">
    <w:p w:rsidR="00534AA2" w:rsidRDefault="00534AA2" w:rsidP="007D3D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AA2" w:rsidRPr="00D54011" w:rsidRDefault="00534AA2" w:rsidP="00D54011">
    <w:pPr>
      <w:pStyle w:val="Footer"/>
      <w:spacing w:after="0" w:line="240" w:lineRule="auto"/>
      <w:jc w:val="center"/>
      <w:rPr>
        <w:rFonts w:ascii="Times New Roman" w:hAnsi="Times New Roman"/>
        <w:sz w:val="24"/>
        <w:szCs w:val="24"/>
      </w:rPr>
    </w:pPr>
    <w:r w:rsidRPr="00D54011">
      <w:rPr>
        <w:rFonts w:ascii="Times New Roman" w:hAnsi="Times New Roman"/>
        <w:sz w:val="24"/>
        <w:szCs w:val="24"/>
      </w:rPr>
      <w:fldChar w:fldCharType="begin"/>
    </w:r>
    <w:r w:rsidRPr="00D54011">
      <w:rPr>
        <w:rFonts w:ascii="Times New Roman" w:hAnsi="Times New Roman"/>
        <w:sz w:val="24"/>
        <w:szCs w:val="24"/>
      </w:rPr>
      <w:instrText>PAGE</w:instrText>
    </w:r>
    <w:r w:rsidRPr="00D54011">
      <w:rPr>
        <w:rFonts w:ascii="Times New Roman" w:hAnsi="Times New Roman"/>
        <w:sz w:val="24"/>
        <w:szCs w:val="24"/>
      </w:rPr>
      <w:fldChar w:fldCharType="separate"/>
    </w:r>
    <w:r>
      <w:rPr>
        <w:rFonts w:ascii="Times New Roman" w:hAnsi="Times New Roman"/>
        <w:noProof/>
        <w:sz w:val="24"/>
        <w:szCs w:val="24"/>
      </w:rPr>
      <w:t>3</w:t>
    </w:r>
    <w:r w:rsidRPr="00D54011">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AA2" w:rsidRDefault="00534AA2">
      <w:r>
        <w:separator/>
      </w:r>
    </w:p>
  </w:footnote>
  <w:footnote w:type="continuationSeparator" w:id="0">
    <w:p w:rsidR="00534AA2" w:rsidRDefault="00534AA2">
      <w:r>
        <w:continuationSeparator/>
      </w:r>
    </w:p>
  </w:footnote>
  <w:footnote w:id="1">
    <w:p w:rsidR="00534AA2" w:rsidRDefault="00534AA2" w:rsidP="00D54011">
      <w:pPr>
        <w:pStyle w:val="FootnoteText"/>
        <w:spacing w:after="0" w:line="240" w:lineRule="auto"/>
        <w:ind w:firstLine="709"/>
        <w:jc w:val="both"/>
      </w:pPr>
      <w:r>
        <w:rPr>
          <w:rStyle w:val="FootnoteReference"/>
          <w:rFonts w:ascii="Times New Roman" w:hAnsi="Times New Roman"/>
        </w:rPr>
        <w:footnoteRef/>
      </w:r>
      <w:r>
        <w:rPr>
          <w:rFonts w:ascii="Times New Roman" w:hAnsi="Times New Roman"/>
        </w:rPr>
        <w:t xml:space="preserve"> </w:t>
      </w:r>
      <w:r>
        <w:rPr>
          <w:rFonts w:ascii="Times New Roman" w:hAnsi="Times New Roman"/>
          <w:lang w:val="en-US"/>
        </w:rPr>
        <w:t>Reaping the Benefits of Financial Globalization /</w:t>
      </w:r>
      <w:r>
        <w:rPr>
          <w:rFonts w:ascii="Times New Roman" w:hAnsi="Times New Roman"/>
        </w:rPr>
        <w:t xml:space="preserve"> </w:t>
      </w:r>
      <w:r>
        <w:rPr>
          <w:rFonts w:ascii="Times New Roman" w:hAnsi="Times New Roman"/>
          <w:lang w:val="en-US"/>
        </w:rPr>
        <w:t>IMF. 2007. - June. - P</w:t>
      </w:r>
      <w:r>
        <w:rPr>
          <w:rFonts w:ascii="Times New Roman" w:hAnsi="Times New Roman"/>
        </w:rPr>
        <w:t>.</w:t>
      </w:r>
      <w:r>
        <w:rPr>
          <w:rFonts w:ascii="Times New Roman" w:hAnsi="Times New Roman"/>
          <w:lang w:val="en-US"/>
        </w:rPr>
        <w:t xml:space="preserve"> 2.</w:t>
      </w:r>
      <w:r>
        <w:rPr>
          <w:rFonts w:ascii="Times New Roman" w:hAnsi="Times New Roman"/>
        </w:rPr>
        <w:t xml:space="preserve"> </w:t>
      </w:r>
    </w:p>
  </w:footnote>
  <w:footnote w:id="2">
    <w:p w:rsidR="00534AA2" w:rsidRDefault="00534AA2" w:rsidP="00D54011">
      <w:pPr>
        <w:pStyle w:val="FootnoteText"/>
        <w:spacing w:after="0" w:line="240" w:lineRule="auto"/>
        <w:ind w:firstLine="709"/>
        <w:jc w:val="both"/>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lang w:val="uk-UA"/>
        </w:rPr>
        <w:t xml:space="preserve">Петров М. В., Плисецкий Д. Е. Трансформация глобальных финансов // Мировая экономика и международные отношения. - </w:t>
      </w:r>
      <w:r>
        <w:rPr>
          <w:rFonts w:ascii="Times New Roman" w:hAnsi="Times New Roman"/>
        </w:rPr>
        <w:t xml:space="preserve">М., </w:t>
      </w:r>
      <w:r>
        <w:rPr>
          <w:rFonts w:ascii="Times New Roman" w:hAnsi="Times New Roman"/>
          <w:lang w:val="uk-UA"/>
        </w:rPr>
        <w:t xml:space="preserve">2010. - № 7. - </w:t>
      </w:r>
      <w:r>
        <w:rPr>
          <w:rFonts w:ascii="Times New Roman" w:hAnsi="Times New Roman"/>
        </w:rPr>
        <w:t>С</w:t>
      </w:r>
      <w:r>
        <w:rPr>
          <w:rFonts w:ascii="Times New Roman" w:hAnsi="Times New Roman"/>
          <w:lang w:val="uk-UA"/>
        </w:rPr>
        <w:t>. 8.</w:t>
      </w:r>
    </w:p>
  </w:footnote>
  <w:footnote w:id="3">
    <w:p w:rsidR="00534AA2" w:rsidRDefault="00534AA2" w:rsidP="00D54011">
      <w:pPr>
        <w:spacing w:after="0" w:line="240" w:lineRule="auto"/>
        <w:ind w:firstLine="709"/>
        <w:jc w:val="both"/>
      </w:pPr>
      <w:r>
        <w:rPr>
          <w:rStyle w:val="FootnoteReference"/>
          <w:rFonts w:ascii="Times New Roman" w:hAnsi="Times New Roman"/>
          <w:sz w:val="20"/>
          <w:szCs w:val="20"/>
        </w:rPr>
        <w:footnoteRef/>
      </w:r>
      <w:r>
        <w:rPr>
          <w:rStyle w:val="FootnoteReference"/>
          <w:rFonts w:ascii="Times New Roman" w:hAnsi="Times New Roman"/>
          <w:sz w:val="20"/>
          <w:szCs w:val="20"/>
        </w:rPr>
        <w:t xml:space="preserve"> </w:t>
      </w:r>
      <w:r>
        <w:rPr>
          <w:rFonts w:ascii="Times New Roman" w:hAnsi="Times New Roman"/>
          <w:color w:val="000000"/>
          <w:sz w:val="20"/>
          <w:szCs w:val="20"/>
        </w:rPr>
        <w:t>Шишков Ю. «Невозможное триединство» в эпоху финансовой глобализации // Мировая экономика и международные отношения. - М., 2012. - № 5. - С. 5.</w:t>
      </w:r>
    </w:p>
  </w:footnote>
  <w:footnote w:id="4">
    <w:p w:rsidR="00534AA2" w:rsidRDefault="00534AA2" w:rsidP="00D54011">
      <w:pPr>
        <w:pStyle w:val="FootnoteText"/>
        <w:spacing w:after="0" w:line="240" w:lineRule="auto"/>
        <w:ind w:firstLine="709"/>
        <w:jc w:val="both"/>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lang w:val="en-US"/>
        </w:rPr>
        <w:t>Foreign exchange turnover in April 2013: preliminary global results / Bank for International Settlements. 2013</w:t>
      </w:r>
      <w:r>
        <w:rPr>
          <w:rFonts w:ascii="Times New Roman" w:hAnsi="Times New Roman"/>
        </w:rPr>
        <w:t>. -</w:t>
      </w:r>
      <w:r>
        <w:rPr>
          <w:rFonts w:ascii="Times New Roman" w:hAnsi="Times New Roman"/>
          <w:lang w:val="en-US"/>
        </w:rPr>
        <w:t xml:space="preserve"> September. - P. 10.</w:t>
      </w:r>
    </w:p>
  </w:footnote>
  <w:footnote w:id="5">
    <w:p w:rsidR="00534AA2" w:rsidRDefault="00534AA2" w:rsidP="00D54011">
      <w:pPr>
        <w:pStyle w:val="FootnoteText"/>
        <w:spacing w:after="0" w:line="240" w:lineRule="auto"/>
        <w:ind w:firstLine="709"/>
        <w:jc w:val="both"/>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rPr>
        <w:t>https://leaprate.com/2016/01/swift-chinese-yuan-gains-share-as-world-payments-currency-in-nov15/</w:t>
      </w:r>
    </w:p>
  </w:footnote>
  <w:footnote w:id="6">
    <w:p w:rsidR="00534AA2" w:rsidRDefault="00534AA2" w:rsidP="00D54011">
      <w:pPr>
        <w:pStyle w:val="FootnoteText"/>
        <w:tabs>
          <w:tab w:val="left" w:pos="0"/>
        </w:tabs>
        <w:spacing w:after="0" w:line="240" w:lineRule="auto"/>
        <w:ind w:firstLine="709"/>
        <w:jc w:val="both"/>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rPr>
        <w:t>Сорос Дж. Кризис мирового капитализма. Открытое общество в опасности. Пер. с англ. С. К. Умрихиной, М. 3. Штернгарца. - М.: ИНФРА-М, 1999. - XXVI, 262 с.</w:t>
      </w:r>
    </w:p>
  </w:footnote>
  <w:footnote w:id="7">
    <w:p w:rsidR="00534AA2" w:rsidRDefault="00534AA2" w:rsidP="00D54011">
      <w:pPr>
        <w:spacing w:after="0" w:line="240" w:lineRule="auto"/>
        <w:ind w:firstLine="709"/>
        <w:jc w:val="both"/>
      </w:pPr>
      <w:r>
        <w:rPr>
          <w:rStyle w:val="FootnoteReference"/>
          <w:rFonts w:ascii="Times New Roman" w:hAnsi="Times New Roman"/>
          <w:sz w:val="20"/>
          <w:szCs w:val="20"/>
        </w:rPr>
        <w:footnoteRef/>
      </w:r>
      <w:r>
        <w:rPr>
          <w:rStyle w:val="FootnoteReference"/>
          <w:rFonts w:ascii="Times New Roman" w:hAnsi="Times New Roman"/>
          <w:sz w:val="20"/>
          <w:szCs w:val="20"/>
        </w:rPr>
        <w:t xml:space="preserve"> </w:t>
      </w:r>
      <w:r>
        <w:rPr>
          <w:rFonts w:ascii="Times New Roman" w:hAnsi="Times New Roman"/>
          <w:sz w:val="20"/>
          <w:szCs w:val="20"/>
        </w:rPr>
        <w:t>Эйхенгрин Б. Непомерная привилегия: взлет и падение доллара. Пер. с англ. Н.Эдельмана. - М.: Изд. Института Гайдара, 2013. - С</w:t>
      </w:r>
      <w:r>
        <w:rPr>
          <w:rFonts w:ascii="Times New Roman" w:hAnsi="Times New Roman"/>
          <w:sz w:val="20"/>
          <w:szCs w:val="20"/>
          <w:lang w:val="en-US"/>
        </w:rPr>
        <w:t>.</w:t>
      </w:r>
      <w:r>
        <w:rPr>
          <w:rFonts w:ascii="Times New Roman" w:hAnsi="Times New Roman"/>
          <w:sz w:val="20"/>
          <w:szCs w:val="20"/>
        </w:rPr>
        <w:t xml:space="preserve"> 12.</w:t>
      </w:r>
    </w:p>
  </w:footnote>
  <w:footnote w:id="8">
    <w:p w:rsidR="00534AA2" w:rsidRDefault="00534AA2" w:rsidP="00D54011">
      <w:pPr>
        <w:pStyle w:val="FootnoteText"/>
        <w:spacing w:after="0" w:line="240" w:lineRule="auto"/>
        <w:ind w:firstLine="709"/>
        <w:jc w:val="both"/>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rPr>
        <w:t>Фридман Д., Краус В. Рукотворный финансовый кризис: системные риски и провал регулирования. Пер. с англ. - М.: ИРИСЭН; Мысль, 2012. - С. 173.</w:t>
      </w:r>
    </w:p>
  </w:footnote>
  <w:footnote w:id="9">
    <w:p w:rsidR="00534AA2" w:rsidRDefault="00534AA2" w:rsidP="00D54011">
      <w:pPr>
        <w:pStyle w:val="FootnoteText"/>
        <w:spacing w:after="0" w:line="240" w:lineRule="auto"/>
        <w:ind w:firstLine="709"/>
        <w:jc w:val="both"/>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lang w:val="en-US"/>
        </w:rPr>
        <w:t>Credit Rating Controversy</w:t>
      </w:r>
      <w:r>
        <w:rPr>
          <w:rFonts w:ascii="Times New Roman" w:hAnsi="Times New Roman"/>
        </w:rPr>
        <w:t>.</w:t>
      </w:r>
      <w:r>
        <w:rPr>
          <w:rFonts w:ascii="Times New Roman" w:hAnsi="Times New Roman"/>
          <w:lang w:val="en-US"/>
        </w:rPr>
        <w:t xml:space="preserve"> Council on Foreign Relations. 19.02.2015. - http://www.cfr.org/financial-crises/credit-rating-controversy/p22328</w:t>
      </w:r>
    </w:p>
  </w:footnote>
  <w:footnote w:id="10">
    <w:p w:rsidR="00534AA2" w:rsidRDefault="00534AA2" w:rsidP="00D54011">
      <w:pPr>
        <w:pStyle w:val="FootnoteText"/>
        <w:spacing w:after="0" w:line="240" w:lineRule="auto"/>
        <w:ind w:firstLine="709"/>
        <w:jc w:val="both"/>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rPr>
        <w:t>Рейтинговые агентства как инструмент финансовой войны. Интервью Сергея Глазьева. Новостной фронт. 28.01.2015. - http://news-front.info/2015/01/28/rejtingovye-agentstva-kak-instrument-finansovoj-vojny-intervyu-sergeya-glazeva/</w:t>
      </w:r>
    </w:p>
  </w:footnote>
  <w:footnote w:id="11">
    <w:p w:rsidR="00534AA2" w:rsidRDefault="00534AA2" w:rsidP="00D54011">
      <w:pPr>
        <w:pStyle w:val="FootnoteText"/>
        <w:spacing w:after="0" w:line="240" w:lineRule="auto"/>
        <w:ind w:firstLine="709"/>
        <w:jc w:val="both"/>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rPr>
        <w:t>Кузнецов А.В. Проблемы интеграции России в мировую финансовую систему // Мировая экономика и международные отношения. - М., 2015. - № 6. - С. 82–90.</w:t>
      </w:r>
    </w:p>
  </w:footnote>
  <w:footnote w:id="12">
    <w:p w:rsidR="00534AA2" w:rsidRDefault="00534AA2" w:rsidP="00D54011">
      <w:pPr>
        <w:pStyle w:val="FootnoteText"/>
        <w:spacing w:after="0" w:line="240" w:lineRule="auto"/>
        <w:ind w:firstLine="709"/>
        <w:jc w:val="both"/>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rPr>
        <w:t>Кузнецов А. В. Финансовая глобализация и национальный суверенитет // США-Канада: экономика, политика, культура.</w:t>
      </w:r>
      <w:r>
        <w:rPr>
          <w:rFonts w:ascii="Times New Roman" w:hAnsi="Times New Roman"/>
          <w:lang w:val="en-US"/>
        </w:rPr>
        <w:t xml:space="preserve"> - </w:t>
      </w:r>
      <w:r>
        <w:rPr>
          <w:rFonts w:ascii="Times New Roman" w:hAnsi="Times New Roman"/>
        </w:rPr>
        <w:t>М., 2012.</w:t>
      </w:r>
      <w:r>
        <w:rPr>
          <w:rFonts w:ascii="Times New Roman" w:hAnsi="Times New Roman"/>
          <w:lang w:val="en-US"/>
        </w:rPr>
        <w:t xml:space="preserve"> - </w:t>
      </w:r>
      <w:r>
        <w:rPr>
          <w:rFonts w:ascii="Times New Roman" w:hAnsi="Times New Roman"/>
        </w:rPr>
        <w:t>№</w:t>
      </w:r>
      <w:r>
        <w:rPr>
          <w:rFonts w:ascii="Times New Roman" w:hAnsi="Times New Roman"/>
          <w:lang w:val="en-US"/>
        </w:rPr>
        <w:t xml:space="preserve"> </w:t>
      </w:r>
      <w:r>
        <w:rPr>
          <w:rFonts w:ascii="Times New Roman" w:hAnsi="Times New Roman"/>
        </w:rPr>
        <w:t>2. - С. 35–36.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3D9E"/>
    <w:rsid w:val="00531DFA"/>
    <w:rsid w:val="00534AA2"/>
    <w:rsid w:val="00674750"/>
    <w:rsid w:val="007D3D9E"/>
    <w:rsid w:val="00CA0888"/>
    <w:rsid w:val="00D54011"/>
    <w:rsid w:val="00D9246D"/>
    <w:rsid w:val="00F209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color w:val="00000A"/>
      <w:lang w:eastAsia="en-US"/>
    </w:rPr>
  </w:style>
  <w:style w:type="paragraph" w:styleId="Heading1">
    <w:name w:val="heading 1"/>
    <w:basedOn w:val="a"/>
    <w:link w:val="Heading1Char"/>
    <w:uiPriority w:val="99"/>
    <w:qFormat/>
    <w:rsid w:val="007D3D9E"/>
    <w:pPr>
      <w:outlineLvl w:val="0"/>
    </w:pPr>
  </w:style>
  <w:style w:type="paragraph" w:styleId="Heading2">
    <w:name w:val="heading 2"/>
    <w:basedOn w:val="a"/>
    <w:link w:val="Heading2Char"/>
    <w:uiPriority w:val="99"/>
    <w:qFormat/>
    <w:rsid w:val="007D3D9E"/>
    <w:pPr>
      <w:outlineLvl w:val="1"/>
    </w:pPr>
  </w:style>
  <w:style w:type="paragraph" w:styleId="Heading3">
    <w:name w:val="heading 3"/>
    <w:basedOn w:val="a"/>
    <w:link w:val="Heading3Char"/>
    <w:uiPriority w:val="99"/>
    <w:qFormat/>
    <w:rsid w:val="007D3D9E"/>
    <w:pPr>
      <w:outlineLvl w:val="2"/>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AE8"/>
    <w:rPr>
      <w:rFonts w:asciiTheme="majorHAnsi" w:eastAsiaTheme="majorEastAsia" w:hAnsiTheme="majorHAnsi" w:cstheme="majorBidi"/>
      <w:b/>
      <w:bCs/>
      <w:color w:val="00000A"/>
      <w:kern w:val="32"/>
      <w:sz w:val="32"/>
      <w:szCs w:val="32"/>
      <w:lang w:eastAsia="en-US"/>
    </w:rPr>
  </w:style>
  <w:style w:type="character" w:customStyle="1" w:styleId="Heading2Char">
    <w:name w:val="Heading 2 Char"/>
    <w:basedOn w:val="DefaultParagraphFont"/>
    <w:link w:val="Heading2"/>
    <w:uiPriority w:val="9"/>
    <w:semiHidden/>
    <w:rsid w:val="002F1AE8"/>
    <w:rPr>
      <w:rFonts w:asciiTheme="majorHAnsi" w:eastAsiaTheme="majorEastAsia" w:hAnsiTheme="majorHAnsi" w:cstheme="majorBidi"/>
      <w:b/>
      <w:bCs/>
      <w:i/>
      <w:iCs/>
      <w:color w:val="00000A"/>
      <w:sz w:val="28"/>
      <w:szCs w:val="28"/>
      <w:lang w:eastAsia="en-US"/>
    </w:rPr>
  </w:style>
  <w:style w:type="character" w:customStyle="1" w:styleId="Heading3Char">
    <w:name w:val="Heading 3 Char"/>
    <w:basedOn w:val="DefaultParagraphFont"/>
    <w:link w:val="Heading3"/>
    <w:uiPriority w:val="9"/>
    <w:semiHidden/>
    <w:rsid w:val="002F1AE8"/>
    <w:rPr>
      <w:rFonts w:asciiTheme="majorHAnsi" w:eastAsiaTheme="majorEastAsia" w:hAnsiTheme="majorHAnsi" w:cstheme="majorBidi"/>
      <w:b/>
      <w:bCs/>
      <w:color w:val="00000A"/>
      <w:sz w:val="26"/>
      <w:szCs w:val="26"/>
      <w:lang w:eastAsia="en-US"/>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FootnoteTextChar">
    <w:name w:val="Footnote Text Char"/>
    <w:basedOn w:val="DefaultParagraphFont"/>
    <w:link w:val="FootnoteText"/>
    <w:uiPriority w:val="99"/>
    <w:locked/>
    <w:rPr>
      <w:rFonts w:cs="Times New Roman"/>
      <w:lang w:eastAsia="en-US"/>
    </w:rPr>
  </w:style>
  <w:style w:type="character" w:styleId="FootnoteReference">
    <w:name w:val="footnote reference"/>
    <w:basedOn w:val="DefaultParagraphFont"/>
    <w:uiPriority w:val="99"/>
    <w:semiHidden/>
    <w:rPr>
      <w:rFonts w:cs="Times New Roman"/>
      <w:vertAlign w:val="superscript"/>
    </w:rPr>
  </w:style>
  <w:style w:type="character" w:styleId="CommentReference">
    <w:name w:val="annotation reference"/>
    <w:basedOn w:val="DefaultParagraphFont"/>
    <w:uiPriority w:val="99"/>
    <w:semiHidden/>
    <w:rPr>
      <w:rFonts w:cs="Times New Roman"/>
      <w:sz w:val="16"/>
      <w:szCs w:val="16"/>
    </w:rPr>
  </w:style>
  <w:style w:type="character" w:customStyle="1" w:styleId="CommentTextChar">
    <w:name w:val="Comment Text Char"/>
    <w:basedOn w:val="DefaultParagraphFont"/>
    <w:link w:val="CommentText"/>
    <w:uiPriority w:val="99"/>
    <w:semiHidden/>
    <w:locked/>
    <w:rPr>
      <w:rFonts w:cs="Times New Roman"/>
      <w:lang w:eastAsia="en-US"/>
    </w:rPr>
  </w:style>
  <w:style w:type="character" w:customStyle="1" w:styleId="BodyTextChar">
    <w:name w:val="Body Text Char"/>
    <w:basedOn w:val="DefaultParagraphFont"/>
    <w:link w:val="BodyText"/>
    <w:uiPriority w:val="99"/>
    <w:locked/>
    <w:rPr>
      <w:rFonts w:ascii="Times New Roman" w:hAnsi="Times New Roman" w:cs="Times New Roman"/>
      <w:sz w:val="24"/>
      <w:szCs w:val="24"/>
    </w:rPr>
  </w:style>
  <w:style w:type="character" w:customStyle="1" w:styleId="-">
    <w:name w:val="Интернет-ссылка"/>
    <w:basedOn w:val="DefaultParagraphFont"/>
    <w:uiPriority w:val="99"/>
    <w:rPr>
      <w:rFonts w:cs="Times New Roman"/>
      <w:color w:val="0000FF"/>
      <w:u w:val="single"/>
    </w:rPr>
  </w:style>
  <w:style w:type="character" w:customStyle="1" w:styleId="apple-converted-space">
    <w:name w:val="apple-converted-space"/>
    <w:basedOn w:val="DefaultParagraphFont"/>
    <w:uiPriority w:val="99"/>
    <w:rPr>
      <w:rFonts w:cs="Times New Roman"/>
    </w:rPr>
  </w:style>
  <w:style w:type="character" w:customStyle="1" w:styleId="ListLabel1">
    <w:name w:val="ListLabel 1"/>
    <w:uiPriority w:val="99"/>
    <w:rsid w:val="007D3D9E"/>
  </w:style>
  <w:style w:type="character" w:customStyle="1" w:styleId="a0">
    <w:name w:val="Символ сноски"/>
    <w:uiPriority w:val="99"/>
    <w:rsid w:val="007D3D9E"/>
  </w:style>
  <w:style w:type="character" w:customStyle="1" w:styleId="a1">
    <w:name w:val="Привязка сноски"/>
    <w:uiPriority w:val="99"/>
    <w:rsid w:val="007D3D9E"/>
    <w:rPr>
      <w:vertAlign w:val="superscript"/>
    </w:rPr>
  </w:style>
  <w:style w:type="character" w:customStyle="1" w:styleId="a2">
    <w:name w:val="Привязка концевой сноски"/>
    <w:uiPriority w:val="99"/>
    <w:rsid w:val="007D3D9E"/>
    <w:rPr>
      <w:vertAlign w:val="superscript"/>
    </w:rPr>
  </w:style>
  <w:style w:type="character" w:customStyle="1" w:styleId="a3">
    <w:name w:val="Символы концевой сноски"/>
    <w:uiPriority w:val="99"/>
    <w:rsid w:val="007D3D9E"/>
  </w:style>
  <w:style w:type="paragraph" w:customStyle="1" w:styleId="a">
    <w:name w:val="Заголовок"/>
    <w:basedOn w:val="Normal"/>
    <w:next w:val="BodyText"/>
    <w:uiPriority w:val="99"/>
    <w:rsid w:val="007D3D9E"/>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uiPriority w:val="99"/>
    <w:pPr>
      <w:spacing w:after="120" w:line="240" w:lineRule="auto"/>
    </w:pPr>
    <w:rPr>
      <w:rFonts w:ascii="Times New Roman" w:eastAsia="Times New Roman" w:hAnsi="Times New Roman"/>
      <w:sz w:val="24"/>
      <w:szCs w:val="24"/>
      <w:lang w:eastAsia="ru-RU"/>
    </w:rPr>
  </w:style>
  <w:style w:type="character" w:customStyle="1" w:styleId="BodyTextChar1">
    <w:name w:val="Body Text Char1"/>
    <w:basedOn w:val="DefaultParagraphFont"/>
    <w:link w:val="BodyText"/>
    <w:uiPriority w:val="99"/>
    <w:semiHidden/>
    <w:rsid w:val="002F1AE8"/>
    <w:rPr>
      <w:color w:val="00000A"/>
      <w:lang w:eastAsia="en-US"/>
    </w:rPr>
  </w:style>
  <w:style w:type="paragraph" w:styleId="List">
    <w:name w:val="List"/>
    <w:basedOn w:val="BodyText"/>
    <w:uiPriority w:val="99"/>
    <w:rsid w:val="007D3D9E"/>
    <w:rPr>
      <w:rFonts w:cs="Mangal"/>
    </w:rPr>
  </w:style>
  <w:style w:type="paragraph" w:styleId="Title">
    <w:name w:val="Title"/>
    <w:basedOn w:val="Normal"/>
    <w:link w:val="TitleChar"/>
    <w:uiPriority w:val="99"/>
    <w:qFormat/>
    <w:rsid w:val="007D3D9E"/>
    <w:pPr>
      <w:suppressLineNumbers/>
      <w:spacing w:before="120" w:after="120"/>
    </w:pPr>
    <w:rPr>
      <w:rFonts w:cs="Mangal"/>
      <w:i/>
      <w:iCs/>
      <w:sz w:val="24"/>
      <w:szCs w:val="24"/>
    </w:rPr>
  </w:style>
  <w:style w:type="character" w:customStyle="1" w:styleId="TitleChar">
    <w:name w:val="Title Char"/>
    <w:basedOn w:val="DefaultParagraphFont"/>
    <w:link w:val="Title"/>
    <w:uiPriority w:val="10"/>
    <w:rsid w:val="002F1AE8"/>
    <w:rPr>
      <w:rFonts w:asciiTheme="majorHAnsi" w:eastAsiaTheme="majorEastAsia" w:hAnsiTheme="majorHAnsi" w:cstheme="majorBidi"/>
      <w:b/>
      <w:bCs/>
      <w:color w:val="00000A"/>
      <w:kern w:val="28"/>
      <w:sz w:val="32"/>
      <w:szCs w:val="32"/>
      <w:lang w:eastAsia="en-US"/>
    </w:rPr>
  </w:style>
  <w:style w:type="paragraph" w:styleId="Index1">
    <w:name w:val="index 1"/>
    <w:basedOn w:val="Normal"/>
    <w:next w:val="Normal"/>
    <w:autoRedefine/>
    <w:uiPriority w:val="99"/>
    <w:semiHidden/>
    <w:pPr>
      <w:ind w:left="220" w:hanging="220"/>
    </w:pPr>
  </w:style>
  <w:style w:type="paragraph" w:styleId="IndexHeading">
    <w:name w:val="index heading"/>
    <w:basedOn w:val="Normal"/>
    <w:uiPriority w:val="99"/>
    <w:rsid w:val="007D3D9E"/>
    <w:pPr>
      <w:suppressLineNumbers/>
    </w:pPr>
    <w:rPr>
      <w:rFonts w:cs="Mangal"/>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2F1AE8"/>
    <w:rPr>
      <w:rFonts w:ascii="Times New Roman" w:hAnsi="Times New Roman"/>
      <w:color w:val="00000A"/>
      <w:sz w:val="0"/>
      <w:szCs w:val="0"/>
      <w:lang w:eastAsia="en-US"/>
    </w:rPr>
  </w:style>
  <w:style w:type="paragraph" w:styleId="NormalWeb">
    <w:name w:val="Normal (Web)"/>
    <w:basedOn w:val="Normal"/>
    <w:uiPriority w:val="99"/>
    <w:pPr>
      <w:spacing w:beforeAutospacing="1" w:afterAutospacing="1" w:line="240" w:lineRule="auto"/>
    </w:pPr>
    <w:rPr>
      <w:rFonts w:ascii="Times New Roman" w:eastAsia="Times New Roman" w:hAnsi="Times New Roman"/>
      <w:sz w:val="24"/>
      <w:szCs w:val="24"/>
      <w:lang w:eastAsia="ru-RU"/>
    </w:rPr>
  </w:style>
  <w:style w:type="paragraph" w:styleId="FootnoteText">
    <w:name w:val="footnote text"/>
    <w:basedOn w:val="Normal"/>
    <w:link w:val="FootnoteTextChar"/>
    <w:uiPriority w:val="99"/>
    <w:rPr>
      <w:sz w:val="20"/>
      <w:szCs w:val="20"/>
    </w:rPr>
  </w:style>
  <w:style w:type="character" w:customStyle="1" w:styleId="FootnoteTextChar1">
    <w:name w:val="Footnote Text Char1"/>
    <w:basedOn w:val="DefaultParagraphFont"/>
    <w:link w:val="FootnoteText"/>
    <w:uiPriority w:val="99"/>
    <w:semiHidden/>
    <w:rsid w:val="002F1AE8"/>
    <w:rPr>
      <w:color w:val="00000A"/>
      <w:sz w:val="20"/>
      <w:szCs w:val="20"/>
      <w:lang w:eastAsia="en-US"/>
    </w:rPr>
  </w:style>
  <w:style w:type="paragraph" w:styleId="CommentText">
    <w:name w:val="annotation text"/>
    <w:basedOn w:val="Normal"/>
    <w:link w:val="CommentTextChar"/>
    <w:uiPriority w:val="99"/>
    <w:semiHidden/>
    <w:rPr>
      <w:sz w:val="20"/>
      <w:szCs w:val="20"/>
    </w:rPr>
  </w:style>
  <w:style w:type="character" w:customStyle="1" w:styleId="CommentTextChar1">
    <w:name w:val="Comment Text Char1"/>
    <w:basedOn w:val="DefaultParagraphFont"/>
    <w:link w:val="CommentText"/>
    <w:uiPriority w:val="99"/>
    <w:semiHidden/>
    <w:rsid w:val="002F1AE8"/>
    <w:rPr>
      <w:color w:val="00000A"/>
      <w:sz w:val="20"/>
      <w:szCs w:val="20"/>
      <w:lang w:eastAsia="en-US"/>
    </w:rPr>
  </w:style>
  <w:style w:type="paragraph" w:customStyle="1" w:styleId="1">
    <w:name w:val="Обычный1"/>
    <w:uiPriority w:val="99"/>
    <w:rPr>
      <w:rFonts w:ascii="Times New Roman" w:eastAsia="Times New Roman" w:hAnsi="Times New Roman"/>
      <w:color w:val="00000A"/>
      <w:sz w:val="20"/>
      <w:szCs w:val="20"/>
      <w:lang w:val="en-AU"/>
    </w:rPr>
  </w:style>
  <w:style w:type="paragraph" w:customStyle="1" w:styleId="Default">
    <w:name w:val="Default"/>
    <w:uiPriority w:val="99"/>
    <w:rPr>
      <w:rFonts w:ascii="Times New Roman" w:eastAsia="Times New Roman" w:hAnsi="Times New Roman"/>
      <w:color w:val="000000"/>
      <w:sz w:val="24"/>
      <w:szCs w:val="24"/>
    </w:rPr>
  </w:style>
  <w:style w:type="paragraph" w:styleId="ListParagraph">
    <w:name w:val="List Paragraph"/>
    <w:basedOn w:val="Normal"/>
    <w:uiPriority w:val="99"/>
    <w:qFormat/>
    <w:pPr>
      <w:spacing w:after="0" w:line="240" w:lineRule="auto"/>
      <w:ind w:left="720"/>
      <w:contextualSpacing/>
    </w:pPr>
    <w:rPr>
      <w:rFonts w:ascii="Times New Roman" w:eastAsia="Times New Roman" w:hAnsi="Times New Roman"/>
      <w:sz w:val="24"/>
      <w:szCs w:val="24"/>
      <w:lang w:eastAsia="ru-RU"/>
    </w:rPr>
  </w:style>
  <w:style w:type="paragraph" w:customStyle="1" w:styleId="a4">
    <w:name w:val="Сноска"/>
    <w:basedOn w:val="Normal"/>
    <w:uiPriority w:val="99"/>
    <w:rsid w:val="007D3D9E"/>
  </w:style>
  <w:style w:type="paragraph" w:customStyle="1" w:styleId="a5">
    <w:name w:val="Блочная цитата"/>
    <w:basedOn w:val="Normal"/>
    <w:uiPriority w:val="99"/>
    <w:rsid w:val="007D3D9E"/>
  </w:style>
  <w:style w:type="paragraph" w:customStyle="1" w:styleId="a6">
    <w:name w:val="Заглавие"/>
    <w:basedOn w:val="a"/>
    <w:uiPriority w:val="99"/>
    <w:rsid w:val="007D3D9E"/>
  </w:style>
  <w:style w:type="paragraph" w:styleId="Subtitle">
    <w:name w:val="Subtitle"/>
    <w:basedOn w:val="a"/>
    <w:link w:val="SubtitleChar"/>
    <w:uiPriority w:val="99"/>
    <w:qFormat/>
    <w:rsid w:val="007D3D9E"/>
  </w:style>
  <w:style w:type="character" w:customStyle="1" w:styleId="SubtitleChar">
    <w:name w:val="Subtitle Char"/>
    <w:basedOn w:val="DefaultParagraphFont"/>
    <w:link w:val="Subtitle"/>
    <w:uiPriority w:val="11"/>
    <w:rsid w:val="002F1AE8"/>
    <w:rPr>
      <w:rFonts w:asciiTheme="majorHAnsi" w:eastAsiaTheme="majorEastAsia" w:hAnsiTheme="majorHAnsi" w:cstheme="majorBidi"/>
      <w:color w:val="00000A"/>
      <w:sz w:val="24"/>
      <w:szCs w:val="24"/>
      <w:lang w:eastAsia="en-US"/>
    </w:rPr>
  </w:style>
  <w:style w:type="paragraph" w:styleId="Footer">
    <w:name w:val="footer"/>
    <w:basedOn w:val="Normal"/>
    <w:link w:val="FooterChar"/>
    <w:uiPriority w:val="99"/>
    <w:rsid w:val="007D3D9E"/>
  </w:style>
  <w:style w:type="character" w:customStyle="1" w:styleId="FooterChar">
    <w:name w:val="Footer Char"/>
    <w:basedOn w:val="DefaultParagraphFont"/>
    <w:link w:val="Footer"/>
    <w:uiPriority w:val="99"/>
    <w:semiHidden/>
    <w:rsid w:val="002F1AE8"/>
    <w:rPr>
      <w:color w:val="00000A"/>
      <w:lang w:eastAsia="en-US"/>
    </w:rPr>
  </w:style>
  <w:style w:type="table" w:styleId="TableGrid">
    <w:name w:val="Table Grid"/>
    <w:basedOn w:val="TableNormal"/>
    <w:uiPriority w:val="9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D54011"/>
    <w:pPr>
      <w:tabs>
        <w:tab w:val="center" w:pos="4677"/>
        <w:tab w:val="right" w:pos="9355"/>
      </w:tabs>
    </w:pPr>
  </w:style>
  <w:style w:type="character" w:customStyle="1" w:styleId="HeaderChar">
    <w:name w:val="Header Char"/>
    <w:basedOn w:val="DefaultParagraphFont"/>
    <w:link w:val="Header"/>
    <w:uiPriority w:val="99"/>
    <w:semiHidden/>
    <w:rsid w:val="002F1AE8"/>
    <w:rPr>
      <w:color w:val="00000A"/>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nctad.org/en/PublicationsLibrary/wir2015_en.pdf"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14</Pages>
  <Words>3750</Words>
  <Characters>21375</Characters>
  <Application>Microsoft Office Outlook</Application>
  <DocSecurity>0</DocSecurity>
  <Lines>0</Lines>
  <Paragraphs>0</Paragraphs>
  <ScaleCrop>false</ScaleCrop>
  <Company>Black Mesa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Кузнецов А</dc:title>
  <dc:subject/>
  <dc:creator>Alex</dc:creator>
  <cp:keywords/>
  <dc:description/>
  <cp:lastModifiedBy>1</cp:lastModifiedBy>
  <cp:revision>10</cp:revision>
  <cp:lastPrinted>2016-01-22T17:15:00Z</cp:lastPrinted>
  <dcterms:created xsi:type="dcterms:W3CDTF">2016-01-24T12:54:00Z</dcterms:created>
  <dcterms:modified xsi:type="dcterms:W3CDTF">2016-01-27T06:53:00Z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Black Mesa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