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CDE" w:rsidRPr="008E4C50" w:rsidRDefault="006B0CDE" w:rsidP="002D2B57">
      <w:pPr>
        <w:shd w:val="clear" w:color="auto" w:fill="FFFFFF"/>
        <w:spacing w:after="0" w:line="360" w:lineRule="auto"/>
        <w:ind w:firstLine="709"/>
        <w:jc w:val="both"/>
        <w:rPr>
          <w:rFonts w:ascii="Times New Roman" w:hAnsi="Times New Roman"/>
          <w:b/>
          <w:i/>
          <w:sz w:val="24"/>
          <w:szCs w:val="24"/>
          <w:lang w:eastAsia="ru-RU"/>
        </w:rPr>
      </w:pPr>
      <w:r w:rsidRPr="008E4C50">
        <w:rPr>
          <w:rFonts w:ascii="Times New Roman" w:hAnsi="Times New Roman"/>
          <w:b/>
          <w:i/>
          <w:sz w:val="24"/>
          <w:szCs w:val="24"/>
          <w:lang w:eastAsia="ru-RU"/>
        </w:rPr>
        <w:t>Ярыгина И. З.</w:t>
      </w:r>
    </w:p>
    <w:p w:rsidR="006B0CDE" w:rsidRPr="008E4C50" w:rsidRDefault="006B0CDE" w:rsidP="002D2B57">
      <w:pPr>
        <w:shd w:val="clear" w:color="auto" w:fill="FFFFFF"/>
        <w:spacing w:after="0" w:line="360" w:lineRule="auto"/>
        <w:ind w:firstLine="709"/>
        <w:jc w:val="both"/>
        <w:rPr>
          <w:rFonts w:ascii="Times New Roman" w:hAnsi="Times New Roman"/>
          <w:sz w:val="24"/>
          <w:szCs w:val="24"/>
          <w:lang w:eastAsia="ru-RU"/>
        </w:rPr>
      </w:pPr>
      <w:r w:rsidRPr="008E4C50">
        <w:rPr>
          <w:rFonts w:ascii="Times New Roman" w:hAnsi="Times New Roman"/>
          <w:sz w:val="24"/>
          <w:szCs w:val="24"/>
          <w:lang w:eastAsia="ru-RU"/>
        </w:rPr>
        <w:t>д.э.н., профессор Финансового университета; профессор МГИМО (У) МИД РФ</w:t>
      </w:r>
    </w:p>
    <w:p w:rsidR="006B0CDE" w:rsidRPr="008E4C50" w:rsidRDefault="006B0CDE" w:rsidP="002D2B57">
      <w:pPr>
        <w:shd w:val="clear" w:color="auto" w:fill="FFFFFF"/>
        <w:spacing w:after="0" w:line="360" w:lineRule="auto"/>
        <w:ind w:firstLine="709"/>
        <w:jc w:val="both"/>
        <w:rPr>
          <w:rFonts w:ascii="Times New Roman" w:hAnsi="Times New Roman"/>
          <w:sz w:val="24"/>
          <w:szCs w:val="24"/>
          <w:lang w:eastAsia="ru-RU"/>
        </w:rPr>
      </w:pPr>
      <w:hyperlink r:id="rId7" w:history="1">
        <w:r w:rsidRPr="008E4C50">
          <w:rPr>
            <w:rStyle w:val="Hyperlink"/>
            <w:rFonts w:ascii="Times New Roman" w:hAnsi="Times New Roman"/>
            <w:color w:val="auto"/>
            <w:sz w:val="24"/>
            <w:szCs w:val="24"/>
            <w:lang w:val="en-US" w:eastAsia="ru-RU"/>
          </w:rPr>
          <w:t>jiz</w:t>
        </w:r>
        <w:r w:rsidRPr="008E4C50">
          <w:rPr>
            <w:rStyle w:val="Hyperlink"/>
            <w:rFonts w:ascii="Times New Roman" w:hAnsi="Times New Roman"/>
            <w:color w:val="auto"/>
            <w:sz w:val="24"/>
            <w:szCs w:val="24"/>
            <w:lang w:eastAsia="ru-RU"/>
          </w:rPr>
          <w:t>4@</w:t>
        </w:r>
        <w:r w:rsidRPr="008E4C50">
          <w:rPr>
            <w:rStyle w:val="Hyperlink"/>
            <w:rFonts w:ascii="Times New Roman" w:hAnsi="Times New Roman"/>
            <w:color w:val="auto"/>
            <w:sz w:val="24"/>
            <w:szCs w:val="24"/>
            <w:lang w:val="en-US" w:eastAsia="ru-RU"/>
          </w:rPr>
          <w:t>yandex</w:t>
        </w:r>
        <w:r w:rsidRPr="008E4C50">
          <w:rPr>
            <w:rStyle w:val="Hyperlink"/>
            <w:rFonts w:ascii="Times New Roman" w:hAnsi="Times New Roman"/>
            <w:color w:val="auto"/>
            <w:sz w:val="24"/>
            <w:szCs w:val="24"/>
            <w:lang w:eastAsia="ru-RU"/>
          </w:rPr>
          <w:t>.</w:t>
        </w:r>
        <w:r w:rsidRPr="008E4C50">
          <w:rPr>
            <w:rStyle w:val="Hyperlink"/>
            <w:rFonts w:ascii="Times New Roman" w:hAnsi="Times New Roman"/>
            <w:color w:val="auto"/>
            <w:sz w:val="24"/>
            <w:szCs w:val="24"/>
            <w:lang w:val="en-US" w:eastAsia="ru-RU"/>
          </w:rPr>
          <w:t>ru</w:t>
        </w:r>
      </w:hyperlink>
    </w:p>
    <w:p w:rsidR="006B0CDE" w:rsidRPr="008E4C50" w:rsidRDefault="006B0CDE" w:rsidP="002D2B57">
      <w:pPr>
        <w:shd w:val="clear" w:color="auto" w:fill="FFFFFF"/>
        <w:spacing w:after="0" w:line="360" w:lineRule="auto"/>
        <w:ind w:firstLine="709"/>
        <w:jc w:val="both"/>
        <w:rPr>
          <w:rFonts w:ascii="Times New Roman" w:hAnsi="Times New Roman"/>
          <w:sz w:val="24"/>
          <w:szCs w:val="24"/>
          <w:lang w:eastAsia="ru-RU"/>
        </w:rPr>
      </w:pPr>
    </w:p>
    <w:p w:rsidR="006B0CDE" w:rsidRPr="008E4C50" w:rsidRDefault="006B0CDE" w:rsidP="002D2B57">
      <w:pPr>
        <w:spacing w:after="0" w:line="360" w:lineRule="auto"/>
        <w:ind w:firstLine="709"/>
        <w:jc w:val="center"/>
        <w:rPr>
          <w:rFonts w:ascii="Times New Roman" w:hAnsi="Times New Roman"/>
          <w:b/>
          <w:sz w:val="24"/>
          <w:szCs w:val="24"/>
          <w:lang w:eastAsia="ru-RU"/>
        </w:rPr>
      </w:pPr>
      <w:r w:rsidRPr="008E4C50">
        <w:rPr>
          <w:rFonts w:ascii="Times New Roman" w:hAnsi="Times New Roman"/>
          <w:b/>
          <w:sz w:val="24"/>
          <w:szCs w:val="24"/>
          <w:lang w:eastAsia="ru-RU"/>
        </w:rPr>
        <w:t>БРИКС – ЕС ПЕРСПЕКТИВЫ СОТРУДНИЧЕСТВА</w:t>
      </w:r>
    </w:p>
    <w:p w:rsidR="006B0CDE" w:rsidRPr="008E4C50" w:rsidRDefault="006B0CDE" w:rsidP="002D2B57">
      <w:pPr>
        <w:spacing w:after="0" w:line="360" w:lineRule="auto"/>
        <w:ind w:firstLine="709"/>
        <w:jc w:val="both"/>
        <w:rPr>
          <w:rFonts w:ascii="Times New Roman" w:hAnsi="Times New Roman"/>
          <w:b/>
          <w:sz w:val="24"/>
          <w:szCs w:val="24"/>
          <w:lang w:eastAsia="ru-RU"/>
        </w:rPr>
      </w:pPr>
    </w:p>
    <w:p w:rsidR="006B0CDE" w:rsidRPr="008E4C50" w:rsidRDefault="006B0CDE" w:rsidP="002D2B57">
      <w:pPr>
        <w:tabs>
          <w:tab w:val="left" w:pos="5040"/>
        </w:tabs>
        <w:spacing w:after="0" w:line="360" w:lineRule="auto"/>
        <w:ind w:firstLine="709"/>
        <w:jc w:val="both"/>
        <w:rPr>
          <w:rFonts w:ascii="Times New Roman" w:hAnsi="Times New Roman"/>
          <w:sz w:val="24"/>
          <w:szCs w:val="24"/>
          <w:lang w:eastAsia="ru-RU"/>
        </w:rPr>
      </w:pPr>
      <w:r w:rsidRPr="008E4C50">
        <w:rPr>
          <w:rFonts w:ascii="Times New Roman" w:hAnsi="Times New Roman"/>
          <w:b/>
          <w:sz w:val="24"/>
          <w:szCs w:val="24"/>
          <w:lang w:eastAsia="ru-RU"/>
        </w:rPr>
        <w:t>Ключевые слова:</w:t>
      </w:r>
      <w:r w:rsidRPr="008E4C50">
        <w:rPr>
          <w:rFonts w:ascii="Times New Roman" w:hAnsi="Times New Roman"/>
          <w:i/>
          <w:sz w:val="24"/>
          <w:szCs w:val="24"/>
          <w:lang w:eastAsia="ru-RU"/>
        </w:rPr>
        <w:t xml:space="preserve"> </w:t>
      </w:r>
      <w:r w:rsidRPr="008E4C50">
        <w:rPr>
          <w:rFonts w:ascii="Times New Roman" w:hAnsi="Times New Roman"/>
          <w:sz w:val="24"/>
          <w:szCs w:val="24"/>
          <w:lang w:eastAsia="ru-RU"/>
        </w:rPr>
        <w:t xml:space="preserve">экономическое сотрудничество, финансирование, банки развития, межгосударственный институт, субъект хозяйствования. </w:t>
      </w:r>
    </w:p>
    <w:p w:rsidR="006B0CDE" w:rsidRPr="008E4C50" w:rsidRDefault="006B0CDE" w:rsidP="002D2B57">
      <w:pPr>
        <w:tabs>
          <w:tab w:val="left" w:pos="5040"/>
        </w:tabs>
        <w:spacing w:after="0" w:line="360" w:lineRule="auto"/>
        <w:ind w:firstLine="709"/>
        <w:jc w:val="both"/>
        <w:rPr>
          <w:rFonts w:ascii="Times New Roman" w:hAnsi="Times New Roman"/>
          <w:sz w:val="24"/>
          <w:szCs w:val="24"/>
          <w:lang w:val="en-US" w:eastAsia="ru-RU"/>
        </w:rPr>
      </w:pPr>
      <w:r w:rsidRPr="008E4C50">
        <w:rPr>
          <w:rFonts w:ascii="Times New Roman" w:hAnsi="Times New Roman"/>
          <w:b/>
          <w:sz w:val="24"/>
          <w:szCs w:val="24"/>
          <w:lang w:val="en-US" w:eastAsia="ru-RU"/>
        </w:rPr>
        <w:t>Keywords</w:t>
      </w:r>
      <w:r w:rsidRPr="008E4C50">
        <w:rPr>
          <w:rFonts w:ascii="Times New Roman" w:hAnsi="Times New Roman"/>
          <w:i/>
          <w:sz w:val="24"/>
          <w:szCs w:val="24"/>
          <w:lang w:val="en-US" w:eastAsia="ru-RU"/>
        </w:rPr>
        <w:t>:</w:t>
      </w:r>
      <w:r w:rsidRPr="008E4C50">
        <w:rPr>
          <w:rFonts w:ascii="Times New Roman" w:hAnsi="Times New Roman"/>
          <w:sz w:val="24"/>
          <w:szCs w:val="24"/>
          <w:lang w:val="en-US" w:eastAsia="ru-RU"/>
        </w:rPr>
        <w:t xml:space="preserve"> economic cooperation, financing, development banks, intergovernmental institution, economic entity.</w:t>
      </w:r>
    </w:p>
    <w:p w:rsidR="006B0CDE" w:rsidRPr="008E4C50" w:rsidRDefault="006B0CDE" w:rsidP="002D2B57">
      <w:pPr>
        <w:tabs>
          <w:tab w:val="left" w:pos="5040"/>
        </w:tabs>
        <w:spacing w:after="0" w:line="360" w:lineRule="auto"/>
        <w:ind w:firstLine="709"/>
        <w:jc w:val="both"/>
        <w:rPr>
          <w:rFonts w:ascii="Times New Roman" w:hAnsi="Times New Roman"/>
          <w:sz w:val="24"/>
          <w:szCs w:val="24"/>
          <w:lang w:val="en-US" w:eastAsia="ru-RU"/>
        </w:rPr>
      </w:pPr>
    </w:p>
    <w:p w:rsidR="006B0CDE" w:rsidRPr="008E4C50" w:rsidRDefault="006B0CDE" w:rsidP="002D2B57">
      <w:pPr>
        <w:tabs>
          <w:tab w:val="left" w:pos="5040"/>
        </w:tabs>
        <w:spacing w:after="0" w:line="360" w:lineRule="auto"/>
        <w:ind w:firstLine="709"/>
        <w:jc w:val="both"/>
        <w:rPr>
          <w:rFonts w:ascii="Times New Roman" w:hAnsi="Times New Roman"/>
          <w:sz w:val="24"/>
          <w:szCs w:val="24"/>
          <w:lang w:eastAsia="ru-RU"/>
        </w:rPr>
      </w:pPr>
      <w:r w:rsidRPr="008E4C50">
        <w:rPr>
          <w:rFonts w:ascii="Times New Roman" w:hAnsi="Times New Roman"/>
          <w:sz w:val="24"/>
          <w:szCs w:val="24"/>
          <w:lang w:eastAsia="ru-RU"/>
        </w:rPr>
        <w:t>В современных условиях важную роль играет расширение экономического сотрудничества БРИКС со странами – членами ЕС. Эффективному обеспечению экономических интересов субъектов хозяйствования в рамках реализации программ развития способствует деятельность межгосударственных банков. Опыт США, Японии, ряда европейских стран показал, что в рамках участия институтов развития имеет место эффективное разделение ответственности и рисков. Практика показала, что каждый проект предполагает формирование отдельного механизма. Основной моделью бизнес-процесса с участием межгосударственных институтов является партнёрство, когда возможно реализовать проект только совместными усилиями. В целом такие проекты имеют социальную направленность, когда результат важен для общества, и предполагают безубыточную деятельность участников: для институтов развития - дополнительные возможности модернизации экономик, а для бизнеса – развитие. При этом необходима политическая воля, разделение полномочий, прозрачность деятельности, ясность целей, задач и способов их решения.</w:t>
      </w:r>
    </w:p>
    <w:p w:rsidR="006B0CDE" w:rsidRPr="008E4C50" w:rsidRDefault="006B0CDE" w:rsidP="002D2B57">
      <w:pPr>
        <w:spacing w:after="0" w:line="360" w:lineRule="auto"/>
        <w:ind w:firstLine="709"/>
        <w:jc w:val="both"/>
        <w:rPr>
          <w:rFonts w:ascii="Times New Roman" w:hAnsi="Times New Roman"/>
          <w:sz w:val="24"/>
          <w:szCs w:val="24"/>
          <w:lang w:eastAsia="ru-RU"/>
        </w:rPr>
      </w:pPr>
      <w:r w:rsidRPr="008E4C50">
        <w:rPr>
          <w:rFonts w:ascii="Times New Roman" w:hAnsi="Times New Roman"/>
          <w:sz w:val="24"/>
          <w:szCs w:val="24"/>
          <w:lang w:eastAsia="ru-RU"/>
        </w:rPr>
        <w:t xml:space="preserve">Особую роль институты развития играют в реализации совместных инновационных проектов БРИКС – ЕС, когда стороны тщательно оценивают возможности и механизмы достижения целей, формируют партнёрские отношения, цель которых - предложение обществу новых продуктов или услуг, финансовый инжиниринг бизнес-процессов и пр. В целом, роль государства – обеспечить через своих агентов условия реализации стратегий, в результате которых осуществляется творческая идея, нововведение, преобразование в экономической, технической, социальной или иной области, связанной с изобретениями, открытиями. </w:t>
      </w:r>
    </w:p>
    <w:p w:rsidR="006B0CDE" w:rsidRPr="008E4C50" w:rsidRDefault="006B0CDE" w:rsidP="002D2B57">
      <w:pPr>
        <w:spacing w:after="0" w:line="360" w:lineRule="auto"/>
        <w:ind w:firstLine="709"/>
        <w:jc w:val="both"/>
        <w:rPr>
          <w:rFonts w:ascii="Times New Roman" w:hAnsi="Times New Roman"/>
          <w:sz w:val="24"/>
          <w:szCs w:val="24"/>
          <w:lang w:eastAsia="ru-RU"/>
        </w:rPr>
      </w:pPr>
      <w:r w:rsidRPr="008E4C50">
        <w:rPr>
          <w:rFonts w:ascii="Times New Roman" w:hAnsi="Times New Roman"/>
          <w:sz w:val="24"/>
          <w:szCs w:val="24"/>
          <w:lang w:eastAsia="ru-RU"/>
        </w:rPr>
        <w:t>Каждое предприятие, отрасль, регион стремится к реализации преимущественно своих интересов и руководствуется «эгоистическими» потребностями микроструктуры. Эффективные межгосударственные отношения стран БРИКС - ЕС в финансовой сфере способны обеспечить реализацию разумных отношений между микро- и макроэкономикой – частным и целым, опираясь, в том числе на партнёрство с «бизнесом».</w:t>
      </w:r>
    </w:p>
    <w:p w:rsidR="006B0CDE" w:rsidRPr="008E4C50" w:rsidRDefault="006B0CDE" w:rsidP="002D2B57">
      <w:pPr>
        <w:spacing w:after="0" w:line="360" w:lineRule="auto"/>
        <w:ind w:firstLine="709"/>
        <w:jc w:val="both"/>
        <w:rPr>
          <w:rFonts w:ascii="Times New Roman" w:eastAsia="Arial Unicode MS" w:hAnsi="Times New Roman"/>
          <w:sz w:val="24"/>
          <w:szCs w:val="24"/>
          <w:lang w:eastAsia="ru-RU"/>
        </w:rPr>
      </w:pPr>
      <w:r w:rsidRPr="008E4C50">
        <w:rPr>
          <w:rFonts w:ascii="Times New Roman" w:hAnsi="Times New Roman"/>
          <w:sz w:val="24"/>
          <w:szCs w:val="24"/>
          <w:lang w:eastAsia="ru-RU"/>
        </w:rPr>
        <w:t xml:space="preserve">Оценка условий развития мирового финансового рынка показала, что в настоящее время имеет место асимметрия макроэкономических и финансовых отношений, что требует разумного межгосударственного регулирования. Мировой опыт свидетельствует, что регулирование не означает вмешательства в экономическую деятельность, а представляет собой стремление к упорядочению взаимодействий в интересах стран с участием государственных институтов, способных создать благоприятные условия функционирования национальных экономик. Странам БРИКС и ЕС в рамках развития сотрудничества предстоит пройти путь упорядочения взаимодействий в финансовой сфере, что предполагает разработку совместных регламентаций, регулирующих работу рынков, субъектов хозяйствования и использования ими инструментов обеспечения экономических потребностей. </w:t>
      </w:r>
    </w:p>
    <w:p w:rsidR="006B0CDE" w:rsidRPr="008E4C50" w:rsidRDefault="006B0CDE" w:rsidP="002D2B57">
      <w:pPr>
        <w:spacing w:after="0" w:line="360" w:lineRule="auto"/>
        <w:ind w:firstLine="709"/>
        <w:jc w:val="both"/>
        <w:rPr>
          <w:rFonts w:ascii="Times New Roman" w:hAnsi="Times New Roman"/>
          <w:sz w:val="24"/>
          <w:szCs w:val="24"/>
          <w:lang w:eastAsia="ru-RU"/>
        </w:rPr>
      </w:pPr>
      <w:r w:rsidRPr="008E4C50">
        <w:rPr>
          <w:rFonts w:ascii="Times New Roman" w:hAnsi="Times New Roman"/>
          <w:sz w:val="24"/>
          <w:szCs w:val="24"/>
          <w:lang w:eastAsia="ru-RU"/>
        </w:rPr>
        <w:t xml:space="preserve">В современных условиях развития мировой экономики основными целями сотрудничества стран БРИКС и ЕС являются: обеспечение экономического роста, повышение производства продукции, развитие наукоемких отраслей экономик, совершенствование структуры спроса и предложений, формирование условий финансово-экономической стабильности, включая регулирование уровня цен, повышение занятости населения стран-членов, реализация принципа социальной ответственности финансовых институтов, добросовестной конкуренции в интересах общества. В свою очередь, расширение финансового сотрудничества стран БРИКС связано с соблюдением ряда принципов, к которым относится: </w:t>
      </w:r>
      <w:r w:rsidRPr="008E4C50">
        <w:rPr>
          <w:rFonts w:ascii="Times New Roman" w:hAnsi="Times New Roman"/>
          <w:spacing w:val="-4"/>
          <w:sz w:val="24"/>
          <w:szCs w:val="24"/>
          <w:lang w:eastAsia="ru-RU"/>
        </w:rPr>
        <w:t xml:space="preserve">обеспечение поступательного характера преобразований, поддержка рынка на базе межгосударственного администрирования и совместимого правового обеспечения деятельности субъектов хозяйствования, </w:t>
      </w:r>
      <w:r w:rsidRPr="008E4C50">
        <w:rPr>
          <w:rFonts w:ascii="Times New Roman" w:hAnsi="Times New Roman"/>
          <w:sz w:val="24"/>
          <w:szCs w:val="24"/>
          <w:lang w:eastAsia="ru-RU"/>
        </w:rPr>
        <w:t>стимулирование взаимодействия государства и бизнеса на многосторонней и двусторонней основе.</w:t>
      </w:r>
    </w:p>
    <w:p w:rsidR="006B0CDE" w:rsidRPr="008E4C50" w:rsidRDefault="006B0CDE" w:rsidP="002D2B57">
      <w:pPr>
        <w:pStyle w:val="NormalWeb"/>
        <w:spacing w:after="0" w:line="360" w:lineRule="auto"/>
        <w:ind w:firstLine="709"/>
        <w:jc w:val="both"/>
        <w:rPr>
          <w:lang w:eastAsia="ru-RU"/>
        </w:rPr>
      </w:pPr>
      <w:r w:rsidRPr="008E4C50">
        <w:rPr>
          <w:lang w:eastAsia="ru-RU"/>
        </w:rPr>
        <w:t>В свою очередь, важным механизмом реализации целей сотрудничества БРИКС является Новый банк развития. Укрепление его роли в мирохозяйственных связях во многом связано с совершенствованием сотрудничества Банка с кредитными институтами стран-членов, включая региональные банки развития. Практика показала, что региональные банки развития обеспечивают реализацию экономических интересов в рамках соответствующих регионов и преследуют цели долгосрочного кредитования и финансирования субъектов хозяйствования с учётом особенностей развития стран-членов. Причинами повышения роли региональных банков развития в настоящее время являются: повышение роли региональных объединений и развивающихся стран, необходимость финансовой поддержки проектов, направленных на развитие соответствующих регионов, развитие международного сотрудничества, необходимость обслуживания международного движения капитала, товаров и услуг с учётом стратегических интересов региональных объединений.</w:t>
      </w:r>
    </w:p>
    <w:p w:rsidR="006B0CDE" w:rsidRPr="008E4C50" w:rsidRDefault="006B0CDE" w:rsidP="002D2B57">
      <w:pPr>
        <w:spacing w:after="0" w:line="360" w:lineRule="auto"/>
        <w:ind w:firstLine="709"/>
        <w:jc w:val="both"/>
        <w:rPr>
          <w:rFonts w:ascii="Times New Roman" w:hAnsi="Times New Roman"/>
          <w:sz w:val="24"/>
          <w:szCs w:val="24"/>
          <w:lang w:eastAsia="ru-RU"/>
        </w:rPr>
      </w:pPr>
      <w:r w:rsidRPr="008E4C50">
        <w:rPr>
          <w:rFonts w:ascii="Times New Roman" w:hAnsi="Times New Roman"/>
          <w:sz w:val="24"/>
          <w:szCs w:val="24"/>
          <w:lang w:eastAsia="ru-RU"/>
        </w:rPr>
        <w:t xml:space="preserve">Общими чертами региональных банков развития, к которым относится и Банк развития БРИКС, являются: подходы к формированию ресурсной базы, мобилизации средств, созданию специальных фондов для реализации целевых проектов, в целом, консервативная кредитная, процентная политика. </w:t>
      </w:r>
    </w:p>
    <w:p w:rsidR="006B0CDE" w:rsidRPr="008E4C50" w:rsidRDefault="006B0CDE" w:rsidP="002D2B57">
      <w:pPr>
        <w:spacing w:after="0" w:line="360" w:lineRule="auto"/>
        <w:ind w:firstLine="709"/>
        <w:jc w:val="both"/>
        <w:rPr>
          <w:rFonts w:ascii="Times New Roman" w:hAnsi="Times New Roman"/>
          <w:sz w:val="24"/>
          <w:szCs w:val="24"/>
          <w:lang w:eastAsia="ru-RU"/>
        </w:rPr>
      </w:pPr>
      <w:r w:rsidRPr="008E4C50">
        <w:rPr>
          <w:rFonts w:ascii="Times New Roman" w:hAnsi="Times New Roman"/>
          <w:sz w:val="24"/>
          <w:szCs w:val="24"/>
          <w:lang w:eastAsia="ru-RU"/>
        </w:rPr>
        <w:t>Межгосударственные банки (РБР) предоставляют льготное кредитование в рамках ЕС на срок до 40 лет. Процентная ставка в среднем составляет от 0 до 4% годовых. При нулевой процентной ставке РБР обеспечивают доход на базе предоставления банковских продуктов и услуг в рамках реализации проектов клиентами и контрагентами.</w:t>
      </w:r>
    </w:p>
    <w:p w:rsidR="006B0CDE" w:rsidRPr="008E4C50" w:rsidRDefault="006B0CDE" w:rsidP="002D2B57">
      <w:pPr>
        <w:spacing w:after="0" w:line="360" w:lineRule="auto"/>
        <w:ind w:firstLine="709"/>
        <w:jc w:val="both"/>
        <w:rPr>
          <w:rFonts w:ascii="Times New Roman" w:hAnsi="Times New Roman"/>
          <w:sz w:val="24"/>
          <w:szCs w:val="24"/>
          <w:lang w:eastAsia="ru-RU"/>
        </w:rPr>
      </w:pPr>
      <w:r w:rsidRPr="008E4C50">
        <w:rPr>
          <w:rFonts w:ascii="Times New Roman" w:hAnsi="Times New Roman"/>
          <w:sz w:val="24"/>
          <w:szCs w:val="24"/>
          <w:lang w:eastAsia="ru-RU"/>
        </w:rPr>
        <w:t>Финансирование проектов РБР осуществляется с использованием механизмов частного, государственного и беспроцентного кредитования, что способствует развитию инфраструктуры, промышленности, сельского хозяйства, инноваций, предпринимательства и других проектов, направленных на развитие региона и обеспечение экономических интересов стран-членов и заинтересованных сторон. РБР активно сотрудничают с местными финансовыми институтами, в том числе на конкурсной основе.</w:t>
      </w:r>
    </w:p>
    <w:p w:rsidR="006B0CDE" w:rsidRPr="008E4C50" w:rsidRDefault="006B0CDE" w:rsidP="002D2B57">
      <w:pPr>
        <w:spacing w:after="0" w:line="360" w:lineRule="auto"/>
        <w:ind w:firstLine="709"/>
        <w:jc w:val="both"/>
        <w:rPr>
          <w:rFonts w:ascii="Times New Roman" w:hAnsi="Times New Roman"/>
          <w:sz w:val="24"/>
          <w:szCs w:val="24"/>
        </w:rPr>
      </w:pPr>
      <w:r w:rsidRPr="008E4C50">
        <w:rPr>
          <w:rFonts w:ascii="Times New Roman" w:hAnsi="Times New Roman"/>
          <w:sz w:val="24"/>
          <w:szCs w:val="24"/>
          <w:lang w:eastAsia="ru-RU"/>
        </w:rPr>
        <w:t>В условиях обострения конкурентной борьбы на глобальном рынке капиталов и услуг особый интерес для экономики России представляет сотрудничество БРИКС – ЕС на базе использования инструментов долевого (беспроцентного) финансирования</w:t>
      </w:r>
      <w:r w:rsidRPr="008E4C50">
        <w:rPr>
          <w:rFonts w:ascii="Times New Roman" w:hAnsi="Times New Roman"/>
          <w:sz w:val="24"/>
          <w:szCs w:val="24"/>
        </w:rPr>
        <w:t xml:space="preserve"> деятельности субъектов хозяйствования – потребителей и производителей отечественной промышленной продукции, технологий, металлопродукции, драгоценных металлов, вооружения и некоторых видов сырья. </w:t>
      </w:r>
      <w:r w:rsidRPr="008E4C50">
        <w:rPr>
          <w:rFonts w:ascii="Times New Roman" w:hAnsi="Times New Roman"/>
          <w:sz w:val="24"/>
          <w:szCs w:val="24"/>
          <w:lang w:eastAsia="ru-RU"/>
        </w:rPr>
        <w:t xml:space="preserve">В этой связи </w:t>
      </w:r>
      <w:r w:rsidRPr="008E4C50">
        <w:rPr>
          <w:rFonts w:ascii="Times New Roman" w:hAnsi="Times New Roman"/>
          <w:spacing w:val="-1"/>
          <w:sz w:val="24"/>
          <w:szCs w:val="24"/>
        </w:rPr>
        <w:t>показателен пример Индии, которая является не только крупным реципиентом капитала, но и 3-м по размеру инвестором в экономику стран-партнёров на базе развития сотрудничества с суверенными инвестиционными фондами, сформированными с участием европейских и арабских инвесторов.</w:t>
      </w:r>
      <w:r w:rsidRPr="008E4C50">
        <w:rPr>
          <w:rFonts w:ascii="Times New Roman" w:hAnsi="Times New Roman"/>
          <w:i/>
          <w:sz w:val="24"/>
          <w:szCs w:val="24"/>
        </w:rPr>
        <w:t xml:space="preserve"> </w:t>
      </w:r>
      <w:r w:rsidRPr="008E4C50">
        <w:rPr>
          <w:rFonts w:ascii="Times New Roman" w:hAnsi="Times New Roman"/>
          <w:sz w:val="24"/>
          <w:szCs w:val="24"/>
        </w:rPr>
        <w:t>В то время как для России использование инструментов долевого (беспроцентного) финансирования в настоящее время выходит за рамки регулирования финансового рынка. В свою очередь,</w:t>
      </w:r>
      <w:r w:rsidRPr="008E4C50">
        <w:rPr>
          <w:rFonts w:ascii="Times New Roman" w:hAnsi="Times New Roman"/>
          <w:i/>
          <w:sz w:val="24"/>
          <w:szCs w:val="24"/>
        </w:rPr>
        <w:t xml:space="preserve"> </w:t>
      </w:r>
      <w:r w:rsidRPr="008E4C50">
        <w:rPr>
          <w:rFonts w:ascii="Times New Roman" w:hAnsi="Times New Roman"/>
          <w:sz w:val="24"/>
          <w:szCs w:val="24"/>
        </w:rPr>
        <w:t xml:space="preserve">страны Персидского залива рассматривают инвестиции в страны БРИКС и СНГ как выгодную возможность диверсификации международного сотрудничества и снижения концентрации капитала в </w:t>
      </w:r>
      <w:r>
        <w:rPr>
          <w:rFonts w:ascii="Times New Roman" w:hAnsi="Times New Roman"/>
          <w:sz w:val="24"/>
          <w:szCs w:val="24"/>
        </w:rPr>
        <w:t>е</w:t>
      </w:r>
      <w:r w:rsidRPr="008E4C50">
        <w:rPr>
          <w:rFonts w:ascii="Times New Roman" w:hAnsi="Times New Roman"/>
          <w:sz w:val="24"/>
          <w:szCs w:val="24"/>
        </w:rPr>
        <w:t>вропейских странах. В этой связи для Российской Федерации значительный интерес представляют суверенные инвестиционные фонды экспорта арабско</w:t>
      </w:r>
      <w:r>
        <w:rPr>
          <w:rFonts w:ascii="Times New Roman" w:hAnsi="Times New Roman"/>
          <w:sz w:val="24"/>
          <w:szCs w:val="24"/>
        </w:rPr>
        <w:t>-</w:t>
      </w:r>
      <w:r w:rsidRPr="008E4C50">
        <w:rPr>
          <w:rFonts w:ascii="Times New Roman" w:hAnsi="Times New Roman"/>
          <w:sz w:val="24"/>
          <w:szCs w:val="24"/>
        </w:rPr>
        <w:t>европейского капитала.</w:t>
      </w:r>
    </w:p>
    <w:p w:rsidR="006B0CDE" w:rsidRPr="008E4C50" w:rsidRDefault="006B0CDE" w:rsidP="002D2B57">
      <w:pPr>
        <w:autoSpaceDE w:val="0"/>
        <w:autoSpaceDN w:val="0"/>
        <w:adjustRightInd w:val="0"/>
        <w:spacing w:after="0" w:line="360" w:lineRule="auto"/>
        <w:ind w:firstLine="709"/>
        <w:jc w:val="both"/>
        <w:rPr>
          <w:rFonts w:ascii="Times New Roman" w:hAnsi="Times New Roman"/>
          <w:b/>
          <w:sz w:val="24"/>
          <w:szCs w:val="24"/>
        </w:rPr>
      </w:pPr>
      <w:r w:rsidRPr="008E4C50">
        <w:rPr>
          <w:rFonts w:ascii="Times New Roman" w:hAnsi="Times New Roman"/>
          <w:sz w:val="24"/>
          <w:szCs w:val="24"/>
        </w:rPr>
        <w:t>В Таблице 1 приведены основные типы арабских инвесторов, их мотивы, цели и механизмы инвестирования.</w:t>
      </w:r>
      <w:r w:rsidRPr="008E4C50">
        <w:rPr>
          <w:rFonts w:ascii="Times New Roman" w:hAnsi="Times New Roman"/>
          <w:b/>
          <w:sz w:val="24"/>
          <w:szCs w:val="24"/>
        </w:rPr>
        <w:t xml:space="preserve"> </w:t>
      </w:r>
    </w:p>
    <w:p w:rsidR="006B0CDE" w:rsidRPr="008E4C50" w:rsidRDefault="006B0CDE" w:rsidP="008E4C50">
      <w:pPr>
        <w:autoSpaceDE w:val="0"/>
        <w:autoSpaceDN w:val="0"/>
        <w:adjustRightInd w:val="0"/>
        <w:spacing w:after="0" w:line="360" w:lineRule="auto"/>
        <w:ind w:firstLine="709"/>
        <w:jc w:val="right"/>
        <w:rPr>
          <w:rFonts w:ascii="Times New Roman" w:hAnsi="Times New Roman"/>
          <w:sz w:val="24"/>
          <w:szCs w:val="24"/>
        </w:rPr>
      </w:pPr>
      <w:r w:rsidRPr="008E4C50">
        <w:rPr>
          <w:rFonts w:ascii="Times New Roman" w:hAnsi="Times New Roman"/>
          <w:sz w:val="24"/>
          <w:szCs w:val="24"/>
        </w:rPr>
        <w:t xml:space="preserve">Таблица 1 </w:t>
      </w:r>
    </w:p>
    <w:p w:rsidR="006B0CDE" w:rsidRPr="008E4C50" w:rsidRDefault="006B0CDE" w:rsidP="002D2B57">
      <w:pPr>
        <w:autoSpaceDE w:val="0"/>
        <w:autoSpaceDN w:val="0"/>
        <w:adjustRightInd w:val="0"/>
        <w:spacing w:after="0" w:line="360" w:lineRule="auto"/>
        <w:ind w:firstLine="709"/>
        <w:jc w:val="both"/>
        <w:rPr>
          <w:rFonts w:ascii="Times New Roman" w:hAnsi="Times New Roman"/>
          <w:b/>
          <w:sz w:val="24"/>
          <w:szCs w:val="24"/>
        </w:rPr>
      </w:pPr>
      <w:r w:rsidRPr="008E4C50">
        <w:rPr>
          <w:rFonts w:ascii="Times New Roman" w:hAnsi="Times New Roman"/>
          <w:sz w:val="24"/>
          <w:szCs w:val="24"/>
        </w:rPr>
        <w:t>Основные типы суверенных инвестиционных инвесторов</w:t>
      </w:r>
    </w:p>
    <w:tbl>
      <w:tblPr>
        <w:tblW w:w="50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55"/>
        <w:gridCol w:w="1879"/>
        <w:gridCol w:w="1843"/>
        <w:gridCol w:w="1902"/>
        <w:gridCol w:w="1983"/>
      </w:tblGrid>
      <w:tr w:rsidR="006B0CDE" w:rsidRPr="008E4C50" w:rsidTr="001D1124">
        <w:tc>
          <w:tcPr>
            <w:tcW w:w="980" w:type="pct"/>
          </w:tcPr>
          <w:p w:rsidR="006B0CDE" w:rsidRPr="008E4C50" w:rsidRDefault="006B0CDE" w:rsidP="008E4C50">
            <w:pPr>
              <w:autoSpaceDE w:val="0"/>
              <w:autoSpaceDN w:val="0"/>
              <w:adjustRightInd w:val="0"/>
              <w:spacing w:after="0" w:line="240" w:lineRule="auto"/>
              <w:jc w:val="both"/>
              <w:rPr>
                <w:rFonts w:ascii="Times New Roman" w:hAnsi="Times New Roman"/>
                <w:sz w:val="24"/>
                <w:szCs w:val="24"/>
              </w:rPr>
            </w:pPr>
            <w:r w:rsidRPr="008E4C50">
              <w:rPr>
                <w:rFonts w:ascii="Times New Roman" w:hAnsi="Times New Roman"/>
                <w:sz w:val="24"/>
                <w:szCs w:val="24"/>
              </w:rPr>
              <w:t>Тип инвестора</w:t>
            </w:r>
          </w:p>
        </w:tc>
        <w:tc>
          <w:tcPr>
            <w:tcW w:w="993" w:type="pct"/>
          </w:tcPr>
          <w:p w:rsidR="006B0CDE" w:rsidRPr="008E4C50" w:rsidRDefault="006B0CDE" w:rsidP="008E4C50">
            <w:pPr>
              <w:autoSpaceDE w:val="0"/>
              <w:autoSpaceDN w:val="0"/>
              <w:adjustRightInd w:val="0"/>
              <w:spacing w:after="0" w:line="240" w:lineRule="auto"/>
              <w:jc w:val="both"/>
              <w:rPr>
                <w:rFonts w:ascii="Times New Roman" w:hAnsi="Times New Roman"/>
                <w:sz w:val="24"/>
                <w:szCs w:val="24"/>
              </w:rPr>
            </w:pPr>
            <w:r w:rsidRPr="008E4C50">
              <w:rPr>
                <w:rFonts w:ascii="Times New Roman" w:hAnsi="Times New Roman"/>
                <w:sz w:val="24"/>
                <w:szCs w:val="24"/>
              </w:rPr>
              <w:t>Основные цели/ мотивы инвестиций</w:t>
            </w:r>
          </w:p>
        </w:tc>
        <w:tc>
          <w:tcPr>
            <w:tcW w:w="974" w:type="pct"/>
          </w:tcPr>
          <w:p w:rsidR="006B0CDE" w:rsidRPr="008E4C50" w:rsidRDefault="006B0CDE" w:rsidP="008E4C50">
            <w:pPr>
              <w:autoSpaceDE w:val="0"/>
              <w:autoSpaceDN w:val="0"/>
              <w:adjustRightInd w:val="0"/>
              <w:spacing w:after="0" w:line="240" w:lineRule="auto"/>
              <w:jc w:val="both"/>
              <w:rPr>
                <w:rFonts w:ascii="Times New Roman" w:hAnsi="Times New Roman"/>
                <w:sz w:val="24"/>
                <w:szCs w:val="24"/>
              </w:rPr>
            </w:pPr>
            <w:r w:rsidRPr="008E4C50">
              <w:rPr>
                <w:rFonts w:ascii="Times New Roman" w:hAnsi="Times New Roman"/>
                <w:sz w:val="24"/>
                <w:szCs w:val="24"/>
              </w:rPr>
              <w:t>Объект инвестиций</w:t>
            </w:r>
          </w:p>
        </w:tc>
        <w:tc>
          <w:tcPr>
            <w:tcW w:w="1005" w:type="pct"/>
          </w:tcPr>
          <w:p w:rsidR="006B0CDE" w:rsidRPr="008E4C50" w:rsidRDefault="006B0CDE" w:rsidP="008E4C50">
            <w:pPr>
              <w:autoSpaceDE w:val="0"/>
              <w:autoSpaceDN w:val="0"/>
              <w:adjustRightInd w:val="0"/>
              <w:spacing w:after="0" w:line="240" w:lineRule="auto"/>
              <w:jc w:val="both"/>
              <w:rPr>
                <w:rFonts w:ascii="Times New Roman" w:hAnsi="Times New Roman"/>
                <w:sz w:val="24"/>
                <w:szCs w:val="24"/>
              </w:rPr>
            </w:pPr>
            <w:r w:rsidRPr="008E4C50">
              <w:rPr>
                <w:rFonts w:ascii="Times New Roman" w:hAnsi="Times New Roman"/>
                <w:sz w:val="24"/>
                <w:szCs w:val="24"/>
              </w:rPr>
              <w:t>Механизм инвестирования</w:t>
            </w:r>
          </w:p>
        </w:tc>
        <w:tc>
          <w:tcPr>
            <w:tcW w:w="1048" w:type="pct"/>
          </w:tcPr>
          <w:p w:rsidR="006B0CDE" w:rsidRPr="008E4C50" w:rsidRDefault="006B0CDE" w:rsidP="008E4C50">
            <w:pPr>
              <w:autoSpaceDE w:val="0"/>
              <w:autoSpaceDN w:val="0"/>
              <w:adjustRightInd w:val="0"/>
              <w:spacing w:after="0" w:line="240" w:lineRule="auto"/>
              <w:jc w:val="both"/>
              <w:rPr>
                <w:rFonts w:ascii="Times New Roman" w:hAnsi="Times New Roman"/>
                <w:sz w:val="24"/>
                <w:szCs w:val="24"/>
              </w:rPr>
            </w:pPr>
            <w:r w:rsidRPr="008E4C50">
              <w:rPr>
                <w:rFonts w:ascii="Times New Roman" w:hAnsi="Times New Roman"/>
                <w:sz w:val="24"/>
                <w:szCs w:val="24"/>
              </w:rPr>
              <w:t>Происхождение инвестиций</w:t>
            </w:r>
          </w:p>
        </w:tc>
      </w:tr>
      <w:tr w:rsidR="006B0CDE" w:rsidRPr="008E4C50" w:rsidTr="001D1124">
        <w:tc>
          <w:tcPr>
            <w:tcW w:w="980" w:type="pct"/>
          </w:tcPr>
          <w:p w:rsidR="006B0CDE" w:rsidRPr="008E4C50" w:rsidRDefault="006B0CDE" w:rsidP="008E4C50">
            <w:pPr>
              <w:autoSpaceDE w:val="0"/>
              <w:autoSpaceDN w:val="0"/>
              <w:adjustRightInd w:val="0"/>
              <w:spacing w:after="0" w:line="240" w:lineRule="auto"/>
              <w:jc w:val="both"/>
              <w:rPr>
                <w:rFonts w:ascii="Times New Roman" w:hAnsi="Times New Roman"/>
                <w:sz w:val="24"/>
                <w:szCs w:val="24"/>
              </w:rPr>
            </w:pPr>
            <w:r w:rsidRPr="008E4C50">
              <w:rPr>
                <w:rFonts w:ascii="Times New Roman" w:hAnsi="Times New Roman"/>
                <w:sz w:val="24"/>
                <w:szCs w:val="24"/>
              </w:rPr>
              <w:t>Центральные банки</w:t>
            </w:r>
          </w:p>
        </w:tc>
        <w:tc>
          <w:tcPr>
            <w:tcW w:w="993" w:type="pct"/>
          </w:tcPr>
          <w:p w:rsidR="006B0CDE" w:rsidRPr="008E4C50" w:rsidRDefault="006B0CDE" w:rsidP="008E4C50">
            <w:pPr>
              <w:autoSpaceDE w:val="0"/>
              <w:autoSpaceDN w:val="0"/>
              <w:adjustRightInd w:val="0"/>
              <w:spacing w:after="0" w:line="240" w:lineRule="auto"/>
              <w:jc w:val="both"/>
              <w:rPr>
                <w:rFonts w:ascii="Times New Roman" w:hAnsi="Times New Roman"/>
                <w:sz w:val="24"/>
                <w:szCs w:val="24"/>
              </w:rPr>
            </w:pPr>
            <w:r w:rsidRPr="008E4C50">
              <w:rPr>
                <w:rFonts w:ascii="Times New Roman" w:hAnsi="Times New Roman"/>
                <w:sz w:val="24"/>
                <w:szCs w:val="24"/>
              </w:rPr>
              <w:t>Стабилизация курса национал</w:t>
            </w:r>
            <w:r>
              <w:rPr>
                <w:rFonts w:ascii="Times New Roman" w:hAnsi="Times New Roman"/>
                <w:sz w:val="24"/>
                <w:szCs w:val="24"/>
              </w:rPr>
              <w:t>ь</w:t>
            </w:r>
            <w:r w:rsidRPr="008E4C50">
              <w:rPr>
                <w:rFonts w:ascii="Times New Roman" w:hAnsi="Times New Roman"/>
                <w:sz w:val="24"/>
                <w:szCs w:val="24"/>
              </w:rPr>
              <w:t>ных валют</w:t>
            </w:r>
          </w:p>
        </w:tc>
        <w:tc>
          <w:tcPr>
            <w:tcW w:w="974" w:type="pct"/>
          </w:tcPr>
          <w:p w:rsidR="006B0CDE" w:rsidRPr="008E4C50" w:rsidRDefault="006B0CDE" w:rsidP="008E4C50">
            <w:pPr>
              <w:autoSpaceDE w:val="0"/>
              <w:autoSpaceDN w:val="0"/>
              <w:adjustRightInd w:val="0"/>
              <w:spacing w:after="0" w:line="240" w:lineRule="auto"/>
              <w:jc w:val="both"/>
              <w:rPr>
                <w:rFonts w:ascii="Times New Roman" w:hAnsi="Times New Roman"/>
                <w:sz w:val="24"/>
                <w:szCs w:val="24"/>
              </w:rPr>
            </w:pPr>
            <w:r w:rsidRPr="008E4C50">
              <w:rPr>
                <w:rFonts w:ascii="Times New Roman" w:hAnsi="Times New Roman"/>
                <w:sz w:val="24"/>
                <w:szCs w:val="24"/>
              </w:rPr>
              <w:t>Наличность, долгосрочные государственные облигации</w:t>
            </w:r>
          </w:p>
        </w:tc>
        <w:tc>
          <w:tcPr>
            <w:tcW w:w="1005" w:type="pct"/>
          </w:tcPr>
          <w:p w:rsidR="006B0CDE" w:rsidRPr="008E4C50" w:rsidRDefault="006B0CDE" w:rsidP="008E4C50">
            <w:pPr>
              <w:autoSpaceDE w:val="0"/>
              <w:autoSpaceDN w:val="0"/>
              <w:adjustRightInd w:val="0"/>
              <w:spacing w:after="0" w:line="240" w:lineRule="auto"/>
              <w:jc w:val="both"/>
              <w:rPr>
                <w:rFonts w:ascii="Times New Roman" w:hAnsi="Times New Roman"/>
                <w:sz w:val="24"/>
                <w:szCs w:val="24"/>
              </w:rPr>
            </w:pPr>
            <w:r w:rsidRPr="008E4C50">
              <w:rPr>
                <w:rFonts w:ascii="Times New Roman" w:hAnsi="Times New Roman"/>
                <w:sz w:val="24"/>
                <w:szCs w:val="24"/>
              </w:rPr>
              <w:t>Фондовая биржа</w:t>
            </w:r>
          </w:p>
        </w:tc>
        <w:tc>
          <w:tcPr>
            <w:tcW w:w="1048" w:type="pct"/>
          </w:tcPr>
          <w:p w:rsidR="006B0CDE" w:rsidRPr="008E4C50" w:rsidRDefault="006B0CDE" w:rsidP="008E4C50">
            <w:pPr>
              <w:autoSpaceDE w:val="0"/>
              <w:autoSpaceDN w:val="0"/>
              <w:adjustRightInd w:val="0"/>
              <w:spacing w:after="0" w:line="240" w:lineRule="auto"/>
              <w:jc w:val="both"/>
              <w:rPr>
                <w:rFonts w:ascii="Times New Roman" w:hAnsi="Times New Roman"/>
                <w:sz w:val="24"/>
                <w:szCs w:val="24"/>
              </w:rPr>
            </w:pPr>
            <w:r w:rsidRPr="008E4C50">
              <w:rPr>
                <w:rFonts w:ascii="Times New Roman" w:hAnsi="Times New Roman"/>
                <w:sz w:val="24"/>
                <w:szCs w:val="24"/>
              </w:rPr>
              <w:t>Государственный капитал</w:t>
            </w:r>
          </w:p>
        </w:tc>
      </w:tr>
      <w:tr w:rsidR="006B0CDE" w:rsidRPr="008E4C50" w:rsidTr="001D1124">
        <w:tc>
          <w:tcPr>
            <w:tcW w:w="980" w:type="pct"/>
          </w:tcPr>
          <w:p w:rsidR="006B0CDE" w:rsidRPr="008E4C50" w:rsidRDefault="006B0CDE" w:rsidP="008E4C50">
            <w:pPr>
              <w:autoSpaceDE w:val="0"/>
              <w:autoSpaceDN w:val="0"/>
              <w:adjustRightInd w:val="0"/>
              <w:spacing w:after="0" w:line="240" w:lineRule="auto"/>
              <w:jc w:val="both"/>
              <w:rPr>
                <w:rFonts w:ascii="Times New Roman" w:hAnsi="Times New Roman"/>
                <w:sz w:val="24"/>
                <w:szCs w:val="24"/>
              </w:rPr>
            </w:pPr>
            <w:r w:rsidRPr="008E4C50">
              <w:rPr>
                <w:rFonts w:ascii="Times New Roman" w:hAnsi="Times New Roman"/>
                <w:sz w:val="24"/>
                <w:szCs w:val="24"/>
              </w:rPr>
              <w:t>Суверенные инвестиционные фонды (СИФы)</w:t>
            </w:r>
          </w:p>
        </w:tc>
        <w:tc>
          <w:tcPr>
            <w:tcW w:w="993" w:type="pct"/>
          </w:tcPr>
          <w:p w:rsidR="006B0CDE" w:rsidRPr="008E4C50" w:rsidRDefault="006B0CDE" w:rsidP="008E4C50">
            <w:pPr>
              <w:autoSpaceDE w:val="0"/>
              <w:autoSpaceDN w:val="0"/>
              <w:adjustRightInd w:val="0"/>
              <w:spacing w:after="0" w:line="240" w:lineRule="auto"/>
              <w:jc w:val="both"/>
              <w:rPr>
                <w:rFonts w:ascii="Times New Roman" w:hAnsi="Times New Roman"/>
                <w:sz w:val="24"/>
                <w:szCs w:val="24"/>
              </w:rPr>
            </w:pPr>
            <w:r w:rsidRPr="008E4C50">
              <w:rPr>
                <w:rFonts w:ascii="Times New Roman" w:hAnsi="Times New Roman"/>
                <w:sz w:val="24"/>
                <w:szCs w:val="24"/>
              </w:rPr>
              <w:t>Государственные цели: долгосрочное развитие</w:t>
            </w:r>
          </w:p>
        </w:tc>
        <w:tc>
          <w:tcPr>
            <w:tcW w:w="974" w:type="pct"/>
          </w:tcPr>
          <w:p w:rsidR="006B0CDE" w:rsidRPr="008E4C50" w:rsidRDefault="006B0CDE" w:rsidP="008E4C50">
            <w:pPr>
              <w:autoSpaceDE w:val="0"/>
              <w:autoSpaceDN w:val="0"/>
              <w:adjustRightInd w:val="0"/>
              <w:spacing w:after="0" w:line="240" w:lineRule="auto"/>
              <w:jc w:val="both"/>
              <w:rPr>
                <w:rFonts w:ascii="Times New Roman" w:hAnsi="Times New Roman"/>
                <w:sz w:val="24"/>
                <w:szCs w:val="24"/>
              </w:rPr>
            </w:pPr>
            <w:r w:rsidRPr="008E4C50">
              <w:rPr>
                <w:rFonts w:ascii="Times New Roman" w:hAnsi="Times New Roman"/>
                <w:sz w:val="24"/>
                <w:szCs w:val="24"/>
              </w:rPr>
              <w:t>Глобальные/</w:t>
            </w:r>
          </w:p>
          <w:p w:rsidR="006B0CDE" w:rsidRPr="008E4C50" w:rsidRDefault="006B0CDE" w:rsidP="008E4C50">
            <w:pPr>
              <w:autoSpaceDE w:val="0"/>
              <w:autoSpaceDN w:val="0"/>
              <w:adjustRightInd w:val="0"/>
              <w:spacing w:after="0" w:line="240" w:lineRule="auto"/>
              <w:jc w:val="both"/>
              <w:rPr>
                <w:rFonts w:ascii="Times New Roman" w:hAnsi="Times New Roman"/>
                <w:sz w:val="24"/>
                <w:szCs w:val="24"/>
              </w:rPr>
            </w:pPr>
            <w:r w:rsidRPr="008E4C50">
              <w:rPr>
                <w:rFonts w:ascii="Times New Roman" w:hAnsi="Times New Roman"/>
                <w:sz w:val="24"/>
                <w:szCs w:val="24"/>
              </w:rPr>
              <w:t>региональные финансовые активы и альтернативные инвестиции</w:t>
            </w:r>
          </w:p>
        </w:tc>
        <w:tc>
          <w:tcPr>
            <w:tcW w:w="1005" w:type="pct"/>
          </w:tcPr>
          <w:p w:rsidR="006B0CDE" w:rsidRPr="008E4C50" w:rsidRDefault="006B0CDE" w:rsidP="008E4C50">
            <w:pPr>
              <w:autoSpaceDE w:val="0"/>
              <w:autoSpaceDN w:val="0"/>
              <w:adjustRightInd w:val="0"/>
              <w:spacing w:after="0" w:line="240" w:lineRule="auto"/>
              <w:jc w:val="both"/>
              <w:rPr>
                <w:rFonts w:ascii="Times New Roman" w:hAnsi="Times New Roman"/>
                <w:sz w:val="24"/>
                <w:szCs w:val="24"/>
              </w:rPr>
            </w:pPr>
            <w:r w:rsidRPr="008E4C50">
              <w:rPr>
                <w:rFonts w:ascii="Times New Roman" w:hAnsi="Times New Roman"/>
                <w:sz w:val="24"/>
                <w:szCs w:val="24"/>
              </w:rPr>
              <w:t>Действуют через инвестиционные корпорации и хедж</w:t>
            </w:r>
            <w:r>
              <w:rPr>
                <w:rFonts w:ascii="Times New Roman" w:hAnsi="Times New Roman"/>
                <w:sz w:val="24"/>
                <w:szCs w:val="24"/>
              </w:rPr>
              <w:t>-</w:t>
            </w:r>
            <w:r w:rsidRPr="008E4C50">
              <w:rPr>
                <w:rFonts w:ascii="Times New Roman" w:hAnsi="Times New Roman"/>
                <w:sz w:val="24"/>
                <w:szCs w:val="24"/>
              </w:rPr>
              <w:t>фонды</w:t>
            </w:r>
          </w:p>
        </w:tc>
        <w:tc>
          <w:tcPr>
            <w:tcW w:w="1048" w:type="pct"/>
          </w:tcPr>
          <w:p w:rsidR="006B0CDE" w:rsidRPr="008E4C50" w:rsidRDefault="006B0CDE" w:rsidP="008E4C50">
            <w:pPr>
              <w:autoSpaceDE w:val="0"/>
              <w:autoSpaceDN w:val="0"/>
              <w:adjustRightInd w:val="0"/>
              <w:spacing w:after="0" w:line="240" w:lineRule="auto"/>
              <w:jc w:val="both"/>
              <w:rPr>
                <w:rFonts w:ascii="Times New Roman" w:hAnsi="Times New Roman"/>
                <w:sz w:val="24"/>
                <w:szCs w:val="24"/>
              </w:rPr>
            </w:pPr>
            <w:r w:rsidRPr="008E4C50">
              <w:rPr>
                <w:rFonts w:ascii="Times New Roman" w:hAnsi="Times New Roman"/>
                <w:sz w:val="24"/>
                <w:szCs w:val="24"/>
              </w:rPr>
              <w:t>Государственный капитал</w:t>
            </w:r>
          </w:p>
        </w:tc>
      </w:tr>
      <w:tr w:rsidR="006B0CDE" w:rsidRPr="008E4C50" w:rsidTr="001D1124">
        <w:tc>
          <w:tcPr>
            <w:tcW w:w="980" w:type="pct"/>
          </w:tcPr>
          <w:p w:rsidR="006B0CDE" w:rsidRPr="008E4C50" w:rsidRDefault="006B0CDE" w:rsidP="008E4C50">
            <w:pPr>
              <w:autoSpaceDE w:val="0"/>
              <w:autoSpaceDN w:val="0"/>
              <w:adjustRightInd w:val="0"/>
              <w:spacing w:after="0" w:line="240" w:lineRule="auto"/>
              <w:jc w:val="both"/>
              <w:rPr>
                <w:rFonts w:ascii="Times New Roman" w:hAnsi="Times New Roman"/>
                <w:sz w:val="24"/>
                <w:szCs w:val="24"/>
              </w:rPr>
            </w:pPr>
            <w:r w:rsidRPr="008E4C50">
              <w:rPr>
                <w:rFonts w:ascii="Times New Roman" w:hAnsi="Times New Roman"/>
                <w:sz w:val="24"/>
                <w:szCs w:val="24"/>
              </w:rPr>
              <w:t>Инвестиционные корпорации</w:t>
            </w:r>
          </w:p>
        </w:tc>
        <w:tc>
          <w:tcPr>
            <w:tcW w:w="993" w:type="pct"/>
          </w:tcPr>
          <w:p w:rsidR="006B0CDE" w:rsidRPr="008E4C50" w:rsidRDefault="006B0CDE" w:rsidP="008E4C50">
            <w:pPr>
              <w:autoSpaceDE w:val="0"/>
              <w:autoSpaceDN w:val="0"/>
              <w:adjustRightInd w:val="0"/>
              <w:spacing w:after="0" w:line="240" w:lineRule="auto"/>
              <w:jc w:val="both"/>
              <w:rPr>
                <w:rFonts w:ascii="Times New Roman" w:hAnsi="Times New Roman"/>
                <w:sz w:val="24"/>
                <w:szCs w:val="24"/>
              </w:rPr>
            </w:pPr>
            <w:r w:rsidRPr="008E4C50">
              <w:rPr>
                <w:rFonts w:ascii="Times New Roman" w:hAnsi="Times New Roman"/>
                <w:sz w:val="24"/>
                <w:szCs w:val="24"/>
              </w:rPr>
              <w:t>Отраслевая и региональная диверсификация</w:t>
            </w:r>
          </w:p>
        </w:tc>
        <w:tc>
          <w:tcPr>
            <w:tcW w:w="974" w:type="pct"/>
          </w:tcPr>
          <w:p w:rsidR="006B0CDE" w:rsidRPr="008E4C50" w:rsidRDefault="006B0CDE" w:rsidP="008E4C50">
            <w:pPr>
              <w:autoSpaceDE w:val="0"/>
              <w:autoSpaceDN w:val="0"/>
              <w:adjustRightInd w:val="0"/>
              <w:spacing w:after="0" w:line="240" w:lineRule="auto"/>
              <w:jc w:val="both"/>
              <w:rPr>
                <w:rFonts w:ascii="Times New Roman" w:hAnsi="Times New Roman"/>
                <w:sz w:val="24"/>
                <w:szCs w:val="24"/>
              </w:rPr>
            </w:pPr>
            <w:r w:rsidRPr="008E4C50">
              <w:rPr>
                <w:rFonts w:ascii="Times New Roman" w:hAnsi="Times New Roman"/>
                <w:sz w:val="24"/>
                <w:szCs w:val="24"/>
              </w:rPr>
              <w:t>Корпоративные активы</w:t>
            </w:r>
          </w:p>
        </w:tc>
        <w:tc>
          <w:tcPr>
            <w:tcW w:w="1005" w:type="pct"/>
          </w:tcPr>
          <w:p w:rsidR="006B0CDE" w:rsidRPr="008E4C50" w:rsidRDefault="006B0CDE" w:rsidP="008E4C50">
            <w:pPr>
              <w:autoSpaceDE w:val="0"/>
              <w:autoSpaceDN w:val="0"/>
              <w:adjustRightInd w:val="0"/>
              <w:spacing w:after="0" w:line="240" w:lineRule="auto"/>
              <w:jc w:val="both"/>
              <w:rPr>
                <w:rFonts w:ascii="Times New Roman" w:hAnsi="Times New Roman"/>
                <w:sz w:val="24"/>
                <w:szCs w:val="24"/>
              </w:rPr>
            </w:pPr>
            <w:r w:rsidRPr="008E4C50">
              <w:rPr>
                <w:rFonts w:ascii="Times New Roman" w:hAnsi="Times New Roman"/>
                <w:sz w:val="24"/>
                <w:szCs w:val="24"/>
              </w:rPr>
              <w:t>Действуют напрямую</w:t>
            </w:r>
          </w:p>
        </w:tc>
        <w:tc>
          <w:tcPr>
            <w:tcW w:w="1048" w:type="pct"/>
          </w:tcPr>
          <w:p w:rsidR="006B0CDE" w:rsidRPr="008E4C50" w:rsidRDefault="006B0CDE" w:rsidP="008E4C50">
            <w:pPr>
              <w:autoSpaceDE w:val="0"/>
              <w:autoSpaceDN w:val="0"/>
              <w:adjustRightInd w:val="0"/>
              <w:spacing w:after="0" w:line="240" w:lineRule="auto"/>
              <w:jc w:val="both"/>
              <w:rPr>
                <w:rFonts w:ascii="Times New Roman" w:hAnsi="Times New Roman"/>
                <w:sz w:val="24"/>
                <w:szCs w:val="24"/>
              </w:rPr>
            </w:pPr>
            <w:r w:rsidRPr="008E4C50">
              <w:rPr>
                <w:rFonts w:ascii="Times New Roman" w:hAnsi="Times New Roman"/>
                <w:sz w:val="24"/>
                <w:szCs w:val="24"/>
              </w:rPr>
              <w:t>Государственно-частный капитал</w:t>
            </w:r>
          </w:p>
        </w:tc>
      </w:tr>
      <w:tr w:rsidR="006B0CDE" w:rsidRPr="008E4C50" w:rsidTr="001D1124">
        <w:tc>
          <w:tcPr>
            <w:tcW w:w="980" w:type="pct"/>
          </w:tcPr>
          <w:p w:rsidR="006B0CDE" w:rsidRPr="008E4C50" w:rsidRDefault="006B0CDE" w:rsidP="008E4C50">
            <w:pPr>
              <w:autoSpaceDE w:val="0"/>
              <w:autoSpaceDN w:val="0"/>
              <w:adjustRightInd w:val="0"/>
              <w:spacing w:after="0" w:line="240" w:lineRule="auto"/>
              <w:jc w:val="both"/>
              <w:rPr>
                <w:rFonts w:ascii="Times New Roman" w:hAnsi="Times New Roman"/>
                <w:sz w:val="24"/>
                <w:szCs w:val="24"/>
              </w:rPr>
            </w:pPr>
            <w:r w:rsidRPr="008E4C50">
              <w:rPr>
                <w:rFonts w:ascii="Times New Roman" w:hAnsi="Times New Roman"/>
                <w:sz w:val="24"/>
                <w:szCs w:val="24"/>
              </w:rPr>
              <w:t>Частные компании</w:t>
            </w:r>
          </w:p>
        </w:tc>
        <w:tc>
          <w:tcPr>
            <w:tcW w:w="993" w:type="pct"/>
          </w:tcPr>
          <w:p w:rsidR="006B0CDE" w:rsidRPr="008E4C50" w:rsidRDefault="006B0CDE" w:rsidP="008E4C50">
            <w:pPr>
              <w:autoSpaceDE w:val="0"/>
              <w:autoSpaceDN w:val="0"/>
              <w:adjustRightInd w:val="0"/>
              <w:spacing w:after="0" w:line="240" w:lineRule="auto"/>
              <w:jc w:val="both"/>
              <w:rPr>
                <w:rFonts w:ascii="Times New Roman" w:hAnsi="Times New Roman"/>
                <w:sz w:val="24"/>
                <w:szCs w:val="24"/>
              </w:rPr>
            </w:pPr>
            <w:r w:rsidRPr="008E4C50">
              <w:rPr>
                <w:rFonts w:ascii="Times New Roman" w:hAnsi="Times New Roman"/>
                <w:sz w:val="24"/>
                <w:szCs w:val="24"/>
              </w:rPr>
              <w:t>Экономические цели: получение прибыли и контроля</w:t>
            </w:r>
          </w:p>
        </w:tc>
        <w:tc>
          <w:tcPr>
            <w:tcW w:w="974" w:type="pct"/>
          </w:tcPr>
          <w:p w:rsidR="006B0CDE" w:rsidRPr="008E4C50" w:rsidRDefault="006B0CDE" w:rsidP="008E4C50">
            <w:pPr>
              <w:autoSpaceDE w:val="0"/>
              <w:autoSpaceDN w:val="0"/>
              <w:adjustRightInd w:val="0"/>
              <w:spacing w:after="0" w:line="240" w:lineRule="auto"/>
              <w:jc w:val="both"/>
              <w:rPr>
                <w:rFonts w:ascii="Times New Roman" w:hAnsi="Times New Roman"/>
                <w:sz w:val="24"/>
                <w:szCs w:val="24"/>
              </w:rPr>
            </w:pPr>
            <w:r w:rsidRPr="008E4C50">
              <w:rPr>
                <w:rFonts w:ascii="Times New Roman" w:hAnsi="Times New Roman"/>
                <w:sz w:val="24"/>
                <w:szCs w:val="24"/>
              </w:rPr>
              <w:t>Корпоративные активы и реализация конкретных проектов</w:t>
            </w:r>
          </w:p>
        </w:tc>
        <w:tc>
          <w:tcPr>
            <w:tcW w:w="1005" w:type="pct"/>
          </w:tcPr>
          <w:p w:rsidR="006B0CDE" w:rsidRPr="008E4C50" w:rsidRDefault="006B0CDE" w:rsidP="008E4C50">
            <w:pPr>
              <w:autoSpaceDE w:val="0"/>
              <w:autoSpaceDN w:val="0"/>
              <w:adjustRightInd w:val="0"/>
              <w:spacing w:after="0" w:line="240" w:lineRule="auto"/>
              <w:jc w:val="both"/>
              <w:rPr>
                <w:rFonts w:ascii="Times New Roman" w:hAnsi="Times New Roman"/>
                <w:sz w:val="24"/>
                <w:szCs w:val="24"/>
              </w:rPr>
            </w:pPr>
            <w:r w:rsidRPr="008E4C50">
              <w:rPr>
                <w:rFonts w:ascii="Times New Roman" w:hAnsi="Times New Roman"/>
                <w:sz w:val="24"/>
                <w:szCs w:val="24"/>
              </w:rPr>
              <w:t>Действуют напрямую или через посредников</w:t>
            </w:r>
          </w:p>
        </w:tc>
        <w:tc>
          <w:tcPr>
            <w:tcW w:w="1048" w:type="pct"/>
          </w:tcPr>
          <w:p w:rsidR="006B0CDE" w:rsidRPr="008E4C50" w:rsidRDefault="006B0CDE" w:rsidP="008E4C50">
            <w:pPr>
              <w:autoSpaceDE w:val="0"/>
              <w:autoSpaceDN w:val="0"/>
              <w:adjustRightInd w:val="0"/>
              <w:spacing w:after="0" w:line="240" w:lineRule="auto"/>
              <w:jc w:val="both"/>
              <w:rPr>
                <w:rFonts w:ascii="Times New Roman" w:hAnsi="Times New Roman"/>
                <w:sz w:val="24"/>
                <w:szCs w:val="24"/>
              </w:rPr>
            </w:pPr>
            <w:r w:rsidRPr="008E4C50">
              <w:rPr>
                <w:rFonts w:ascii="Times New Roman" w:hAnsi="Times New Roman"/>
                <w:sz w:val="24"/>
                <w:szCs w:val="24"/>
              </w:rPr>
              <w:t>Частный капитал</w:t>
            </w:r>
          </w:p>
        </w:tc>
      </w:tr>
      <w:tr w:rsidR="006B0CDE" w:rsidRPr="008E4C50" w:rsidTr="001D1124">
        <w:tc>
          <w:tcPr>
            <w:tcW w:w="980" w:type="pct"/>
          </w:tcPr>
          <w:p w:rsidR="006B0CDE" w:rsidRPr="008E4C50" w:rsidRDefault="006B0CDE" w:rsidP="008E4C50">
            <w:pPr>
              <w:autoSpaceDE w:val="0"/>
              <w:autoSpaceDN w:val="0"/>
              <w:adjustRightInd w:val="0"/>
              <w:spacing w:after="0" w:line="240" w:lineRule="auto"/>
              <w:jc w:val="both"/>
              <w:rPr>
                <w:rFonts w:ascii="Times New Roman" w:hAnsi="Times New Roman"/>
                <w:sz w:val="24"/>
                <w:szCs w:val="24"/>
              </w:rPr>
            </w:pPr>
            <w:r w:rsidRPr="008E4C50">
              <w:rPr>
                <w:rFonts w:ascii="Times New Roman" w:hAnsi="Times New Roman"/>
                <w:sz w:val="24"/>
                <w:szCs w:val="24"/>
              </w:rPr>
              <w:t>Физические лица</w:t>
            </w:r>
          </w:p>
        </w:tc>
        <w:tc>
          <w:tcPr>
            <w:tcW w:w="993" w:type="pct"/>
          </w:tcPr>
          <w:p w:rsidR="006B0CDE" w:rsidRPr="008E4C50" w:rsidRDefault="006B0CDE" w:rsidP="008E4C50">
            <w:pPr>
              <w:autoSpaceDE w:val="0"/>
              <w:autoSpaceDN w:val="0"/>
              <w:adjustRightInd w:val="0"/>
              <w:spacing w:after="0" w:line="240" w:lineRule="auto"/>
              <w:jc w:val="both"/>
              <w:rPr>
                <w:rFonts w:ascii="Times New Roman" w:hAnsi="Times New Roman"/>
                <w:sz w:val="24"/>
                <w:szCs w:val="24"/>
              </w:rPr>
            </w:pPr>
            <w:r w:rsidRPr="008E4C50">
              <w:rPr>
                <w:rFonts w:ascii="Times New Roman" w:hAnsi="Times New Roman"/>
                <w:sz w:val="24"/>
                <w:szCs w:val="24"/>
              </w:rPr>
              <w:t>Сохранение и приращение капитала</w:t>
            </w:r>
          </w:p>
        </w:tc>
        <w:tc>
          <w:tcPr>
            <w:tcW w:w="974" w:type="pct"/>
          </w:tcPr>
          <w:p w:rsidR="006B0CDE" w:rsidRPr="008E4C50" w:rsidRDefault="006B0CDE" w:rsidP="008E4C50">
            <w:pPr>
              <w:autoSpaceDE w:val="0"/>
              <w:autoSpaceDN w:val="0"/>
              <w:adjustRightInd w:val="0"/>
              <w:spacing w:after="0" w:line="240" w:lineRule="auto"/>
              <w:jc w:val="both"/>
              <w:rPr>
                <w:rFonts w:ascii="Times New Roman" w:hAnsi="Times New Roman"/>
                <w:sz w:val="24"/>
                <w:szCs w:val="24"/>
              </w:rPr>
            </w:pPr>
            <w:r w:rsidRPr="008E4C50">
              <w:rPr>
                <w:rFonts w:ascii="Times New Roman" w:hAnsi="Times New Roman"/>
                <w:sz w:val="24"/>
                <w:szCs w:val="24"/>
              </w:rPr>
              <w:t>Недвижимость, депозиты, корпоративные активы</w:t>
            </w:r>
          </w:p>
        </w:tc>
        <w:tc>
          <w:tcPr>
            <w:tcW w:w="1005" w:type="pct"/>
          </w:tcPr>
          <w:p w:rsidR="006B0CDE" w:rsidRPr="008E4C50" w:rsidRDefault="006B0CDE" w:rsidP="008E4C50">
            <w:pPr>
              <w:autoSpaceDE w:val="0"/>
              <w:autoSpaceDN w:val="0"/>
              <w:adjustRightInd w:val="0"/>
              <w:spacing w:after="0" w:line="240" w:lineRule="auto"/>
              <w:jc w:val="both"/>
              <w:rPr>
                <w:rFonts w:ascii="Times New Roman" w:hAnsi="Times New Roman"/>
                <w:sz w:val="24"/>
                <w:szCs w:val="24"/>
              </w:rPr>
            </w:pPr>
            <w:r w:rsidRPr="008E4C50">
              <w:rPr>
                <w:rFonts w:ascii="Times New Roman" w:hAnsi="Times New Roman"/>
                <w:sz w:val="24"/>
                <w:szCs w:val="24"/>
              </w:rPr>
              <w:t xml:space="preserve">Используют финансовых посредников </w:t>
            </w:r>
          </w:p>
        </w:tc>
        <w:tc>
          <w:tcPr>
            <w:tcW w:w="1048" w:type="pct"/>
          </w:tcPr>
          <w:p w:rsidR="006B0CDE" w:rsidRPr="008E4C50" w:rsidRDefault="006B0CDE" w:rsidP="008E4C50">
            <w:pPr>
              <w:autoSpaceDE w:val="0"/>
              <w:autoSpaceDN w:val="0"/>
              <w:adjustRightInd w:val="0"/>
              <w:spacing w:after="0" w:line="240" w:lineRule="auto"/>
              <w:jc w:val="both"/>
              <w:rPr>
                <w:rFonts w:ascii="Times New Roman" w:hAnsi="Times New Roman"/>
                <w:sz w:val="24"/>
                <w:szCs w:val="24"/>
              </w:rPr>
            </w:pPr>
            <w:r w:rsidRPr="008E4C50">
              <w:rPr>
                <w:rFonts w:ascii="Times New Roman" w:hAnsi="Times New Roman"/>
                <w:sz w:val="24"/>
                <w:szCs w:val="24"/>
              </w:rPr>
              <w:t>Частный капитал</w:t>
            </w:r>
          </w:p>
        </w:tc>
      </w:tr>
    </w:tbl>
    <w:p w:rsidR="006B0CDE" w:rsidRPr="008E4C50" w:rsidRDefault="006B0CDE" w:rsidP="002D2B57">
      <w:pPr>
        <w:autoSpaceDE w:val="0"/>
        <w:autoSpaceDN w:val="0"/>
        <w:adjustRightInd w:val="0"/>
        <w:spacing w:after="0" w:line="360" w:lineRule="auto"/>
        <w:ind w:firstLine="709"/>
        <w:jc w:val="both"/>
        <w:rPr>
          <w:rFonts w:ascii="Times New Roman" w:hAnsi="Times New Roman"/>
          <w:sz w:val="24"/>
          <w:szCs w:val="24"/>
        </w:rPr>
      </w:pPr>
      <w:r w:rsidRPr="008E4C50">
        <w:rPr>
          <w:rFonts w:ascii="Times New Roman" w:hAnsi="Times New Roman"/>
          <w:sz w:val="24"/>
          <w:szCs w:val="24"/>
        </w:rPr>
        <w:t>Источник: Шкваря Л.В. Россия</w:t>
      </w:r>
      <w:r>
        <w:rPr>
          <w:rFonts w:ascii="Times New Roman" w:hAnsi="Times New Roman"/>
          <w:sz w:val="24"/>
          <w:szCs w:val="24"/>
        </w:rPr>
        <w:t xml:space="preserve"> </w:t>
      </w:r>
      <w:r w:rsidRPr="008E4C50">
        <w:rPr>
          <w:rFonts w:ascii="Times New Roman" w:hAnsi="Times New Roman"/>
          <w:sz w:val="24"/>
          <w:szCs w:val="24"/>
        </w:rPr>
        <w:t>-</w:t>
      </w:r>
      <w:r>
        <w:rPr>
          <w:rFonts w:ascii="Times New Roman" w:hAnsi="Times New Roman"/>
          <w:sz w:val="24"/>
          <w:szCs w:val="24"/>
        </w:rPr>
        <w:t xml:space="preserve"> </w:t>
      </w:r>
      <w:r w:rsidRPr="008E4C50">
        <w:rPr>
          <w:rFonts w:ascii="Times New Roman" w:hAnsi="Times New Roman"/>
          <w:sz w:val="24"/>
          <w:szCs w:val="24"/>
        </w:rPr>
        <w:t>страны Залива: инвестиционное сотрудничество</w:t>
      </w:r>
      <w:r>
        <w:rPr>
          <w:rFonts w:ascii="Times New Roman" w:hAnsi="Times New Roman"/>
          <w:sz w:val="24"/>
          <w:szCs w:val="24"/>
        </w:rPr>
        <w:t xml:space="preserve"> // Азия и Африка сегодня. – М., </w:t>
      </w:r>
      <w:r w:rsidRPr="008E4C50">
        <w:rPr>
          <w:rFonts w:ascii="Times New Roman" w:hAnsi="Times New Roman"/>
          <w:sz w:val="24"/>
          <w:szCs w:val="24"/>
        </w:rPr>
        <w:t>2011.</w:t>
      </w:r>
      <w:r>
        <w:rPr>
          <w:rFonts w:ascii="Times New Roman" w:hAnsi="Times New Roman"/>
          <w:sz w:val="24"/>
          <w:szCs w:val="24"/>
        </w:rPr>
        <w:t xml:space="preserve"> - </w:t>
      </w:r>
      <w:r w:rsidRPr="008E4C50">
        <w:rPr>
          <w:rFonts w:ascii="Times New Roman" w:hAnsi="Times New Roman"/>
          <w:sz w:val="24"/>
          <w:szCs w:val="24"/>
        </w:rPr>
        <w:t>№</w:t>
      </w:r>
      <w:r>
        <w:rPr>
          <w:rFonts w:ascii="Times New Roman" w:hAnsi="Times New Roman"/>
          <w:sz w:val="24"/>
          <w:szCs w:val="24"/>
        </w:rPr>
        <w:t xml:space="preserve"> 5.</w:t>
      </w:r>
    </w:p>
    <w:p w:rsidR="006B0CDE" w:rsidRPr="008E4C50" w:rsidRDefault="006B0CDE" w:rsidP="002D2B57">
      <w:pPr>
        <w:spacing w:after="0" w:line="360" w:lineRule="auto"/>
        <w:ind w:firstLine="709"/>
        <w:jc w:val="both"/>
        <w:rPr>
          <w:rFonts w:ascii="Times New Roman" w:hAnsi="Times New Roman"/>
          <w:sz w:val="24"/>
          <w:szCs w:val="24"/>
        </w:rPr>
      </w:pPr>
      <w:r w:rsidRPr="008E4C50">
        <w:rPr>
          <w:rFonts w:ascii="Times New Roman" w:hAnsi="Times New Roman"/>
          <w:sz w:val="24"/>
          <w:szCs w:val="24"/>
        </w:rPr>
        <w:t>Суверенный инвестиционный фонд (СИФ) – организация, оперирующая на международном рынке капитала бюджетными средствами государств и контролируемая правительствами стран</w:t>
      </w:r>
      <w:r>
        <w:rPr>
          <w:rFonts w:ascii="Times New Roman" w:hAnsi="Times New Roman"/>
          <w:sz w:val="24"/>
          <w:szCs w:val="24"/>
        </w:rPr>
        <w:t>-</w:t>
      </w:r>
      <w:r w:rsidRPr="008E4C50">
        <w:rPr>
          <w:rFonts w:ascii="Times New Roman" w:hAnsi="Times New Roman"/>
          <w:sz w:val="24"/>
          <w:szCs w:val="24"/>
        </w:rPr>
        <w:t>участниц. Финансовые активы СИФов включают акции, облигации, имущество, драгоценные металлы и другие финансовые инструменты. В целях развития деятельности СИФов правительства стран наделяют их значительной свободой рыночного маневра при распоряжении выделяемыми средствами. Более того, перед СИФами изначально ставится задача активно использовать рыночные возможности, связанные с вложениями в доходные, но одновременно и рискованные активы частного сектора. Для этого СИФы организационно и финансово отделяются от государственного бюджета и международных резервов страны. Фактически, они выступают в роли полноценных рыночных единиц, контролируемых правительствами соответствующих стран и, в конечном счете, действующих в интересах государства, но изначально целью создания и работы СИФов является защита и приращение национального благосостояния стран</w:t>
      </w:r>
      <w:r>
        <w:rPr>
          <w:rStyle w:val="FootnoteReference"/>
          <w:rFonts w:ascii="Times New Roman" w:hAnsi="Times New Roman"/>
          <w:sz w:val="24"/>
          <w:szCs w:val="24"/>
        </w:rPr>
        <w:footnoteReference w:id="1"/>
      </w:r>
      <w:r w:rsidRPr="008E4C50">
        <w:rPr>
          <w:rFonts w:ascii="Times New Roman" w:hAnsi="Times New Roman"/>
          <w:sz w:val="24"/>
          <w:szCs w:val="24"/>
        </w:rPr>
        <w:t>.</w:t>
      </w:r>
      <w:r w:rsidRPr="008E4C50">
        <w:rPr>
          <w:rFonts w:ascii="Times New Roman" w:hAnsi="Times New Roman"/>
          <w:sz w:val="24"/>
          <w:szCs w:val="24"/>
          <w:vertAlign w:val="superscript"/>
        </w:rPr>
        <w:t xml:space="preserve"> </w:t>
      </w:r>
      <w:r w:rsidRPr="008E4C50">
        <w:rPr>
          <w:rFonts w:ascii="Times New Roman" w:hAnsi="Times New Roman"/>
          <w:sz w:val="24"/>
          <w:szCs w:val="24"/>
        </w:rPr>
        <w:t xml:space="preserve">Известно, что СИФы создаются в странах, испытывающих периодический или хронический профицит платежного баланса, и, соответственно, национальных золотовалютных резервов и/или государственного бюджета. Чаще всего СИФы служат инструментом, обеспечивающим долгосрочную сохранность средств, получаемых государственным бюджетом от вывоза невозобновляемых сырьевых ресурсов или накапливаемых в виде золотовалютных резервов. В настоящее время в мире насчитывается более 100 СИФов, причем, по данным </w:t>
      </w:r>
      <w:r w:rsidRPr="008E4C50">
        <w:rPr>
          <w:rFonts w:ascii="Times New Roman" w:hAnsi="Times New Roman"/>
          <w:sz w:val="24"/>
          <w:szCs w:val="24"/>
          <w:lang w:val="en-US"/>
        </w:rPr>
        <w:t>Sovere</w:t>
      </w:r>
      <w:r>
        <w:rPr>
          <w:rFonts w:ascii="Times New Roman" w:hAnsi="Times New Roman"/>
          <w:sz w:val="24"/>
          <w:szCs w:val="24"/>
          <w:lang w:val="en-US"/>
        </w:rPr>
        <w:t>i</w:t>
      </w:r>
      <w:r w:rsidRPr="008E4C50">
        <w:rPr>
          <w:rFonts w:ascii="Times New Roman" w:hAnsi="Times New Roman"/>
          <w:sz w:val="24"/>
          <w:szCs w:val="24"/>
          <w:lang w:val="en-US"/>
        </w:rPr>
        <w:t>gn</w:t>
      </w:r>
      <w:r w:rsidRPr="008E4C50">
        <w:rPr>
          <w:rFonts w:ascii="Times New Roman" w:hAnsi="Times New Roman"/>
          <w:sz w:val="24"/>
          <w:szCs w:val="24"/>
        </w:rPr>
        <w:t xml:space="preserve"> </w:t>
      </w:r>
      <w:r w:rsidRPr="008E4C50">
        <w:rPr>
          <w:rFonts w:ascii="Times New Roman" w:hAnsi="Times New Roman"/>
          <w:sz w:val="24"/>
          <w:szCs w:val="24"/>
          <w:lang w:val="en-US"/>
        </w:rPr>
        <w:t>Wealth</w:t>
      </w:r>
      <w:r w:rsidRPr="008E4C50">
        <w:rPr>
          <w:rFonts w:ascii="Times New Roman" w:hAnsi="Times New Roman"/>
          <w:sz w:val="24"/>
          <w:szCs w:val="24"/>
        </w:rPr>
        <w:t xml:space="preserve"> </w:t>
      </w:r>
      <w:r w:rsidRPr="008E4C50">
        <w:rPr>
          <w:rFonts w:ascii="Times New Roman" w:hAnsi="Times New Roman"/>
          <w:sz w:val="24"/>
          <w:szCs w:val="24"/>
          <w:lang w:val="en-US"/>
        </w:rPr>
        <w:t>Fund</w:t>
      </w:r>
      <w:r w:rsidRPr="008E4C50">
        <w:rPr>
          <w:rFonts w:ascii="Times New Roman" w:hAnsi="Times New Roman"/>
          <w:sz w:val="24"/>
          <w:szCs w:val="24"/>
        </w:rPr>
        <w:t xml:space="preserve"> </w:t>
      </w:r>
      <w:r w:rsidRPr="008E4C50">
        <w:rPr>
          <w:rFonts w:ascii="Times New Roman" w:hAnsi="Times New Roman"/>
          <w:sz w:val="24"/>
          <w:szCs w:val="24"/>
          <w:lang w:val="en-US"/>
        </w:rPr>
        <w:t>Institute</w:t>
      </w:r>
      <w:r w:rsidRPr="008E4C50">
        <w:rPr>
          <w:rFonts w:ascii="Times New Roman" w:hAnsi="Times New Roman"/>
          <w:sz w:val="24"/>
          <w:szCs w:val="24"/>
        </w:rPr>
        <w:t>, объем суммарных активов 75 крупнейших СИФов к концу 2014 г. превысил 7 трлн. долл., а 80% количественного объема всех СИФов принадлежат правительствам раз</w:t>
      </w:r>
      <w:r>
        <w:rPr>
          <w:rFonts w:ascii="Times New Roman" w:hAnsi="Times New Roman"/>
          <w:sz w:val="24"/>
          <w:szCs w:val="24"/>
        </w:rPr>
        <w:t>в</w:t>
      </w:r>
      <w:r w:rsidRPr="008E4C50">
        <w:rPr>
          <w:rFonts w:ascii="Times New Roman" w:hAnsi="Times New Roman"/>
          <w:sz w:val="24"/>
          <w:szCs w:val="24"/>
        </w:rPr>
        <w:t>ивающихся стран.</w:t>
      </w:r>
      <w:r>
        <w:rPr>
          <w:rStyle w:val="FootnoteReference"/>
          <w:rFonts w:ascii="Times New Roman" w:hAnsi="Times New Roman"/>
          <w:sz w:val="24"/>
          <w:szCs w:val="24"/>
        </w:rPr>
        <w:footnoteReference w:id="2"/>
      </w:r>
    </w:p>
    <w:p w:rsidR="006B0CDE" w:rsidRPr="008E4C50" w:rsidRDefault="006B0CDE" w:rsidP="002D2B57">
      <w:pPr>
        <w:spacing w:after="0" w:line="360" w:lineRule="auto"/>
        <w:ind w:firstLine="709"/>
        <w:jc w:val="both"/>
        <w:rPr>
          <w:rFonts w:ascii="Times New Roman" w:hAnsi="Times New Roman"/>
          <w:sz w:val="24"/>
          <w:szCs w:val="24"/>
        </w:rPr>
      </w:pPr>
      <w:r w:rsidRPr="008E4C50">
        <w:rPr>
          <w:rFonts w:ascii="Times New Roman" w:hAnsi="Times New Roman"/>
          <w:sz w:val="24"/>
          <w:szCs w:val="24"/>
        </w:rPr>
        <w:t>Кроме СИФов активы на общую сумму 7,7 трлн. долл. США аккумулируются другими сувер</w:t>
      </w:r>
      <w:r>
        <w:rPr>
          <w:rFonts w:ascii="Times New Roman" w:hAnsi="Times New Roman"/>
          <w:sz w:val="24"/>
          <w:szCs w:val="24"/>
        </w:rPr>
        <w:t>е</w:t>
      </w:r>
      <w:r w:rsidRPr="008E4C50">
        <w:rPr>
          <w:rFonts w:ascii="Times New Roman" w:hAnsi="Times New Roman"/>
          <w:sz w:val="24"/>
          <w:szCs w:val="24"/>
        </w:rPr>
        <w:t xml:space="preserve">нными институтами, такими как, пенсионные фонды, фонды развития и фонды Государственных корпораций, а другие официальные валютные резервы составляют около 8,4 трлн. долл. Суммируя данные всех видов суверенных инструментов, можно утверждать, что правительства суверенных фондов, представляющих, как правило, развивающиеся рынки, обладают в настоящее время активами, превышающими 20 трлн. долл. США. </w:t>
      </w:r>
    </w:p>
    <w:p w:rsidR="006B0CDE" w:rsidRPr="008E4C50" w:rsidRDefault="006B0CDE" w:rsidP="002D2B57">
      <w:pPr>
        <w:spacing w:after="0" w:line="360" w:lineRule="auto"/>
        <w:ind w:firstLine="709"/>
        <w:jc w:val="both"/>
        <w:rPr>
          <w:rFonts w:ascii="Times New Roman" w:hAnsi="Times New Roman"/>
          <w:i/>
          <w:sz w:val="24"/>
          <w:szCs w:val="24"/>
        </w:rPr>
      </w:pPr>
      <w:r w:rsidRPr="008E4C50">
        <w:rPr>
          <w:rFonts w:ascii="Times New Roman" w:hAnsi="Times New Roman"/>
          <w:sz w:val="24"/>
          <w:szCs w:val="24"/>
        </w:rPr>
        <w:t>Результаты исследований ЮНКТАД показали, что совокупный объем активов, находящихся под управлением СИФов, больше совокупного объема активов фондов прямых инвестиций и хедж-фондов вместе взятых. Начиная с 2010 г. активы под управлением СИФов росли быстрее, чем активы других институциональных инвесторов, включая фонды прямых инвестиций и хедж-фонды; в Европе, например, 15-25% публичных компаний имеют в структуре собственников СИФы.</w:t>
      </w:r>
      <w:r>
        <w:rPr>
          <w:rStyle w:val="FootnoteReference"/>
          <w:rFonts w:ascii="Times New Roman" w:hAnsi="Times New Roman"/>
          <w:sz w:val="24"/>
          <w:szCs w:val="24"/>
        </w:rPr>
        <w:footnoteReference w:id="3"/>
      </w:r>
    </w:p>
    <w:p w:rsidR="006B0CDE" w:rsidRPr="008E4C50" w:rsidRDefault="006B0CDE" w:rsidP="006072C8">
      <w:pPr>
        <w:spacing w:after="0" w:line="360" w:lineRule="auto"/>
        <w:ind w:firstLine="709"/>
        <w:jc w:val="right"/>
        <w:rPr>
          <w:rFonts w:ascii="Times New Roman" w:hAnsi="Times New Roman"/>
          <w:sz w:val="24"/>
          <w:szCs w:val="24"/>
        </w:rPr>
      </w:pPr>
      <w:r>
        <w:rPr>
          <w:rFonts w:ascii="Times New Roman" w:hAnsi="Times New Roman"/>
          <w:sz w:val="24"/>
          <w:szCs w:val="24"/>
        </w:rPr>
        <w:t>Таблица 2</w:t>
      </w:r>
    </w:p>
    <w:p w:rsidR="006B0CDE" w:rsidRPr="008E4C50" w:rsidRDefault="006B0CDE" w:rsidP="002D2B57">
      <w:pPr>
        <w:spacing w:after="0" w:line="360" w:lineRule="auto"/>
        <w:ind w:firstLine="709"/>
        <w:jc w:val="both"/>
        <w:rPr>
          <w:rFonts w:ascii="Times New Roman" w:hAnsi="Times New Roman"/>
          <w:sz w:val="24"/>
          <w:szCs w:val="24"/>
        </w:rPr>
      </w:pPr>
      <w:r w:rsidRPr="008E4C50">
        <w:rPr>
          <w:rFonts w:ascii="Times New Roman" w:hAnsi="Times New Roman"/>
          <w:sz w:val="24"/>
          <w:szCs w:val="24"/>
        </w:rPr>
        <w:t xml:space="preserve">Динамика активов под управлением СИФов </w:t>
      </w:r>
    </w:p>
    <w:tbl>
      <w:tblPr>
        <w:tblW w:w="52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60"/>
        <w:gridCol w:w="1105"/>
        <w:gridCol w:w="1046"/>
        <w:gridCol w:w="984"/>
        <w:gridCol w:w="1129"/>
        <w:gridCol w:w="979"/>
        <w:gridCol w:w="933"/>
        <w:gridCol w:w="933"/>
        <w:gridCol w:w="929"/>
      </w:tblGrid>
      <w:tr w:rsidR="006B0CDE" w:rsidRPr="008E4C50" w:rsidTr="00D5612E">
        <w:tc>
          <w:tcPr>
            <w:tcW w:w="846" w:type="pct"/>
          </w:tcPr>
          <w:p w:rsidR="006B0CDE" w:rsidRPr="008E4C50" w:rsidRDefault="006B0CDE" w:rsidP="006072C8">
            <w:pPr>
              <w:spacing w:after="0" w:line="240" w:lineRule="auto"/>
              <w:jc w:val="both"/>
              <w:rPr>
                <w:rFonts w:ascii="Times New Roman" w:hAnsi="Times New Roman"/>
                <w:sz w:val="24"/>
                <w:szCs w:val="24"/>
              </w:rPr>
            </w:pPr>
            <w:r w:rsidRPr="008E4C50">
              <w:rPr>
                <w:rFonts w:ascii="Times New Roman" w:hAnsi="Times New Roman"/>
                <w:sz w:val="24"/>
                <w:szCs w:val="24"/>
              </w:rPr>
              <w:t>Дата</w:t>
            </w:r>
          </w:p>
        </w:tc>
        <w:tc>
          <w:tcPr>
            <w:tcW w:w="571" w:type="pct"/>
          </w:tcPr>
          <w:p w:rsidR="006B0CDE" w:rsidRPr="008E4C50" w:rsidRDefault="006B0CDE" w:rsidP="006072C8">
            <w:pPr>
              <w:spacing w:after="0" w:line="240" w:lineRule="auto"/>
              <w:jc w:val="both"/>
              <w:rPr>
                <w:rFonts w:ascii="Times New Roman" w:hAnsi="Times New Roman"/>
                <w:sz w:val="24"/>
                <w:szCs w:val="24"/>
              </w:rPr>
            </w:pPr>
            <w:r w:rsidRPr="008E4C50">
              <w:rPr>
                <w:rFonts w:ascii="Times New Roman" w:hAnsi="Times New Roman"/>
                <w:sz w:val="24"/>
                <w:szCs w:val="24"/>
              </w:rPr>
              <w:t>2007</w:t>
            </w:r>
          </w:p>
        </w:tc>
        <w:tc>
          <w:tcPr>
            <w:tcW w:w="541" w:type="pct"/>
          </w:tcPr>
          <w:p w:rsidR="006B0CDE" w:rsidRPr="008E4C50" w:rsidRDefault="006B0CDE" w:rsidP="006072C8">
            <w:pPr>
              <w:spacing w:after="0" w:line="240" w:lineRule="auto"/>
              <w:jc w:val="both"/>
              <w:rPr>
                <w:rFonts w:ascii="Times New Roman" w:hAnsi="Times New Roman"/>
                <w:sz w:val="24"/>
                <w:szCs w:val="24"/>
              </w:rPr>
            </w:pPr>
            <w:r w:rsidRPr="008E4C50">
              <w:rPr>
                <w:rFonts w:ascii="Times New Roman" w:hAnsi="Times New Roman"/>
                <w:sz w:val="24"/>
                <w:szCs w:val="24"/>
              </w:rPr>
              <w:t>2008</w:t>
            </w:r>
          </w:p>
        </w:tc>
        <w:tc>
          <w:tcPr>
            <w:tcW w:w="509" w:type="pct"/>
          </w:tcPr>
          <w:p w:rsidR="006B0CDE" w:rsidRPr="008E4C50" w:rsidRDefault="006B0CDE" w:rsidP="006072C8">
            <w:pPr>
              <w:spacing w:after="0" w:line="240" w:lineRule="auto"/>
              <w:jc w:val="both"/>
              <w:rPr>
                <w:rFonts w:ascii="Times New Roman" w:hAnsi="Times New Roman"/>
                <w:sz w:val="24"/>
                <w:szCs w:val="24"/>
              </w:rPr>
            </w:pPr>
            <w:r w:rsidRPr="008E4C50">
              <w:rPr>
                <w:rFonts w:ascii="Times New Roman" w:hAnsi="Times New Roman"/>
                <w:sz w:val="24"/>
                <w:szCs w:val="24"/>
              </w:rPr>
              <w:t>2009</w:t>
            </w:r>
          </w:p>
        </w:tc>
        <w:tc>
          <w:tcPr>
            <w:tcW w:w="583" w:type="pct"/>
          </w:tcPr>
          <w:p w:rsidR="006B0CDE" w:rsidRPr="008E4C50" w:rsidRDefault="006B0CDE" w:rsidP="006072C8">
            <w:pPr>
              <w:spacing w:after="0" w:line="240" w:lineRule="auto"/>
              <w:jc w:val="both"/>
              <w:rPr>
                <w:rFonts w:ascii="Times New Roman" w:hAnsi="Times New Roman"/>
                <w:sz w:val="24"/>
                <w:szCs w:val="24"/>
              </w:rPr>
            </w:pPr>
            <w:r w:rsidRPr="008E4C50">
              <w:rPr>
                <w:rFonts w:ascii="Times New Roman" w:hAnsi="Times New Roman"/>
                <w:sz w:val="24"/>
                <w:szCs w:val="24"/>
              </w:rPr>
              <w:t>2010</w:t>
            </w:r>
          </w:p>
        </w:tc>
        <w:tc>
          <w:tcPr>
            <w:tcW w:w="506" w:type="pct"/>
          </w:tcPr>
          <w:p w:rsidR="006B0CDE" w:rsidRPr="008E4C50" w:rsidRDefault="006B0CDE" w:rsidP="006072C8">
            <w:pPr>
              <w:spacing w:after="0" w:line="240" w:lineRule="auto"/>
              <w:jc w:val="both"/>
              <w:rPr>
                <w:rFonts w:ascii="Times New Roman" w:hAnsi="Times New Roman"/>
                <w:sz w:val="24"/>
                <w:szCs w:val="24"/>
              </w:rPr>
            </w:pPr>
            <w:r w:rsidRPr="008E4C50">
              <w:rPr>
                <w:rFonts w:ascii="Times New Roman" w:hAnsi="Times New Roman"/>
                <w:sz w:val="24"/>
                <w:szCs w:val="24"/>
              </w:rPr>
              <w:t>2011</w:t>
            </w:r>
          </w:p>
        </w:tc>
        <w:tc>
          <w:tcPr>
            <w:tcW w:w="482" w:type="pct"/>
          </w:tcPr>
          <w:p w:rsidR="006B0CDE" w:rsidRPr="008E4C50" w:rsidRDefault="006B0CDE" w:rsidP="006072C8">
            <w:pPr>
              <w:spacing w:after="0" w:line="240" w:lineRule="auto"/>
              <w:jc w:val="both"/>
              <w:rPr>
                <w:rFonts w:ascii="Times New Roman" w:hAnsi="Times New Roman"/>
                <w:sz w:val="24"/>
                <w:szCs w:val="24"/>
              </w:rPr>
            </w:pPr>
            <w:r w:rsidRPr="008E4C50">
              <w:rPr>
                <w:rFonts w:ascii="Times New Roman" w:hAnsi="Times New Roman"/>
                <w:sz w:val="24"/>
                <w:szCs w:val="24"/>
              </w:rPr>
              <w:t>2012</w:t>
            </w:r>
          </w:p>
        </w:tc>
        <w:tc>
          <w:tcPr>
            <w:tcW w:w="482" w:type="pct"/>
          </w:tcPr>
          <w:p w:rsidR="006B0CDE" w:rsidRPr="008E4C50" w:rsidRDefault="006B0CDE" w:rsidP="006072C8">
            <w:pPr>
              <w:spacing w:after="0" w:line="240" w:lineRule="auto"/>
              <w:jc w:val="both"/>
              <w:rPr>
                <w:rFonts w:ascii="Times New Roman" w:hAnsi="Times New Roman"/>
                <w:sz w:val="24"/>
                <w:szCs w:val="24"/>
              </w:rPr>
            </w:pPr>
            <w:r w:rsidRPr="008E4C50">
              <w:rPr>
                <w:rFonts w:ascii="Times New Roman" w:hAnsi="Times New Roman"/>
                <w:sz w:val="24"/>
                <w:szCs w:val="24"/>
              </w:rPr>
              <w:t>2013</w:t>
            </w:r>
          </w:p>
        </w:tc>
        <w:tc>
          <w:tcPr>
            <w:tcW w:w="482" w:type="pct"/>
          </w:tcPr>
          <w:p w:rsidR="006B0CDE" w:rsidRPr="008E4C50" w:rsidRDefault="006B0CDE" w:rsidP="006072C8">
            <w:pPr>
              <w:spacing w:after="0" w:line="240" w:lineRule="auto"/>
              <w:jc w:val="both"/>
              <w:rPr>
                <w:rFonts w:ascii="Times New Roman" w:hAnsi="Times New Roman"/>
                <w:sz w:val="24"/>
                <w:szCs w:val="24"/>
              </w:rPr>
            </w:pPr>
            <w:r w:rsidRPr="008E4C50">
              <w:rPr>
                <w:rFonts w:ascii="Times New Roman" w:hAnsi="Times New Roman"/>
                <w:sz w:val="24"/>
                <w:szCs w:val="24"/>
              </w:rPr>
              <w:t>2014</w:t>
            </w:r>
          </w:p>
        </w:tc>
      </w:tr>
      <w:tr w:rsidR="006B0CDE" w:rsidRPr="008E4C50" w:rsidTr="00D5612E">
        <w:tc>
          <w:tcPr>
            <w:tcW w:w="846" w:type="pct"/>
          </w:tcPr>
          <w:p w:rsidR="006B0CDE" w:rsidRPr="008E4C50" w:rsidRDefault="006B0CDE" w:rsidP="006072C8">
            <w:pPr>
              <w:spacing w:after="0" w:line="240" w:lineRule="auto"/>
              <w:jc w:val="both"/>
              <w:rPr>
                <w:rFonts w:ascii="Times New Roman" w:hAnsi="Times New Roman"/>
                <w:sz w:val="24"/>
                <w:szCs w:val="24"/>
              </w:rPr>
            </w:pPr>
            <w:r w:rsidRPr="008E4C50">
              <w:rPr>
                <w:rFonts w:ascii="Times New Roman" w:hAnsi="Times New Roman"/>
                <w:sz w:val="24"/>
                <w:szCs w:val="24"/>
              </w:rPr>
              <w:t>Суммарные активы СИФов, млрд</w:t>
            </w:r>
            <w:r>
              <w:rPr>
                <w:rFonts w:ascii="Times New Roman" w:hAnsi="Times New Roman"/>
                <w:sz w:val="24"/>
                <w:szCs w:val="24"/>
              </w:rPr>
              <w:t>.</w:t>
            </w:r>
            <w:r w:rsidRPr="008E4C50">
              <w:rPr>
                <w:rFonts w:ascii="Times New Roman" w:hAnsi="Times New Roman"/>
                <w:sz w:val="24"/>
                <w:szCs w:val="24"/>
              </w:rPr>
              <w:t xml:space="preserve"> долл.</w:t>
            </w:r>
          </w:p>
          <w:p w:rsidR="006B0CDE" w:rsidRPr="008E4C50" w:rsidRDefault="006B0CDE" w:rsidP="006072C8">
            <w:pPr>
              <w:spacing w:after="0" w:line="240" w:lineRule="auto"/>
              <w:jc w:val="both"/>
              <w:rPr>
                <w:rFonts w:ascii="Times New Roman" w:hAnsi="Times New Roman"/>
                <w:sz w:val="24"/>
                <w:szCs w:val="24"/>
              </w:rPr>
            </w:pPr>
            <w:r w:rsidRPr="008E4C50">
              <w:rPr>
                <w:rFonts w:ascii="Times New Roman" w:hAnsi="Times New Roman"/>
                <w:sz w:val="24"/>
                <w:szCs w:val="24"/>
              </w:rPr>
              <w:t>США</w:t>
            </w:r>
          </w:p>
        </w:tc>
        <w:tc>
          <w:tcPr>
            <w:tcW w:w="571" w:type="pct"/>
          </w:tcPr>
          <w:p w:rsidR="006B0CDE" w:rsidRPr="008E4C50" w:rsidRDefault="006B0CDE" w:rsidP="006072C8">
            <w:pPr>
              <w:spacing w:after="0" w:line="240" w:lineRule="auto"/>
              <w:jc w:val="both"/>
              <w:rPr>
                <w:rFonts w:ascii="Times New Roman" w:hAnsi="Times New Roman"/>
                <w:sz w:val="24"/>
                <w:szCs w:val="24"/>
              </w:rPr>
            </w:pPr>
            <w:r w:rsidRPr="008E4C50">
              <w:rPr>
                <w:rFonts w:ascii="Times New Roman" w:hAnsi="Times New Roman"/>
                <w:sz w:val="24"/>
                <w:szCs w:val="24"/>
              </w:rPr>
              <w:t>3 259</w:t>
            </w:r>
          </w:p>
        </w:tc>
        <w:tc>
          <w:tcPr>
            <w:tcW w:w="541" w:type="pct"/>
          </w:tcPr>
          <w:p w:rsidR="006B0CDE" w:rsidRPr="008E4C50" w:rsidRDefault="006B0CDE" w:rsidP="006072C8">
            <w:pPr>
              <w:spacing w:after="0" w:line="240" w:lineRule="auto"/>
              <w:jc w:val="both"/>
              <w:rPr>
                <w:rFonts w:ascii="Times New Roman" w:hAnsi="Times New Roman"/>
                <w:sz w:val="24"/>
                <w:szCs w:val="24"/>
              </w:rPr>
            </w:pPr>
            <w:r w:rsidRPr="008E4C50">
              <w:rPr>
                <w:rFonts w:ascii="Times New Roman" w:hAnsi="Times New Roman"/>
                <w:sz w:val="24"/>
                <w:szCs w:val="24"/>
              </w:rPr>
              <w:t>4 149</w:t>
            </w:r>
          </w:p>
        </w:tc>
        <w:tc>
          <w:tcPr>
            <w:tcW w:w="509" w:type="pct"/>
          </w:tcPr>
          <w:p w:rsidR="006B0CDE" w:rsidRPr="008E4C50" w:rsidRDefault="006B0CDE" w:rsidP="006072C8">
            <w:pPr>
              <w:spacing w:after="0" w:line="240" w:lineRule="auto"/>
              <w:jc w:val="both"/>
              <w:rPr>
                <w:rFonts w:ascii="Times New Roman" w:hAnsi="Times New Roman"/>
                <w:sz w:val="24"/>
                <w:szCs w:val="24"/>
              </w:rPr>
            </w:pPr>
            <w:r w:rsidRPr="008E4C50">
              <w:rPr>
                <w:rFonts w:ascii="Times New Roman" w:hAnsi="Times New Roman"/>
                <w:sz w:val="24"/>
                <w:szCs w:val="24"/>
              </w:rPr>
              <w:t>4 032</w:t>
            </w:r>
          </w:p>
        </w:tc>
        <w:tc>
          <w:tcPr>
            <w:tcW w:w="583" w:type="pct"/>
          </w:tcPr>
          <w:p w:rsidR="006B0CDE" w:rsidRPr="008E4C50" w:rsidRDefault="006B0CDE" w:rsidP="006072C8">
            <w:pPr>
              <w:spacing w:after="0" w:line="240" w:lineRule="auto"/>
              <w:jc w:val="both"/>
              <w:rPr>
                <w:rFonts w:ascii="Times New Roman" w:hAnsi="Times New Roman"/>
                <w:sz w:val="24"/>
                <w:szCs w:val="24"/>
              </w:rPr>
            </w:pPr>
            <w:r w:rsidRPr="008E4C50">
              <w:rPr>
                <w:rFonts w:ascii="Times New Roman" w:hAnsi="Times New Roman"/>
                <w:sz w:val="24"/>
                <w:szCs w:val="24"/>
              </w:rPr>
              <w:t>4 418</w:t>
            </w:r>
          </w:p>
        </w:tc>
        <w:tc>
          <w:tcPr>
            <w:tcW w:w="506" w:type="pct"/>
          </w:tcPr>
          <w:p w:rsidR="006B0CDE" w:rsidRPr="008E4C50" w:rsidRDefault="006B0CDE" w:rsidP="006072C8">
            <w:pPr>
              <w:spacing w:after="0" w:line="240" w:lineRule="auto"/>
              <w:jc w:val="both"/>
              <w:rPr>
                <w:rFonts w:ascii="Times New Roman" w:hAnsi="Times New Roman"/>
                <w:sz w:val="24"/>
                <w:szCs w:val="24"/>
              </w:rPr>
            </w:pPr>
            <w:r w:rsidRPr="008E4C50">
              <w:rPr>
                <w:rFonts w:ascii="Times New Roman" w:hAnsi="Times New Roman"/>
                <w:sz w:val="24"/>
                <w:szCs w:val="24"/>
              </w:rPr>
              <w:t>4 842</w:t>
            </w:r>
          </w:p>
        </w:tc>
        <w:tc>
          <w:tcPr>
            <w:tcW w:w="482" w:type="pct"/>
          </w:tcPr>
          <w:p w:rsidR="006B0CDE" w:rsidRPr="008E4C50" w:rsidRDefault="006B0CDE" w:rsidP="006072C8">
            <w:pPr>
              <w:spacing w:after="0" w:line="240" w:lineRule="auto"/>
              <w:jc w:val="both"/>
              <w:rPr>
                <w:rFonts w:ascii="Times New Roman" w:hAnsi="Times New Roman"/>
                <w:sz w:val="24"/>
                <w:szCs w:val="24"/>
              </w:rPr>
            </w:pPr>
            <w:r w:rsidRPr="008E4C50">
              <w:rPr>
                <w:rFonts w:ascii="Times New Roman" w:hAnsi="Times New Roman"/>
                <w:sz w:val="24"/>
                <w:szCs w:val="24"/>
              </w:rPr>
              <w:t>5 198</w:t>
            </w:r>
          </w:p>
        </w:tc>
        <w:tc>
          <w:tcPr>
            <w:tcW w:w="482" w:type="pct"/>
          </w:tcPr>
          <w:p w:rsidR="006B0CDE" w:rsidRPr="008E4C50" w:rsidRDefault="006B0CDE" w:rsidP="006072C8">
            <w:pPr>
              <w:spacing w:after="0" w:line="240" w:lineRule="auto"/>
              <w:jc w:val="both"/>
              <w:rPr>
                <w:rFonts w:ascii="Times New Roman" w:hAnsi="Times New Roman"/>
                <w:sz w:val="24"/>
                <w:szCs w:val="24"/>
              </w:rPr>
            </w:pPr>
            <w:r w:rsidRPr="008E4C50">
              <w:rPr>
                <w:rFonts w:ascii="Times New Roman" w:hAnsi="Times New Roman"/>
                <w:sz w:val="24"/>
                <w:szCs w:val="24"/>
              </w:rPr>
              <w:t>6 106</w:t>
            </w:r>
          </w:p>
        </w:tc>
        <w:tc>
          <w:tcPr>
            <w:tcW w:w="482" w:type="pct"/>
          </w:tcPr>
          <w:p w:rsidR="006B0CDE" w:rsidRPr="008E4C50" w:rsidRDefault="006B0CDE" w:rsidP="006072C8">
            <w:pPr>
              <w:spacing w:after="0" w:line="240" w:lineRule="auto"/>
              <w:jc w:val="both"/>
              <w:rPr>
                <w:rFonts w:ascii="Times New Roman" w:hAnsi="Times New Roman"/>
                <w:sz w:val="24"/>
                <w:szCs w:val="24"/>
              </w:rPr>
            </w:pPr>
            <w:r w:rsidRPr="008E4C50">
              <w:rPr>
                <w:rFonts w:ascii="Times New Roman" w:hAnsi="Times New Roman"/>
                <w:sz w:val="24"/>
                <w:szCs w:val="24"/>
              </w:rPr>
              <w:t>7 057</w:t>
            </w:r>
          </w:p>
        </w:tc>
      </w:tr>
      <w:tr w:rsidR="006B0CDE" w:rsidRPr="008E4C50" w:rsidTr="00D5612E">
        <w:tc>
          <w:tcPr>
            <w:tcW w:w="846" w:type="pct"/>
          </w:tcPr>
          <w:p w:rsidR="006B0CDE" w:rsidRPr="008E4C50" w:rsidRDefault="006B0CDE" w:rsidP="006072C8">
            <w:pPr>
              <w:spacing w:after="0" w:line="240" w:lineRule="auto"/>
              <w:jc w:val="both"/>
              <w:rPr>
                <w:rFonts w:ascii="Times New Roman" w:hAnsi="Times New Roman"/>
                <w:sz w:val="24"/>
                <w:szCs w:val="24"/>
              </w:rPr>
            </w:pPr>
            <w:r w:rsidRPr="008E4C50">
              <w:rPr>
                <w:rFonts w:ascii="Times New Roman" w:hAnsi="Times New Roman"/>
                <w:sz w:val="24"/>
                <w:szCs w:val="24"/>
              </w:rPr>
              <w:t>Изменение активов СИФов к предыдущему году в процентах</w:t>
            </w:r>
          </w:p>
        </w:tc>
        <w:tc>
          <w:tcPr>
            <w:tcW w:w="571" w:type="pct"/>
          </w:tcPr>
          <w:p w:rsidR="006B0CDE" w:rsidRPr="008E4C50" w:rsidRDefault="006B0CDE" w:rsidP="006072C8">
            <w:pPr>
              <w:spacing w:after="0" w:line="240" w:lineRule="auto"/>
              <w:jc w:val="both"/>
              <w:rPr>
                <w:rFonts w:ascii="Times New Roman" w:hAnsi="Times New Roman"/>
                <w:sz w:val="24"/>
                <w:szCs w:val="24"/>
              </w:rPr>
            </w:pPr>
            <w:r w:rsidRPr="008E4C50">
              <w:rPr>
                <w:rFonts w:ascii="Times New Roman" w:hAnsi="Times New Roman"/>
                <w:sz w:val="24"/>
                <w:szCs w:val="24"/>
              </w:rPr>
              <w:t>-</w:t>
            </w:r>
          </w:p>
        </w:tc>
        <w:tc>
          <w:tcPr>
            <w:tcW w:w="541" w:type="pct"/>
          </w:tcPr>
          <w:p w:rsidR="006B0CDE" w:rsidRPr="008E4C50" w:rsidRDefault="006B0CDE" w:rsidP="006072C8">
            <w:pPr>
              <w:spacing w:after="0" w:line="240" w:lineRule="auto"/>
              <w:jc w:val="both"/>
              <w:rPr>
                <w:rFonts w:ascii="Times New Roman" w:hAnsi="Times New Roman"/>
                <w:sz w:val="24"/>
                <w:szCs w:val="24"/>
              </w:rPr>
            </w:pPr>
            <w:r w:rsidRPr="008E4C50">
              <w:rPr>
                <w:rFonts w:ascii="Times New Roman" w:hAnsi="Times New Roman"/>
                <w:sz w:val="24"/>
                <w:szCs w:val="24"/>
              </w:rPr>
              <w:t>27%</w:t>
            </w:r>
          </w:p>
        </w:tc>
        <w:tc>
          <w:tcPr>
            <w:tcW w:w="509" w:type="pct"/>
          </w:tcPr>
          <w:p w:rsidR="006B0CDE" w:rsidRPr="008E4C50" w:rsidRDefault="006B0CDE" w:rsidP="006072C8">
            <w:pPr>
              <w:spacing w:after="0" w:line="240" w:lineRule="auto"/>
              <w:jc w:val="both"/>
              <w:rPr>
                <w:rFonts w:ascii="Times New Roman" w:hAnsi="Times New Roman"/>
                <w:sz w:val="24"/>
                <w:szCs w:val="24"/>
              </w:rPr>
            </w:pPr>
            <w:r w:rsidRPr="008E4C50">
              <w:rPr>
                <w:rFonts w:ascii="Times New Roman" w:hAnsi="Times New Roman"/>
                <w:sz w:val="24"/>
                <w:szCs w:val="24"/>
              </w:rPr>
              <w:t>-3%</w:t>
            </w:r>
          </w:p>
        </w:tc>
        <w:tc>
          <w:tcPr>
            <w:tcW w:w="583" w:type="pct"/>
          </w:tcPr>
          <w:p w:rsidR="006B0CDE" w:rsidRPr="008E4C50" w:rsidRDefault="006B0CDE" w:rsidP="006072C8">
            <w:pPr>
              <w:spacing w:after="0" w:line="240" w:lineRule="auto"/>
              <w:jc w:val="both"/>
              <w:rPr>
                <w:rFonts w:ascii="Times New Roman" w:hAnsi="Times New Roman"/>
                <w:sz w:val="24"/>
                <w:szCs w:val="24"/>
              </w:rPr>
            </w:pPr>
            <w:r w:rsidRPr="008E4C50">
              <w:rPr>
                <w:rFonts w:ascii="Times New Roman" w:hAnsi="Times New Roman"/>
                <w:sz w:val="24"/>
                <w:szCs w:val="24"/>
              </w:rPr>
              <w:t>10%</w:t>
            </w:r>
          </w:p>
        </w:tc>
        <w:tc>
          <w:tcPr>
            <w:tcW w:w="506" w:type="pct"/>
          </w:tcPr>
          <w:p w:rsidR="006B0CDE" w:rsidRPr="008E4C50" w:rsidRDefault="006B0CDE" w:rsidP="006072C8">
            <w:pPr>
              <w:spacing w:after="0" w:line="240" w:lineRule="auto"/>
              <w:jc w:val="both"/>
              <w:rPr>
                <w:rFonts w:ascii="Times New Roman" w:hAnsi="Times New Roman"/>
                <w:sz w:val="24"/>
                <w:szCs w:val="24"/>
              </w:rPr>
            </w:pPr>
            <w:r w:rsidRPr="008E4C50">
              <w:rPr>
                <w:rFonts w:ascii="Times New Roman" w:hAnsi="Times New Roman"/>
                <w:sz w:val="24"/>
                <w:szCs w:val="24"/>
              </w:rPr>
              <w:t>10%</w:t>
            </w:r>
          </w:p>
        </w:tc>
        <w:tc>
          <w:tcPr>
            <w:tcW w:w="482" w:type="pct"/>
          </w:tcPr>
          <w:p w:rsidR="006B0CDE" w:rsidRPr="008E4C50" w:rsidRDefault="006B0CDE" w:rsidP="006072C8">
            <w:pPr>
              <w:spacing w:after="0" w:line="240" w:lineRule="auto"/>
              <w:jc w:val="both"/>
              <w:rPr>
                <w:rFonts w:ascii="Times New Roman" w:hAnsi="Times New Roman"/>
                <w:sz w:val="24"/>
                <w:szCs w:val="24"/>
              </w:rPr>
            </w:pPr>
            <w:r w:rsidRPr="008E4C50">
              <w:rPr>
                <w:rFonts w:ascii="Times New Roman" w:hAnsi="Times New Roman"/>
                <w:sz w:val="24"/>
                <w:szCs w:val="24"/>
              </w:rPr>
              <w:t>7%</w:t>
            </w:r>
          </w:p>
        </w:tc>
        <w:tc>
          <w:tcPr>
            <w:tcW w:w="482" w:type="pct"/>
          </w:tcPr>
          <w:p w:rsidR="006B0CDE" w:rsidRPr="008E4C50" w:rsidRDefault="006B0CDE" w:rsidP="006072C8">
            <w:pPr>
              <w:spacing w:after="0" w:line="240" w:lineRule="auto"/>
              <w:jc w:val="both"/>
              <w:rPr>
                <w:rFonts w:ascii="Times New Roman" w:hAnsi="Times New Roman"/>
                <w:sz w:val="24"/>
                <w:szCs w:val="24"/>
              </w:rPr>
            </w:pPr>
            <w:r w:rsidRPr="008E4C50">
              <w:rPr>
                <w:rFonts w:ascii="Times New Roman" w:hAnsi="Times New Roman"/>
                <w:sz w:val="24"/>
                <w:szCs w:val="24"/>
              </w:rPr>
              <w:t>17%</w:t>
            </w:r>
          </w:p>
        </w:tc>
        <w:tc>
          <w:tcPr>
            <w:tcW w:w="482" w:type="pct"/>
          </w:tcPr>
          <w:p w:rsidR="006B0CDE" w:rsidRPr="008E4C50" w:rsidRDefault="006B0CDE" w:rsidP="006072C8">
            <w:pPr>
              <w:spacing w:after="0" w:line="240" w:lineRule="auto"/>
              <w:jc w:val="both"/>
              <w:rPr>
                <w:rFonts w:ascii="Times New Roman" w:hAnsi="Times New Roman"/>
                <w:sz w:val="24"/>
                <w:szCs w:val="24"/>
              </w:rPr>
            </w:pPr>
            <w:r w:rsidRPr="008E4C50">
              <w:rPr>
                <w:rFonts w:ascii="Times New Roman" w:hAnsi="Times New Roman"/>
                <w:sz w:val="24"/>
                <w:szCs w:val="24"/>
              </w:rPr>
              <w:t>16%</w:t>
            </w:r>
          </w:p>
        </w:tc>
      </w:tr>
    </w:tbl>
    <w:p w:rsidR="006B0CDE" w:rsidRPr="008E4C50" w:rsidRDefault="006B0CDE" w:rsidP="002D2B57">
      <w:pPr>
        <w:spacing w:after="0" w:line="360" w:lineRule="auto"/>
        <w:ind w:firstLine="709"/>
        <w:jc w:val="both"/>
        <w:rPr>
          <w:rFonts w:ascii="Times New Roman" w:hAnsi="Times New Roman"/>
          <w:sz w:val="24"/>
          <w:szCs w:val="24"/>
        </w:rPr>
      </w:pPr>
      <w:r w:rsidRPr="008E4C50">
        <w:rPr>
          <w:rFonts w:ascii="Times New Roman" w:hAnsi="Times New Roman"/>
          <w:sz w:val="24"/>
          <w:szCs w:val="24"/>
        </w:rPr>
        <w:t xml:space="preserve"> </w:t>
      </w:r>
    </w:p>
    <w:p w:rsidR="006B0CDE" w:rsidRPr="008E4C50" w:rsidRDefault="006B0CDE" w:rsidP="006072C8">
      <w:pPr>
        <w:spacing w:after="0" w:line="360" w:lineRule="auto"/>
        <w:ind w:firstLine="709"/>
        <w:jc w:val="both"/>
        <w:rPr>
          <w:rFonts w:ascii="Times New Roman" w:hAnsi="Times New Roman"/>
          <w:sz w:val="24"/>
          <w:szCs w:val="24"/>
        </w:rPr>
      </w:pPr>
      <w:r w:rsidRPr="008E4C50">
        <w:rPr>
          <w:rFonts w:ascii="Times New Roman" w:hAnsi="Times New Roman"/>
          <w:sz w:val="24"/>
          <w:szCs w:val="24"/>
        </w:rPr>
        <w:t>Несмотря на внушительный объем и высокую динамику роста активов СИФов, инвестируется из них в форме прямых иностранных инвестиций не более 5%, а в 2013</w:t>
      </w:r>
      <w:r>
        <w:rPr>
          <w:rFonts w:ascii="Times New Roman" w:hAnsi="Times New Roman"/>
          <w:sz w:val="24"/>
          <w:szCs w:val="24"/>
        </w:rPr>
        <w:t xml:space="preserve"> </w:t>
      </w:r>
      <w:r w:rsidRPr="008E4C50">
        <w:rPr>
          <w:rFonts w:ascii="Times New Roman" w:hAnsi="Times New Roman"/>
          <w:sz w:val="24"/>
          <w:szCs w:val="24"/>
        </w:rPr>
        <w:t>г. объем прямых инвестиций СИФов достиг своего 9-летнего минимума: 40 млрд</w:t>
      </w:r>
      <w:r>
        <w:rPr>
          <w:rFonts w:ascii="Times New Roman" w:hAnsi="Times New Roman"/>
          <w:sz w:val="24"/>
          <w:szCs w:val="24"/>
        </w:rPr>
        <w:t>.</w:t>
      </w:r>
      <w:r w:rsidRPr="008E4C50">
        <w:rPr>
          <w:rFonts w:ascii="Times New Roman" w:hAnsi="Times New Roman"/>
          <w:sz w:val="24"/>
          <w:szCs w:val="24"/>
        </w:rPr>
        <w:t xml:space="preserve"> долл. США,</w:t>
      </w:r>
      <w:r>
        <w:rPr>
          <w:rFonts w:ascii="Times New Roman" w:hAnsi="Times New Roman"/>
          <w:sz w:val="24"/>
          <w:szCs w:val="24"/>
        </w:rPr>
        <w:t xml:space="preserve"> </w:t>
      </w:r>
      <w:r w:rsidRPr="008E4C50">
        <w:rPr>
          <w:rFonts w:ascii="Times New Roman" w:hAnsi="Times New Roman"/>
          <w:sz w:val="24"/>
          <w:szCs w:val="24"/>
        </w:rPr>
        <w:t>при этом накопленный объем прямых иностранных инвестиций СИФов к концу 2013</w:t>
      </w:r>
      <w:r>
        <w:rPr>
          <w:rFonts w:ascii="Times New Roman" w:hAnsi="Times New Roman"/>
          <w:sz w:val="24"/>
          <w:szCs w:val="24"/>
        </w:rPr>
        <w:t xml:space="preserve"> </w:t>
      </w:r>
      <w:r w:rsidRPr="008E4C50">
        <w:rPr>
          <w:rFonts w:ascii="Times New Roman" w:hAnsi="Times New Roman"/>
          <w:sz w:val="24"/>
          <w:szCs w:val="24"/>
        </w:rPr>
        <w:t>г. составил около 130 млрд</w:t>
      </w:r>
      <w:r>
        <w:rPr>
          <w:rFonts w:ascii="Times New Roman" w:hAnsi="Times New Roman"/>
          <w:sz w:val="24"/>
          <w:szCs w:val="24"/>
        </w:rPr>
        <w:t>.</w:t>
      </w:r>
      <w:r w:rsidRPr="008E4C50">
        <w:rPr>
          <w:rFonts w:ascii="Times New Roman" w:hAnsi="Times New Roman"/>
          <w:sz w:val="24"/>
          <w:szCs w:val="24"/>
        </w:rPr>
        <w:t xml:space="preserve"> долл. США, без учета совместных ПИИ с другими типами инвесторов и аффилированных с СИФами организаций (Рисунок 1). Практика показала, что СИФы в большей степени сконцентрировали свои инвестиции на растущих местных рынках.</w:t>
      </w:r>
      <w:r>
        <w:rPr>
          <w:rStyle w:val="FootnoteReference"/>
          <w:rFonts w:ascii="Times New Roman" w:hAnsi="Times New Roman"/>
          <w:sz w:val="24"/>
          <w:szCs w:val="24"/>
        </w:rPr>
        <w:footnoteReference w:id="4"/>
      </w:r>
      <w:r w:rsidRPr="008E4C50">
        <w:rPr>
          <w:rFonts w:ascii="Times New Roman" w:hAnsi="Times New Roman"/>
          <w:sz w:val="24"/>
          <w:szCs w:val="24"/>
          <w:vertAlign w:val="superscript"/>
        </w:rPr>
        <w:t>.</w:t>
      </w:r>
    </w:p>
    <w:p w:rsidR="006B0CDE" w:rsidRPr="008E4C50" w:rsidRDefault="006B0CDE" w:rsidP="002D2B57">
      <w:pPr>
        <w:spacing w:after="0" w:line="360" w:lineRule="auto"/>
        <w:ind w:firstLine="709"/>
        <w:jc w:val="both"/>
        <w:rPr>
          <w:rFonts w:ascii="Times New Roman" w:hAnsi="Times New Roman"/>
          <w:sz w:val="24"/>
          <w:szCs w:val="24"/>
        </w:rPr>
      </w:pPr>
      <w:r w:rsidRPr="008E4C50">
        <w:rPr>
          <w:rFonts w:ascii="Times New Roman" w:hAnsi="Times New Roman"/>
          <w:sz w:val="24"/>
          <w:szCs w:val="24"/>
        </w:rPr>
        <w:t xml:space="preserve">При оценке величины активов, ПИИ и других данных по СИФам следует учесть, что в разных источниках данные различаются, что в первую очередь связано с низкой прозрачностью и непубличностью деятельности СИФов: так, средний индекс прозрачности первой десятки СИФов, предложенный </w:t>
      </w:r>
      <w:r w:rsidRPr="008E4C50">
        <w:rPr>
          <w:rFonts w:ascii="Times New Roman" w:hAnsi="Times New Roman"/>
          <w:sz w:val="24"/>
          <w:szCs w:val="24"/>
          <w:lang w:val="en-US"/>
        </w:rPr>
        <w:t>SWF</w:t>
      </w:r>
      <w:r w:rsidRPr="008E4C50">
        <w:rPr>
          <w:rFonts w:ascii="Times New Roman" w:hAnsi="Times New Roman"/>
          <w:sz w:val="24"/>
          <w:szCs w:val="24"/>
        </w:rPr>
        <w:t xml:space="preserve"> </w:t>
      </w:r>
      <w:r w:rsidRPr="008E4C50">
        <w:rPr>
          <w:rFonts w:ascii="Times New Roman" w:hAnsi="Times New Roman"/>
          <w:sz w:val="24"/>
          <w:szCs w:val="24"/>
          <w:lang w:val="en-US"/>
        </w:rPr>
        <w:t>Institute</w:t>
      </w:r>
      <w:r w:rsidRPr="008E4C50">
        <w:rPr>
          <w:rFonts w:ascii="Times New Roman" w:hAnsi="Times New Roman"/>
          <w:sz w:val="24"/>
          <w:szCs w:val="24"/>
        </w:rPr>
        <w:t xml:space="preserve">, составляет 6 баллов по 10-балльной шкале. </w:t>
      </w:r>
    </w:p>
    <w:p w:rsidR="006B0CDE" w:rsidRPr="008E4C50" w:rsidRDefault="006B0CDE" w:rsidP="002D2B57">
      <w:pPr>
        <w:spacing w:after="0" w:line="360" w:lineRule="auto"/>
        <w:ind w:firstLine="709"/>
        <w:jc w:val="both"/>
        <w:rPr>
          <w:rFonts w:ascii="Times New Roman" w:hAnsi="Times New Roman"/>
          <w:sz w:val="24"/>
          <w:szCs w:val="24"/>
          <w:lang w:val="en-US"/>
        </w:rPr>
      </w:pPr>
      <w:r w:rsidRPr="00582C04">
        <w:rPr>
          <w:rFonts w:ascii="Times New Roman" w:hAnsi="Times New Roman"/>
          <w:noProof/>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40pt;height:216.5pt;visibility:visible">
            <v:imagedata r:id="rId8" o:title=""/>
          </v:shape>
        </w:pict>
      </w:r>
    </w:p>
    <w:p w:rsidR="006B0CDE" w:rsidRPr="008E4C50" w:rsidRDefault="006B0CDE" w:rsidP="002D2B57">
      <w:pPr>
        <w:spacing w:after="0" w:line="360" w:lineRule="auto"/>
        <w:ind w:firstLine="709"/>
        <w:jc w:val="both"/>
        <w:rPr>
          <w:rFonts w:ascii="Times New Roman" w:eastAsia="PFCentroSerifPro-Regular" w:hAnsi="Times New Roman"/>
          <w:sz w:val="24"/>
          <w:szCs w:val="24"/>
        </w:rPr>
      </w:pPr>
      <w:r w:rsidRPr="008E4C50">
        <w:rPr>
          <w:rFonts w:ascii="Times New Roman" w:hAnsi="Times New Roman"/>
          <w:sz w:val="24"/>
          <w:szCs w:val="24"/>
        </w:rPr>
        <w:t>Рис</w:t>
      </w:r>
      <w:r>
        <w:rPr>
          <w:rFonts w:ascii="Times New Roman" w:hAnsi="Times New Roman"/>
          <w:sz w:val="24"/>
          <w:szCs w:val="24"/>
        </w:rPr>
        <w:t>унок</w:t>
      </w:r>
      <w:r w:rsidRPr="008E4C50">
        <w:rPr>
          <w:rFonts w:ascii="Times New Roman" w:hAnsi="Times New Roman"/>
          <w:sz w:val="24"/>
          <w:szCs w:val="24"/>
        </w:rPr>
        <w:t xml:space="preserve"> 1. Годовой и накопленный объем ПИИ СИФов за период 2</w:t>
      </w:r>
      <w:r>
        <w:rPr>
          <w:rFonts w:ascii="Times New Roman" w:hAnsi="Times New Roman"/>
          <w:sz w:val="24"/>
          <w:szCs w:val="24"/>
        </w:rPr>
        <w:t xml:space="preserve">000–2013 гг., в млрд. долл. США. </w:t>
      </w:r>
      <w:r w:rsidRPr="008E4C50">
        <w:rPr>
          <w:rFonts w:ascii="Times New Roman" w:hAnsi="Times New Roman"/>
          <w:sz w:val="24"/>
          <w:szCs w:val="24"/>
        </w:rPr>
        <w:t xml:space="preserve">Источник: </w:t>
      </w:r>
      <w:r w:rsidRPr="008E4C50">
        <w:rPr>
          <w:rFonts w:ascii="Times New Roman" w:eastAsia="PFCentroSerifPro-Regular" w:hAnsi="Times New Roman"/>
          <w:sz w:val="24"/>
          <w:szCs w:val="24"/>
          <w:lang w:val="en-US"/>
        </w:rPr>
        <w:t>World</w:t>
      </w:r>
      <w:r w:rsidRPr="008E4C50">
        <w:rPr>
          <w:rFonts w:ascii="Times New Roman" w:eastAsia="PFCentroSerifPro-Regular" w:hAnsi="Times New Roman"/>
          <w:sz w:val="24"/>
          <w:szCs w:val="24"/>
        </w:rPr>
        <w:t xml:space="preserve"> </w:t>
      </w:r>
      <w:r w:rsidRPr="008E4C50">
        <w:rPr>
          <w:rFonts w:ascii="Times New Roman" w:eastAsia="PFCentroSerifPro-Regular" w:hAnsi="Times New Roman"/>
          <w:sz w:val="24"/>
          <w:szCs w:val="24"/>
          <w:lang w:val="en-US"/>
        </w:rPr>
        <w:t>Investment</w:t>
      </w:r>
      <w:r w:rsidRPr="008E4C50">
        <w:rPr>
          <w:rFonts w:ascii="Times New Roman" w:eastAsia="PFCentroSerifPro-Regular" w:hAnsi="Times New Roman"/>
          <w:sz w:val="24"/>
          <w:szCs w:val="24"/>
        </w:rPr>
        <w:t xml:space="preserve"> </w:t>
      </w:r>
      <w:r w:rsidRPr="008E4C50">
        <w:rPr>
          <w:rFonts w:ascii="Times New Roman" w:eastAsia="PFCentroSerifPro-Regular" w:hAnsi="Times New Roman"/>
          <w:sz w:val="24"/>
          <w:szCs w:val="24"/>
          <w:lang w:val="en-US"/>
        </w:rPr>
        <w:t>Report</w:t>
      </w:r>
      <w:r>
        <w:rPr>
          <w:rFonts w:ascii="Times New Roman" w:eastAsia="PFCentroSerifPro-Regular" w:hAnsi="Times New Roman"/>
          <w:sz w:val="24"/>
          <w:szCs w:val="24"/>
        </w:rPr>
        <w:t xml:space="preserve"> /</w:t>
      </w:r>
      <w:r w:rsidRPr="008E4C50">
        <w:rPr>
          <w:rFonts w:ascii="Times New Roman" w:eastAsia="PFCentroSerifPro-Regular" w:hAnsi="Times New Roman"/>
          <w:sz w:val="24"/>
          <w:szCs w:val="24"/>
        </w:rPr>
        <w:t xml:space="preserve"> </w:t>
      </w:r>
      <w:r w:rsidRPr="008E4C50">
        <w:rPr>
          <w:rFonts w:ascii="Times New Roman" w:eastAsia="PFCentroSerifPro-Regular" w:hAnsi="Times New Roman"/>
          <w:sz w:val="24"/>
          <w:szCs w:val="24"/>
          <w:lang w:val="en-US"/>
        </w:rPr>
        <w:t>UNCTAD</w:t>
      </w:r>
      <w:r>
        <w:rPr>
          <w:rFonts w:ascii="Times New Roman" w:eastAsia="PFCentroSerifPro-Regular" w:hAnsi="Times New Roman"/>
          <w:sz w:val="24"/>
          <w:szCs w:val="24"/>
        </w:rPr>
        <w:t>.</w:t>
      </w:r>
      <w:r w:rsidRPr="008E4C50">
        <w:rPr>
          <w:rFonts w:ascii="Times New Roman" w:eastAsia="PFCentroSerifPro-Regular" w:hAnsi="Times New Roman"/>
          <w:sz w:val="24"/>
          <w:szCs w:val="24"/>
        </w:rPr>
        <w:t xml:space="preserve"> 2014.</w:t>
      </w:r>
    </w:p>
    <w:p w:rsidR="006B0CDE" w:rsidRPr="006072C8" w:rsidRDefault="006B0CDE" w:rsidP="006072C8">
      <w:pPr>
        <w:spacing w:after="0" w:line="360" w:lineRule="auto"/>
        <w:ind w:firstLine="709"/>
        <w:jc w:val="both"/>
        <w:rPr>
          <w:rFonts w:ascii="Times New Roman" w:hAnsi="Times New Roman"/>
          <w:sz w:val="24"/>
          <w:szCs w:val="24"/>
        </w:rPr>
      </w:pPr>
      <w:r w:rsidRPr="006072C8">
        <w:rPr>
          <w:rFonts w:ascii="Times New Roman" w:hAnsi="Times New Roman"/>
          <w:sz w:val="24"/>
          <w:szCs w:val="24"/>
        </w:rPr>
        <w:t xml:space="preserve">Анализ данных по ПИИ СИФов показывает, что с 2005 г. суверенные фонды являются активными международными инвесторами с тщательно разработанной структурой управления, открытой новым рынкам инвестиционной политикой и долгосрочным характером инвестиций. Но </w:t>
      </w:r>
      <w:r w:rsidRPr="006072C8">
        <w:rPr>
          <w:rFonts w:ascii="Times New Roman" w:hAnsi="Times New Roman"/>
          <w:sz w:val="24"/>
          <w:szCs w:val="24"/>
          <w:shd w:val="clear" w:color="auto" w:fill="FFFFFF"/>
        </w:rPr>
        <w:t xml:space="preserve">география инвестиций СИФов такова, что на конец 2013 г. </w:t>
      </w:r>
      <w:r w:rsidRPr="006072C8">
        <w:rPr>
          <w:rFonts w:ascii="Times New Roman" w:hAnsi="Times New Roman"/>
          <w:sz w:val="24"/>
          <w:szCs w:val="24"/>
        </w:rPr>
        <w:t>более 70% ПИИ пришлось на рынки развитых стран Америки и Европы,</w:t>
      </w:r>
      <w:r w:rsidRPr="006072C8">
        <w:rPr>
          <w:rStyle w:val="FootnoteReference"/>
          <w:rFonts w:ascii="Times New Roman" w:hAnsi="Times New Roman"/>
          <w:sz w:val="24"/>
          <w:szCs w:val="24"/>
        </w:rPr>
        <w:footnoteReference w:id="5"/>
      </w:r>
      <w:r w:rsidRPr="006072C8">
        <w:rPr>
          <w:rFonts w:ascii="Times New Roman" w:hAnsi="Times New Roman"/>
          <w:sz w:val="24"/>
          <w:szCs w:val="24"/>
        </w:rPr>
        <w:t xml:space="preserve"> причем, если до 2007 г. доли Западной Европы и США в географических предпочтениях СИФов были одинаковы, то начиная с 2008 г. доля Западной Европы заметно увеличилась. Известно, что тогда ближневосточные суверенные фонды предложили несколько программ финансовой поддержки странам Еврозоны и, несмотря на последующий долговой кризис, Европа продолжала оставаться основным реципиентом ПИИ суверенных фондов: так, в 2012 г. на нее пришлось 60% всех прямых инвестиций СИФов (Рисунок 2). При этом, согласно данным бизнес-ассоциации </w:t>
      </w:r>
      <w:r w:rsidRPr="006072C8">
        <w:rPr>
          <w:rFonts w:ascii="Times New Roman" w:hAnsi="Times New Roman"/>
          <w:sz w:val="24"/>
          <w:szCs w:val="24"/>
          <w:lang w:val="en-US"/>
        </w:rPr>
        <w:t>TheCityUK</w:t>
      </w:r>
      <w:r w:rsidRPr="006072C8">
        <w:rPr>
          <w:rFonts w:ascii="Times New Roman" w:hAnsi="Times New Roman"/>
          <w:sz w:val="24"/>
          <w:szCs w:val="24"/>
        </w:rPr>
        <w:t xml:space="preserve">, содействующей продвижению финансовых и профессиональных услуг Великобритании, </w:t>
      </w:r>
      <w:r w:rsidRPr="006072C8">
        <w:rPr>
          <w:rFonts w:ascii="Times New Roman" w:hAnsi="Times New Roman"/>
          <w:sz w:val="24"/>
          <w:szCs w:val="24"/>
          <w:shd w:val="clear" w:color="auto" w:fill="FFFFFF"/>
        </w:rPr>
        <w:t xml:space="preserve">в 2012 г. на США пришлось 20% ПИИ СИФов, а на Великобританию - 16,5% . Глава </w:t>
      </w:r>
      <w:r w:rsidRPr="006072C8">
        <w:rPr>
          <w:rFonts w:ascii="Times New Roman" w:hAnsi="Times New Roman"/>
          <w:sz w:val="24"/>
          <w:szCs w:val="24"/>
          <w:lang w:val="en-US"/>
        </w:rPr>
        <w:t>The</w:t>
      </w:r>
      <w:r w:rsidRPr="006072C8">
        <w:rPr>
          <w:rFonts w:ascii="Times New Roman" w:hAnsi="Times New Roman"/>
          <w:sz w:val="24"/>
          <w:szCs w:val="24"/>
        </w:rPr>
        <w:t xml:space="preserve"> </w:t>
      </w:r>
      <w:r w:rsidRPr="006072C8">
        <w:rPr>
          <w:rFonts w:ascii="Times New Roman" w:hAnsi="Times New Roman"/>
          <w:sz w:val="24"/>
          <w:szCs w:val="24"/>
          <w:lang w:val="en-US"/>
        </w:rPr>
        <w:t>CityUK</w:t>
      </w:r>
      <w:r w:rsidRPr="006072C8">
        <w:rPr>
          <w:rFonts w:ascii="Times New Roman" w:hAnsi="Times New Roman"/>
          <w:sz w:val="24"/>
          <w:szCs w:val="24"/>
        </w:rPr>
        <w:t xml:space="preserve"> </w:t>
      </w:r>
      <w:r w:rsidRPr="006072C8">
        <w:rPr>
          <w:rFonts w:ascii="Times New Roman" w:hAnsi="Times New Roman"/>
          <w:sz w:val="24"/>
          <w:szCs w:val="24"/>
          <w:lang w:val="en-US"/>
        </w:rPr>
        <w:t>Chris</w:t>
      </w:r>
      <w:r w:rsidRPr="006072C8">
        <w:rPr>
          <w:rFonts w:ascii="Times New Roman" w:hAnsi="Times New Roman"/>
          <w:sz w:val="24"/>
          <w:szCs w:val="24"/>
        </w:rPr>
        <w:t xml:space="preserve"> </w:t>
      </w:r>
      <w:r w:rsidRPr="006072C8">
        <w:rPr>
          <w:rFonts w:ascii="Times New Roman" w:hAnsi="Times New Roman"/>
          <w:sz w:val="24"/>
          <w:szCs w:val="24"/>
          <w:lang w:val="en-US"/>
        </w:rPr>
        <w:t>Cummings</w:t>
      </w:r>
      <w:r w:rsidRPr="006072C8">
        <w:rPr>
          <w:rFonts w:ascii="Times New Roman" w:hAnsi="Times New Roman"/>
          <w:sz w:val="24"/>
          <w:szCs w:val="24"/>
        </w:rPr>
        <w:t xml:space="preserve"> комментировал результаты исследования следующим образом: Великобритания является крупнейшим получателем прямых инвестиций СИФов, с 2005 г. её доля составляет шестую часть ПИИ суверенных фондов, что больше, чем ПИИ во Францию, Германия и Испанию вместе взятые. Инвестиции суверенных фондов дают ряд преимуществ экономике Великобритании, таких как создание новых рабочих мест и финансирование жизненно важных инфраструктурных проектов. Анализируя страновые предпочтения СИФов</w:t>
      </w:r>
      <w:r>
        <w:rPr>
          <w:rFonts w:ascii="Times New Roman" w:hAnsi="Times New Roman"/>
          <w:sz w:val="24"/>
          <w:szCs w:val="24"/>
        </w:rPr>
        <w:t>,</w:t>
      </w:r>
      <w:r w:rsidRPr="006072C8">
        <w:rPr>
          <w:rFonts w:ascii="Times New Roman" w:hAnsi="Times New Roman"/>
          <w:sz w:val="24"/>
          <w:szCs w:val="24"/>
        </w:rPr>
        <w:t xml:space="preserve"> следует учесть тот факт, что, во-первых, в Лондоне расположены представительства многих суверенных фондов (например, Кувейта, ОАЭ, Брунея, Сингапура) и отсюда же многие суверенные фонды управляются. Кроме того, Великобритания предоставляет депозитарно-клиринговые услуги при проведении сделок с участием СИФов; но, в целом, Великобритания является крупнейшим получателем инвестиций не только суверенных, но и других инвестиционных фондов. </w:t>
      </w:r>
    </w:p>
    <w:p w:rsidR="006B0CDE" w:rsidRPr="008E4C50" w:rsidRDefault="006B0CDE" w:rsidP="002D2B57">
      <w:pPr>
        <w:pStyle w:val="NormalWeb"/>
        <w:spacing w:after="0" w:line="360" w:lineRule="auto"/>
        <w:ind w:firstLine="709"/>
        <w:jc w:val="both"/>
      </w:pPr>
    </w:p>
    <w:p w:rsidR="006B0CDE" w:rsidRPr="008E4C50" w:rsidRDefault="006B0CDE" w:rsidP="002D2B57">
      <w:pPr>
        <w:pStyle w:val="NormalWeb"/>
        <w:spacing w:after="0" w:line="360" w:lineRule="auto"/>
        <w:ind w:firstLine="709"/>
        <w:jc w:val="both"/>
      </w:pPr>
      <w:r>
        <w:rPr>
          <w:noProof/>
          <w:lang w:eastAsia="ru-RU"/>
        </w:rPr>
        <w:pict>
          <v:shape id="Рисунок 3" o:spid="_x0000_i1026" type="#_x0000_t75" style="width:304pt;height:177.5pt;visibility:visible">
            <v:imagedata r:id="rId9" o:title=""/>
          </v:shape>
        </w:pict>
      </w:r>
    </w:p>
    <w:p w:rsidR="006B0CDE" w:rsidRPr="008E4C50" w:rsidRDefault="006B0CDE" w:rsidP="002D2B57">
      <w:pPr>
        <w:spacing w:after="0" w:line="360" w:lineRule="auto"/>
        <w:ind w:firstLine="709"/>
        <w:jc w:val="both"/>
        <w:rPr>
          <w:rFonts w:ascii="Times New Roman" w:hAnsi="Times New Roman"/>
          <w:sz w:val="24"/>
          <w:szCs w:val="24"/>
          <w:lang w:val="en-US"/>
        </w:rPr>
      </w:pPr>
      <w:r w:rsidRPr="008E4C50">
        <w:rPr>
          <w:rFonts w:ascii="Times New Roman" w:hAnsi="Times New Roman"/>
          <w:sz w:val="24"/>
          <w:szCs w:val="24"/>
        </w:rPr>
        <w:t>Рис</w:t>
      </w:r>
      <w:r>
        <w:rPr>
          <w:rFonts w:ascii="Times New Roman" w:hAnsi="Times New Roman"/>
          <w:sz w:val="24"/>
          <w:szCs w:val="24"/>
        </w:rPr>
        <w:t xml:space="preserve">унок </w:t>
      </w:r>
      <w:r w:rsidRPr="008E4C50">
        <w:rPr>
          <w:rFonts w:ascii="Times New Roman" w:hAnsi="Times New Roman"/>
          <w:sz w:val="24"/>
          <w:szCs w:val="24"/>
        </w:rPr>
        <w:t>2. Географическая принадлежность прямых иностранных инвестиций</w:t>
      </w:r>
      <w:r>
        <w:rPr>
          <w:rFonts w:ascii="Times New Roman" w:hAnsi="Times New Roman"/>
          <w:sz w:val="24"/>
          <w:szCs w:val="24"/>
        </w:rPr>
        <w:t xml:space="preserve"> СИФов. </w:t>
      </w:r>
      <w:r w:rsidRPr="008E4C50">
        <w:rPr>
          <w:rFonts w:ascii="Times New Roman" w:hAnsi="Times New Roman"/>
          <w:sz w:val="24"/>
          <w:szCs w:val="24"/>
        </w:rPr>
        <w:t>Источник</w:t>
      </w:r>
      <w:r w:rsidRPr="003C67F8">
        <w:rPr>
          <w:rFonts w:ascii="Times New Roman" w:hAnsi="Times New Roman"/>
          <w:sz w:val="24"/>
          <w:szCs w:val="24"/>
          <w:lang w:val="en-US"/>
        </w:rPr>
        <w:t xml:space="preserve">: </w:t>
      </w:r>
      <w:r w:rsidRPr="008E4C50">
        <w:rPr>
          <w:rFonts w:ascii="Times New Roman" w:hAnsi="Times New Roman"/>
          <w:sz w:val="24"/>
          <w:szCs w:val="24"/>
        </w:rPr>
        <w:t>обзор</w:t>
      </w:r>
      <w:r w:rsidRPr="003C67F8">
        <w:rPr>
          <w:rFonts w:ascii="Times New Roman" w:hAnsi="Times New Roman"/>
          <w:sz w:val="24"/>
          <w:szCs w:val="24"/>
          <w:lang w:val="en-US"/>
        </w:rPr>
        <w:t xml:space="preserve"> </w:t>
      </w:r>
      <w:r w:rsidRPr="008E4C50">
        <w:rPr>
          <w:rFonts w:ascii="Times New Roman" w:hAnsi="Times New Roman"/>
          <w:sz w:val="24"/>
          <w:szCs w:val="24"/>
          <w:lang w:val="en-US"/>
        </w:rPr>
        <w:t>ESAD</w:t>
      </w:r>
      <w:r w:rsidRPr="008E4C50">
        <w:rPr>
          <w:rFonts w:ascii="Times New Roman" w:hAnsi="Times New Roman"/>
          <w:sz w:val="24"/>
          <w:szCs w:val="24"/>
        </w:rPr>
        <w:t>E</w:t>
      </w:r>
      <w:r w:rsidRPr="003C67F8">
        <w:rPr>
          <w:rFonts w:ascii="Times New Roman" w:hAnsi="Times New Roman"/>
          <w:sz w:val="24"/>
          <w:szCs w:val="24"/>
          <w:lang w:val="en-US"/>
        </w:rPr>
        <w:t xml:space="preserve"> </w:t>
      </w:r>
      <w:r w:rsidRPr="008E4C50">
        <w:rPr>
          <w:rFonts w:ascii="Times New Roman" w:hAnsi="Times New Roman"/>
          <w:sz w:val="24"/>
          <w:szCs w:val="24"/>
          <w:lang w:val="en-US"/>
        </w:rPr>
        <w:t>Sovereign</w:t>
      </w:r>
      <w:r w:rsidRPr="003C67F8">
        <w:rPr>
          <w:rFonts w:ascii="Times New Roman" w:hAnsi="Times New Roman"/>
          <w:sz w:val="24"/>
          <w:szCs w:val="24"/>
          <w:lang w:val="en-US"/>
        </w:rPr>
        <w:t xml:space="preserve"> </w:t>
      </w:r>
      <w:r w:rsidRPr="008E4C50">
        <w:rPr>
          <w:rFonts w:ascii="Times New Roman" w:hAnsi="Times New Roman"/>
          <w:sz w:val="24"/>
          <w:szCs w:val="24"/>
          <w:lang w:val="en-US"/>
        </w:rPr>
        <w:t>Wealth</w:t>
      </w:r>
      <w:r w:rsidRPr="003C67F8">
        <w:rPr>
          <w:rFonts w:ascii="Times New Roman" w:hAnsi="Times New Roman"/>
          <w:sz w:val="24"/>
          <w:szCs w:val="24"/>
          <w:lang w:val="en-US"/>
        </w:rPr>
        <w:t xml:space="preserve"> </w:t>
      </w:r>
      <w:r w:rsidRPr="008E4C50">
        <w:rPr>
          <w:rFonts w:ascii="Times New Roman" w:hAnsi="Times New Roman"/>
          <w:sz w:val="24"/>
          <w:szCs w:val="24"/>
          <w:lang w:val="en-US"/>
        </w:rPr>
        <w:t>Funds</w:t>
      </w:r>
      <w:r w:rsidRPr="003C67F8">
        <w:rPr>
          <w:rFonts w:ascii="Times New Roman" w:hAnsi="Times New Roman"/>
          <w:sz w:val="24"/>
          <w:szCs w:val="24"/>
          <w:lang w:val="en-US"/>
        </w:rPr>
        <w:t xml:space="preserve">–2013// </w:t>
      </w:r>
      <w:r w:rsidRPr="008E4C50">
        <w:rPr>
          <w:rFonts w:ascii="Times New Roman" w:hAnsi="Times New Roman"/>
          <w:sz w:val="24"/>
          <w:szCs w:val="24"/>
          <w:lang w:val="en-US"/>
        </w:rPr>
        <w:t>ESADE</w:t>
      </w:r>
      <w:r w:rsidRPr="003C67F8">
        <w:rPr>
          <w:rFonts w:ascii="Times New Roman" w:hAnsi="Times New Roman"/>
          <w:sz w:val="24"/>
          <w:szCs w:val="24"/>
          <w:lang w:val="en-US"/>
        </w:rPr>
        <w:t xml:space="preserve"> </w:t>
      </w:r>
      <w:r w:rsidRPr="008E4C50">
        <w:rPr>
          <w:rFonts w:ascii="Times New Roman" w:hAnsi="Times New Roman"/>
          <w:sz w:val="24"/>
          <w:szCs w:val="24"/>
          <w:lang w:val="en-US"/>
        </w:rPr>
        <w:t>Business</w:t>
      </w:r>
      <w:r w:rsidRPr="003C67F8">
        <w:rPr>
          <w:rFonts w:ascii="Times New Roman" w:hAnsi="Times New Roman"/>
          <w:sz w:val="24"/>
          <w:szCs w:val="24"/>
          <w:lang w:val="en-US"/>
        </w:rPr>
        <w:t xml:space="preserve"> </w:t>
      </w:r>
      <w:r w:rsidRPr="008E4C50">
        <w:rPr>
          <w:rFonts w:ascii="Times New Roman" w:hAnsi="Times New Roman"/>
          <w:sz w:val="24"/>
          <w:szCs w:val="24"/>
          <w:lang w:val="en-US"/>
        </w:rPr>
        <w:t>School</w:t>
      </w:r>
      <w:r w:rsidRPr="003C67F8">
        <w:rPr>
          <w:rFonts w:ascii="Times New Roman" w:hAnsi="Times New Roman"/>
          <w:sz w:val="24"/>
          <w:szCs w:val="24"/>
          <w:lang w:val="en-US"/>
        </w:rPr>
        <w:t xml:space="preserve">, </w:t>
      </w:r>
      <w:r w:rsidRPr="008E4C50">
        <w:rPr>
          <w:rFonts w:ascii="Times New Roman" w:hAnsi="Times New Roman"/>
          <w:sz w:val="24"/>
          <w:szCs w:val="24"/>
          <w:lang w:val="en-US"/>
        </w:rPr>
        <w:t>Center</w:t>
      </w:r>
      <w:r w:rsidRPr="003C67F8">
        <w:rPr>
          <w:rFonts w:ascii="Times New Roman" w:hAnsi="Times New Roman"/>
          <w:sz w:val="24"/>
          <w:szCs w:val="24"/>
          <w:lang w:val="en-US"/>
        </w:rPr>
        <w:t xml:space="preserve"> </w:t>
      </w:r>
      <w:r w:rsidRPr="008E4C50">
        <w:rPr>
          <w:rFonts w:ascii="Times New Roman" w:hAnsi="Times New Roman"/>
          <w:sz w:val="24"/>
          <w:szCs w:val="24"/>
          <w:lang w:val="en-US"/>
        </w:rPr>
        <w:t>for</w:t>
      </w:r>
      <w:r w:rsidRPr="003C67F8">
        <w:rPr>
          <w:rFonts w:ascii="Times New Roman" w:hAnsi="Times New Roman"/>
          <w:sz w:val="24"/>
          <w:szCs w:val="24"/>
          <w:lang w:val="en-US"/>
        </w:rPr>
        <w:t xml:space="preserve"> </w:t>
      </w:r>
      <w:r w:rsidRPr="008E4C50">
        <w:rPr>
          <w:rFonts w:ascii="Times New Roman" w:hAnsi="Times New Roman"/>
          <w:sz w:val="24"/>
          <w:szCs w:val="24"/>
          <w:lang w:val="en-US"/>
        </w:rPr>
        <w:t>Global</w:t>
      </w:r>
      <w:r w:rsidRPr="003C67F8">
        <w:rPr>
          <w:rFonts w:ascii="Times New Roman" w:hAnsi="Times New Roman"/>
          <w:sz w:val="24"/>
          <w:szCs w:val="24"/>
          <w:lang w:val="en-US"/>
        </w:rPr>
        <w:t xml:space="preserve"> </w:t>
      </w:r>
      <w:r w:rsidRPr="008E4C50">
        <w:rPr>
          <w:rFonts w:ascii="Times New Roman" w:hAnsi="Times New Roman"/>
          <w:sz w:val="24"/>
          <w:szCs w:val="24"/>
          <w:lang w:val="en-US"/>
        </w:rPr>
        <w:t>Economy</w:t>
      </w:r>
      <w:r w:rsidRPr="003C67F8">
        <w:rPr>
          <w:rFonts w:ascii="Times New Roman" w:hAnsi="Times New Roman"/>
          <w:sz w:val="24"/>
          <w:szCs w:val="24"/>
          <w:lang w:val="en-US"/>
        </w:rPr>
        <w:t xml:space="preserve"> </w:t>
      </w:r>
      <w:r w:rsidRPr="008E4C50">
        <w:rPr>
          <w:rFonts w:ascii="Times New Roman" w:hAnsi="Times New Roman"/>
          <w:sz w:val="24"/>
          <w:szCs w:val="24"/>
          <w:lang w:val="en-US"/>
        </w:rPr>
        <w:t>and</w:t>
      </w:r>
      <w:r w:rsidRPr="003C67F8">
        <w:rPr>
          <w:rFonts w:ascii="Times New Roman" w:hAnsi="Times New Roman"/>
          <w:sz w:val="24"/>
          <w:szCs w:val="24"/>
          <w:lang w:val="en-US"/>
        </w:rPr>
        <w:t xml:space="preserve"> </w:t>
      </w:r>
      <w:r w:rsidRPr="008E4C50">
        <w:rPr>
          <w:rFonts w:ascii="Times New Roman" w:hAnsi="Times New Roman"/>
          <w:sz w:val="24"/>
          <w:szCs w:val="24"/>
          <w:lang w:val="en-US"/>
        </w:rPr>
        <w:t>Geopolitics</w:t>
      </w:r>
      <w:r w:rsidRPr="003C67F8">
        <w:rPr>
          <w:rFonts w:ascii="Times New Roman" w:hAnsi="Times New Roman"/>
          <w:sz w:val="24"/>
          <w:szCs w:val="24"/>
          <w:lang w:val="en-US"/>
        </w:rPr>
        <w:t xml:space="preserve">, </w:t>
      </w:r>
      <w:r w:rsidRPr="008E4C50">
        <w:rPr>
          <w:rFonts w:ascii="Times New Roman" w:hAnsi="Times New Roman"/>
          <w:sz w:val="24"/>
          <w:szCs w:val="24"/>
          <w:lang w:val="en-US"/>
        </w:rPr>
        <w:t>Sovereign Wealth Center.</w:t>
      </w:r>
    </w:p>
    <w:p w:rsidR="006B0CDE" w:rsidRPr="008E4C50" w:rsidRDefault="006B0CDE" w:rsidP="002D2B57">
      <w:pPr>
        <w:pStyle w:val="NormalWeb"/>
        <w:spacing w:after="0" w:line="360" w:lineRule="auto"/>
        <w:ind w:firstLine="709"/>
        <w:jc w:val="both"/>
        <w:rPr>
          <w:lang w:val="en-US"/>
        </w:rPr>
      </w:pPr>
    </w:p>
    <w:p w:rsidR="006B0CDE" w:rsidRPr="008E4C50" w:rsidRDefault="006B0CDE" w:rsidP="002D2B57">
      <w:pPr>
        <w:pStyle w:val="NormalWeb"/>
        <w:spacing w:after="0" w:line="360" w:lineRule="auto"/>
        <w:ind w:firstLine="709"/>
        <w:jc w:val="both"/>
        <w:rPr>
          <w:vertAlign w:val="superscript"/>
        </w:rPr>
      </w:pPr>
      <w:r w:rsidRPr="008E4C50">
        <w:t xml:space="preserve">Проведенный анализ показал, что в последние </w:t>
      </w:r>
      <w:r w:rsidRPr="008E4C50">
        <w:rPr>
          <w:shd w:val="clear" w:color="auto" w:fill="FFFFFF"/>
        </w:rPr>
        <w:t>годы наметилась новая тенденция в г</w:t>
      </w:r>
      <w:r w:rsidRPr="008E4C50">
        <w:t xml:space="preserve">еографии потоков ПИИ суверенных фондов: кроме США и стран Западной Европы, возросли вложения СИФов в Азитско-Тихоокеанский регион (2010–2011 гг.), Восточную Европу, Западную Африку, арабские страны. Более заметными становятся инвестиции, особенно ближневосточных СИФов, в страны постсоветского пространства. </w:t>
      </w:r>
      <w:r w:rsidRPr="008E4C50">
        <w:rPr>
          <w:shd w:val="clear" w:color="auto" w:fill="FFFFFF"/>
        </w:rPr>
        <w:t>С</w:t>
      </w:r>
      <w:r w:rsidRPr="008E4C50">
        <w:t xml:space="preserve">огласно отчету бизнес-школы </w:t>
      </w:r>
      <w:r w:rsidRPr="008E4C50">
        <w:rPr>
          <w:lang w:val="en-US"/>
        </w:rPr>
        <w:t>ESAD</w:t>
      </w:r>
      <w:r w:rsidRPr="008E4C50">
        <w:t xml:space="preserve">E </w:t>
      </w:r>
      <w:r w:rsidRPr="008E4C50">
        <w:rPr>
          <w:lang w:val="en-US"/>
        </w:rPr>
        <w:t>Sovere</w:t>
      </w:r>
      <w:r>
        <w:rPr>
          <w:lang w:val="en-US"/>
        </w:rPr>
        <w:t>i</w:t>
      </w:r>
      <w:r w:rsidRPr="008E4C50">
        <w:rPr>
          <w:lang w:val="en-US"/>
        </w:rPr>
        <w:t>gn</w:t>
      </w:r>
      <w:r w:rsidRPr="008E4C50">
        <w:t xml:space="preserve"> </w:t>
      </w:r>
      <w:r w:rsidRPr="008E4C50">
        <w:rPr>
          <w:lang w:val="en-US"/>
        </w:rPr>
        <w:t>Wealth</w:t>
      </w:r>
      <w:r w:rsidRPr="008E4C50">
        <w:t xml:space="preserve"> </w:t>
      </w:r>
      <w:r w:rsidRPr="008E4C50">
        <w:rPr>
          <w:lang w:val="en-US"/>
        </w:rPr>
        <w:t>Funds</w:t>
      </w:r>
      <w:r w:rsidRPr="008E4C50">
        <w:t xml:space="preserve">–2013, на конец 2012 г. зафиксировано 202 публично раскрытые прямые инвестиции 21 СИФа на общую сумму 54,6 млрд. долл. США, годом ранее СИФами совершено больше инвестиций: 206 сделок на сумму 66,3 млрд. долл. США. Данные показатели значительно меньше ПИИ в кризисные годы, когда СИФы приобрели пакеты акций многих финансовых организаций Швейцарии, США и Англии на общую сумму в 120 млрд. долл. США. </w:t>
      </w:r>
      <w:r w:rsidRPr="008E4C50">
        <w:rPr>
          <w:shd w:val="clear" w:color="auto" w:fill="FFFFFF"/>
        </w:rPr>
        <w:t xml:space="preserve">Если говорить о других отраслевых предпочтениях СИФов, то </w:t>
      </w:r>
      <w:r w:rsidRPr="008E4C50">
        <w:t xml:space="preserve">в Европе они охотно инвестируют в крупнейшие столичные объекты недвижимости и инфраструктурные проекты (коммунальное хозяйство, строительство газо- и водопроводов). Сектор недвижимости всегда находился в сфере интересов СИФов: так, в 2012 г. на него пришлось около четверти прямых инвестиций СИФов (13,6 млрд. долл. США). Последними примерами инвестиций в сектор недвижимости служат покупка в начале 2014 г. эмиратским </w:t>
      </w:r>
      <w:r w:rsidRPr="008E4C50">
        <w:rPr>
          <w:lang w:val="en-US"/>
        </w:rPr>
        <w:t>Abu</w:t>
      </w:r>
      <w:r w:rsidRPr="008E4C50">
        <w:t xml:space="preserve"> </w:t>
      </w:r>
      <w:r w:rsidRPr="008E4C50">
        <w:rPr>
          <w:lang w:val="en-US"/>
        </w:rPr>
        <w:t>Dhabi</w:t>
      </w:r>
      <w:r w:rsidRPr="008E4C50">
        <w:t xml:space="preserve"> </w:t>
      </w:r>
      <w:r w:rsidRPr="008E4C50">
        <w:rPr>
          <w:lang w:val="en-US"/>
        </w:rPr>
        <w:t>Investment</w:t>
      </w:r>
      <w:r w:rsidRPr="008E4C50">
        <w:t xml:space="preserve"> </w:t>
      </w:r>
      <w:r w:rsidRPr="008E4C50">
        <w:rPr>
          <w:lang w:val="en-US"/>
        </w:rPr>
        <w:t>Authority</w:t>
      </w:r>
      <w:r w:rsidRPr="008E4C50">
        <w:t xml:space="preserve"> и сингапурским </w:t>
      </w:r>
      <w:r w:rsidRPr="008E4C50">
        <w:rPr>
          <w:lang w:val="en-US"/>
        </w:rPr>
        <w:t>GIC</w:t>
      </w:r>
      <w:r w:rsidRPr="008E4C50">
        <w:t xml:space="preserve"> офисного здания в Нью-Йорке на сумму 1,3 млрд. долл. и покупка в конце 2013 г. сингапурским и кувейтским фондами офисного здания в центре Лондоне за 1,7 млрд. фунтов стерлингов. Но привлекательными для СИФов являются также промышленные, телекоммуникационные и высокотехнологичные компании Европы, инвестирование в которые происходит с целью </w:t>
      </w:r>
      <w:r w:rsidRPr="008E4C50">
        <w:rPr>
          <w:rFonts w:eastAsia="PFCentroSerifPro-Regular"/>
        </w:rPr>
        <w:t>переноса технологий и развития производственных мощностей в собственных странах.</w:t>
      </w:r>
      <w:r>
        <w:rPr>
          <w:rStyle w:val="FootnoteReference"/>
          <w:rFonts w:eastAsia="PFCentroSerifPro-Regular"/>
        </w:rPr>
        <w:footnoteReference w:id="6"/>
      </w:r>
      <w:r w:rsidRPr="008E4C50">
        <w:rPr>
          <w:rFonts w:eastAsia="PFCentroSerifPro-Regular"/>
          <w:vertAlign w:val="superscript"/>
        </w:rPr>
        <w:t xml:space="preserve"> </w:t>
      </w:r>
      <w:r w:rsidRPr="008E4C50">
        <w:t xml:space="preserve">Ярким примером инвестиций в промышленном секторе может служить покупка катарским фондом </w:t>
      </w:r>
      <w:r w:rsidRPr="008E4C50">
        <w:rPr>
          <w:lang w:val="en-US"/>
        </w:rPr>
        <w:t>Qatar</w:t>
      </w:r>
      <w:r w:rsidRPr="008E4C50">
        <w:t xml:space="preserve"> </w:t>
      </w:r>
      <w:r w:rsidRPr="008E4C50">
        <w:rPr>
          <w:lang w:val="en-US"/>
        </w:rPr>
        <w:t>Investment</w:t>
      </w:r>
      <w:r w:rsidRPr="008E4C50">
        <w:t xml:space="preserve"> </w:t>
      </w:r>
      <w:r w:rsidRPr="008E4C50">
        <w:rPr>
          <w:lang w:val="en-US"/>
        </w:rPr>
        <w:t>Authority</w:t>
      </w:r>
      <w:r w:rsidRPr="008E4C50">
        <w:t xml:space="preserve"> 3% пакета акций немецкого концерна </w:t>
      </w:r>
      <w:r w:rsidRPr="008E4C50">
        <w:rPr>
          <w:lang w:val="en-US"/>
        </w:rPr>
        <w:t>Siemens</w:t>
      </w:r>
      <w:r w:rsidRPr="008E4C50">
        <w:t xml:space="preserve"> за более чем 3 млрд. долл. Что касается инвестиций в инфраструктуру, то этот сектор примечателен тем, что в силу невысоких норм прибыли и длинных горизонтов планирования (более 10 лет) частных инвесторов он интересует в значительно меньшей степени. Таким образом, направляя капиталы на развитие малоприбыльных секторов экономики, СИФы руководствуется не только принципом извлечения максимальной прибыли, но и выполняют некие государственные задачи создания благоприятной среды для населения и будущих поколений.</w:t>
      </w:r>
    </w:p>
    <w:p w:rsidR="006B0CDE" w:rsidRPr="008E4C50" w:rsidRDefault="006B0CDE" w:rsidP="002D2B57">
      <w:pPr>
        <w:pStyle w:val="NormalWeb"/>
        <w:spacing w:after="0" w:line="360" w:lineRule="auto"/>
        <w:ind w:firstLine="709"/>
        <w:jc w:val="both"/>
      </w:pPr>
      <w:r w:rsidRPr="008E4C50">
        <w:t>Например, известно, что эмират</w:t>
      </w:r>
      <w:r>
        <w:t>с</w:t>
      </w:r>
      <w:r w:rsidRPr="008E4C50">
        <w:t xml:space="preserve">кий фонд </w:t>
      </w:r>
      <w:r w:rsidRPr="008E4C50">
        <w:rPr>
          <w:lang w:val="en-US"/>
        </w:rPr>
        <w:t>Abu</w:t>
      </w:r>
      <w:r w:rsidRPr="008E4C50">
        <w:t xml:space="preserve"> </w:t>
      </w:r>
      <w:r w:rsidRPr="008E4C50">
        <w:rPr>
          <w:lang w:val="en-US"/>
        </w:rPr>
        <w:t>Dhabi</w:t>
      </w:r>
      <w:r w:rsidRPr="008E4C50">
        <w:t xml:space="preserve"> </w:t>
      </w:r>
      <w:r w:rsidRPr="008E4C50">
        <w:rPr>
          <w:lang w:val="en-US"/>
        </w:rPr>
        <w:t>Investment</w:t>
      </w:r>
      <w:r w:rsidRPr="008E4C50">
        <w:t xml:space="preserve"> </w:t>
      </w:r>
      <w:r w:rsidRPr="008E4C50">
        <w:rPr>
          <w:lang w:val="en-US"/>
        </w:rPr>
        <w:t>Authority</w:t>
      </w:r>
      <w:r w:rsidRPr="008E4C50">
        <w:t xml:space="preserve"> вкладывает в инфраструктурные проекты более 5% своих активов – примерно 40 млрд. долл.</w:t>
      </w:r>
      <w:r w:rsidRPr="008E4C50">
        <w:rPr>
          <w:shd w:val="clear" w:color="auto" w:fill="FFFFFF"/>
        </w:rPr>
        <w:t xml:space="preserve"> США. В сферу приоритетных отраслей суверенных фондов входят также автомобилестроение, </w:t>
      </w:r>
      <w:r w:rsidRPr="008E4C50">
        <w:rPr>
          <w:rFonts w:eastAsia="PFCentroSerifPro-Regular"/>
        </w:rPr>
        <w:t xml:space="preserve">альтернативные источники энергии, электроника, аэрокосмическая промышленность, </w:t>
      </w:r>
      <w:r w:rsidRPr="008E4C50">
        <w:rPr>
          <w:shd w:val="clear" w:color="auto" w:fill="FFFFFF"/>
        </w:rPr>
        <w:t>энергетика, здравоохранение, строительство, логистика, нефтехимия.</w:t>
      </w:r>
    </w:p>
    <w:p w:rsidR="006B0CDE" w:rsidRPr="008E4C50" w:rsidRDefault="006B0CDE" w:rsidP="002D2B57">
      <w:pPr>
        <w:spacing w:after="0" w:line="360" w:lineRule="auto"/>
        <w:ind w:firstLine="709"/>
        <w:jc w:val="both"/>
        <w:rPr>
          <w:rFonts w:ascii="Times New Roman" w:hAnsi="Times New Roman"/>
          <w:sz w:val="24"/>
          <w:szCs w:val="24"/>
          <w:lang w:eastAsia="ru-RU"/>
        </w:rPr>
      </w:pPr>
      <w:r w:rsidRPr="008E4C50">
        <w:rPr>
          <w:rFonts w:ascii="Times New Roman" w:hAnsi="Times New Roman"/>
          <w:sz w:val="24"/>
          <w:szCs w:val="24"/>
          <w:lang w:eastAsia="ru-RU"/>
        </w:rPr>
        <w:t>В основном, СИФы работают на принципах долевого (беспроцентного) финансирования. В этой связи формирование в Российской Федерации специальной законодательной базы в целях обеспечения беспроцентного финансирования будет способствовать развитию сотрудничества в рамках реализации инвестиционных проектов БРИКС - ЕС с участием суверенных инвестиционных фондов.</w:t>
      </w:r>
    </w:p>
    <w:p w:rsidR="006B0CDE" w:rsidRPr="008E4C50" w:rsidRDefault="006B0CDE" w:rsidP="002D2B57">
      <w:pPr>
        <w:spacing w:after="0" w:line="360" w:lineRule="auto"/>
        <w:ind w:firstLine="709"/>
        <w:jc w:val="both"/>
        <w:rPr>
          <w:rFonts w:ascii="Times New Roman" w:hAnsi="Times New Roman"/>
          <w:sz w:val="24"/>
          <w:szCs w:val="24"/>
          <w:lang w:eastAsia="ru-RU"/>
        </w:rPr>
      </w:pPr>
      <w:r w:rsidRPr="008E4C50">
        <w:rPr>
          <w:rFonts w:ascii="Times New Roman" w:hAnsi="Times New Roman"/>
          <w:sz w:val="24"/>
          <w:szCs w:val="24"/>
          <w:lang w:eastAsia="ru-RU"/>
        </w:rPr>
        <w:t>В настоящее время существенным источником финансирования проектов БРИКС остаются банки развития. Основополагающие документы РБР учитывают степень экономической интеграции стран</w:t>
      </w:r>
      <w:r>
        <w:rPr>
          <w:rFonts w:ascii="Times New Roman" w:hAnsi="Times New Roman"/>
          <w:sz w:val="24"/>
          <w:szCs w:val="24"/>
          <w:lang w:eastAsia="ru-RU"/>
        </w:rPr>
        <w:t>-</w:t>
      </w:r>
      <w:r w:rsidRPr="008E4C50">
        <w:rPr>
          <w:rFonts w:ascii="Times New Roman" w:hAnsi="Times New Roman"/>
          <w:sz w:val="24"/>
          <w:szCs w:val="24"/>
          <w:lang w:eastAsia="ru-RU"/>
        </w:rPr>
        <w:t xml:space="preserve">участниц (зона свободной торговли, таможенный союз, общий рынок, экономическое сотрудничество, экономический союз, экономическая интеграция). В </w:t>
      </w:r>
      <w:r>
        <w:rPr>
          <w:rFonts w:ascii="Times New Roman" w:hAnsi="Times New Roman"/>
          <w:sz w:val="24"/>
          <w:szCs w:val="24"/>
          <w:lang w:eastAsia="ru-RU"/>
        </w:rPr>
        <w:t>с</w:t>
      </w:r>
      <w:r w:rsidRPr="008E4C50">
        <w:rPr>
          <w:rFonts w:ascii="Times New Roman" w:hAnsi="Times New Roman"/>
          <w:sz w:val="24"/>
          <w:szCs w:val="24"/>
          <w:lang w:eastAsia="ru-RU"/>
        </w:rPr>
        <w:t>вою очередь, интеграционная форма экономического сотрудничества предполагает согласование экономической политики в целях обеспечения устойчивого развития, содействие развитию региональным торговым отношениям, планы, направленные на формирование общего рынка/зоны свободной торговли, согласование общих подходов к ключевым финансовым и экономическим вопросам, в том числе при их рассмотрении в международных организациях (форумах, конференциях).</w:t>
      </w:r>
    </w:p>
    <w:p w:rsidR="006B0CDE" w:rsidRPr="008E4C50" w:rsidRDefault="006B0CDE" w:rsidP="002D2B57">
      <w:pPr>
        <w:spacing w:after="0" w:line="360" w:lineRule="auto"/>
        <w:ind w:firstLine="709"/>
        <w:jc w:val="both"/>
        <w:rPr>
          <w:rFonts w:ascii="Times New Roman" w:hAnsi="Times New Roman"/>
          <w:sz w:val="24"/>
          <w:szCs w:val="24"/>
          <w:lang w:eastAsia="ru-RU"/>
        </w:rPr>
      </w:pPr>
      <w:r w:rsidRPr="008E4C50">
        <w:rPr>
          <w:rFonts w:ascii="Times New Roman" w:hAnsi="Times New Roman"/>
          <w:sz w:val="24"/>
          <w:szCs w:val="24"/>
          <w:lang w:eastAsia="ru-RU"/>
        </w:rPr>
        <w:t>Особенностью межгосударственных банков является их наднациональный характер, который обеспечивает банкам участие в реализации внутренней политики государства, а также соблюдение правил и норм регулирования стран – операций.</w:t>
      </w:r>
    </w:p>
    <w:p w:rsidR="006B0CDE" w:rsidRPr="008E4C50" w:rsidRDefault="006B0CDE" w:rsidP="002D2B57">
      <w:pPr>
        <w:spacing w:after="0" w:line="360" w:lineRule="auto"/>
        <w:ind w:firstLine="709"/>
        <w:jc w:val="both"/>
        <w:rPr>
          <w:rFonts w:ascii="Times New Roman" w:hAnsi="Times New Roman"/>
          <w:sz w:val="24"/>
          <w:szCs w:val="24"/>
          <w:lang w:eastAsia="ru-RU"/>
        </w:rPr>
      </w:pPr>
      <w:r w:rsidRPr="008E4C50">
        <w:rPr>
          <w:rFonts w:ascii="Times New Roman" w:hAnsi="Times New Roman"/>
          <w:sz w:val="24"/>
          <w:szCs w:val="24"/>
          <w:lang w:eastAsia="ru-RU"/>
        </w:rPr>
        <w:t>В целом, РБР влияют на формирование торговых, экономических, финансовых, социальных отношений, способствуют интеграционной политике и гармонизации регулятивных основ деятельности экономических субъектов в соответствующих регионах, что укрепляет перспективы сотрудничества Банка развития БРИКС с РБР и расширяет спектр продуктов, услуг, источников финансирования для реализации проектов в интересах стран</w:t>
      </w:r>
      <w:r>
        <w:rPr>
          <w:rFonts w:ascii="Times New Roman" w:hAnsi="Times New Roman"/>
          <w:sz w:val="24"/>
          <w:szCs w:val="24"/>
          <w:lang w:eastAsia="ru-RU"/>
        </w:rPr>
        <w:t>-</w:t>
      </w:r>
      <w:r w:rsidRPr="008E4C50">
        <w:rPr>
          <w:rFonts w:ascii="Times New Roman" w:hAnsi="Times New Roman"/>
          <w:sz w:val="24"/>
          <w:szCs w:val="24"/>
          <w:lang w:eastAsia="ru-RU"/>
        </w:rPr>
        <w:t>участниц. Цели Нового банка развития БРИКС, направленные на финансирование проектов развития инфраструктуры, инвестиционную деятельность, кредитование многосторонних проектов, содействие развитию экономик стран</w:t>
      </w:r>
      <w:r>
        <w:rPr>
          <w:rFonts w:ascii="Times New Roman" w:hAnsi="Times New Roman"/>
          <w:sz w:val="24"/>
          <w:szCs w:val="24"/>
          <w:lang w:eastAsia="ru-RU"/>
        </w:rPr>
        <w:t>-</w:t>
      </w:r>
      <w:r w:rsidRPr="008E4C50">
        <w:rPr>
          <w:rFonts w:ascii="Times New Roman" w:hAnsi="Times New Roman"/>
          <w:sz w:val="24"/>
          <w:szCs w:val="24"/>
          <w:lang w:eastAsia="ru-RU"/>
        </w:rPr>
        <w:t>членов найдут успешную реализацию в рамках сотрудничества банка, например, с Межгосударственным банком (МБ). В соответствии с межгосударственным соглашением уставный капитал МБ составляет 1 млрд. специальных прав заимствования (примерно, 1,375 млрд. долл. США). Наибольшее число акций принадлежит России, Греции, Турции (16,5%). Членами Банка являются также Азербайджан, Албания, Армения, Болгария, Грузия, Молдавия, Румыния, Украина. МБ является надёжным партнёром кредитных институтов стран</w:t>
      </w:r>
      <w:r>
        <w:rPr>
          <w:rFonts w:ascii="Times New Roman" w:hAnsi="Times New Roman"/>
          <w:sz w:val="24"/>
          <w:szCs w:val="24"/>
          <w:lang w:eastAsia="ru-RU"/>
        </w:rPr>
        <w:t>-</w:t>
      </w:r>
      <w:r w:rsidRPr="008E4C50">
        <w:rPr>
          <w:rFonts w:ascii="Times New Roman" w:hAnsi="Times New Roman"/>
          <w:sz w:val="24"/>
          <w:szCs w:val="24"/>
          <w:lang w:eastAsia="ru-RU"/>
        </w:rPr>
        <w:t>членов. Банк создан и действует на основе Соглашения об учреждении банка и Устава, подписанных 22 января 1993 главами 10 государств-участников СНГ: Республики Армения, Республики Беларусь, Республики Казахстан, Киргизской Республики, Республики Молдова, Российской Федерации, Республики Таджикистан, Туркменистана, Республики Узбекистан, Украины. Банк освобожден от всех налогов, сборов, пошлин и др. платежей, взимаемых на территории Российской Федерации. Первоначальный уставный капитал Банка в сумме 5 млрд. рублей сформирован за счет взносов членов Банка. Размер уставного капитала может быть изменен по решению Совета Банка. Высший орган управления Банка – Совет Банка – включает по одному представителю от каждой договаривающейся</w:t>
      </w:r>
      <w:r>
        <w:rPr>
          <w:rFonts w:ascii="Times New Roman" w:hAnsi="Times New Roman"/>
          <w:sz w:val="24"/>
          <w:szCs w:val="24"/>
          <w:lang w:eastAsia="ru-RU"/>
        </w:rPr>
        <w:t xml:space="preserve"> </w:t>
      </w:r>
      <w:r w:rsidRPr="008E4C50">
        <w:rPr>
          <w:rFonts w:ascii="Times New Roman" w:hAnsi="Times New Roman"/>
          <w:sz w:val="24"/>
          <w:szCs w:val="24"/>
          <w:lang w:eastAsia="ru-RU"/>
        </w:rPr>
        <w:t xml:space="preserve">стороны. Решения Совета Банка принимаются квалифицированным большинством (75% общего числа голосов). Российская Федерация имеет 50% общего числа голосов, др. члены Совета – пропорционально доле каждого государства в общем объеме взаимного внешнеторгового оборота. МБ обеспечивает организацию и осуществление многосторонних расчетов между центральными (национальными) банками в связи с торговыми и иными операциями; в пределах предоставляемых ему полномочий осуществляет координацию денежно-кредитной политики государств-участников Соглашения в целях содействия сотрудничеству и развитию экономики; организует управление эмиссией наличных рублей и кредитной эмиссией центральными (национальными) банками стран-учредителей (при условии делегирования Банку таких полномочий законодательными органами заинтересованных сторон и заключения соответствующих соглашений); изучает и анализирует состояние экономики в странах-учредителях Банка, готовит предложения и рекомендации центральным (национальным) банкам в целях координации их денежно-кредитной и валютной политики; координирует их деятельность в области методологии выполнения расчетно-платежных операций, организации системы бухгалтерского учета и отчетности по расчетам и иным операциям, разработки предложений по сближению режимов надзора за коммерческими банками; осуществляет техническое и сезонное кредитование центральных (национальных) банков в процессе осуществления взаимных многосторонних расчетов; совершает широкий круг операций в соответствии с целями и задачами Банка. </w:t>
      </w:r>
    </w:p>
    <w:p w:rsidR="006B0CDE" w:rsidRPr="008E4C50" w:rsidRDefault="006B0CDE" w:rsidP="002D2B57">
      <w:pPr>
        <w:spacing w:after="0" w:line="360" w:lineRule="auto"/>
        <w:ind w:firstLine="709"/>
        <w:jc w:val="both"/>
        <w:rPr>
          <w:rFonts w:ascii="Times New Roman" w:hAnsi="Times New Roman"/>
          <w:sz w:val="24"/>
          <w:szCs w:val="24"/>
          <w:lang w:eastAsia="ru-RU"/>
        </w:rPr>
      </w:pPr>
      <w:r w:rsidRPr="008E4C50">
        <w:rPr>
          <w:rFonts w:ascii="Times New Roman" w:hAnsi="Times New Roman"/>
          <w:sz w:val="24"/>
          <w:szCs w:val="24"/>
          <w:lang w:eastAsia="ru-RU"/>
        </w:rPr>
        <w:t>Евразийский банк развития (ЕАБР) также представляет интерес для субъектов хозяйствования БРИКС и ЕС. ЕАБР учрежден на основании межгосударственного соглашения, подписанного 12 января 2006 года уполномоченными представителями Российской Федерации и Республики Казахстан. Инициатива создания Банка принадлежит президентам России и Казахстана. В 2009 году в состав членов банка вошли Республика Армения и Республика Таджикистан, в 2010 году — Республика Беларусь, а в 2011 году — Киргизская Республика. Банк содействует экономическому росту государств-участников, расширению торгово-экономических связей между ними и развитию интеграционных процессов на евразийском пространстве, реализует инвестиционные проекты. Деятельность Банка направлена на создание условий устойчивого экономического развития стран – членов, чему способствует расширение сотрудничества с БРИКС. На обеспечение экономических интересов БРИКС могут быть направлены совместные механизмы: финансирования инвестиционных проектов, имеющих интеграционный эффект; предоставления технического содействия в реализации проектов развития; исследования проблем и перспектив экономического сотрудничества. Уставный капитал Банка - 1,5 миллиарда долларов США, что является прочной основой его деятельности. Штаб-квартира ЕАБР расположена в Алматы. Банк имеет филиал в Санкт-Петербурге, представительства в Москве, Астане, Душанбе, Ереване, Минске и Бишкеке.</w:t>
      </w:r>
    </w:p>
    <w:p w:rsidR="006B0CDE" w:rsidRPr="008E4C50" w:rsidRDefault="006B0CDE" w:rsidP="002D2B57">
      <w:pPr>
        <w:spacing w:after="0" w:line="360" w:lineRule="auto"/>
        <w:ind w:firstLine="709"/>
        <w:jc w:val="both"/>
        <w:rPr>
          <w:rFonts w:ascii="Times New Roman" w:hAnsi="Times New Roman"/>
          <w:sz w:val="24"/>
          <w:szCs w:val="24"/>
          <w:lang w:eastAsia="ru-RU"/>
        </w:rPr>
      </w:pPr>
      <w:r w:rsidRPr="008E4C50">
        <w:rPr>
          <w:rFonts w:ascii="Times New Roman" w:hAnsi="Times New Roman"/>
          <w:sz w:val="24"/>
          <w:szCs w:val="24"/>
          <w:lang w:eastAsia="ru-RU"/>
        </w:rPr>
        <w:t>Субординированное и синдицированное кредитование, инвестиции в акционерный капитал создаваемых предприятий (до 33%), представление кредитных линий, участие в управлении предприятиями, содействие в привлечении финансовых ресурсов, передачи технологий – возможные механизмы сотрудничества ЕАБР со странами – участниками БРИКС и ЕС.</w:t>
      </w:r>
    </w:p>
    <w:p w:rsidR="006B0CDE" w:rsidRPr="008E4C50" w:rsidRDefault="006B0CDE" w:rsidP="002D2B57">
      <w:pPr>
        <w:spacing w:after="0" w:line="360" w:lineRule="auto"/>
        <w:ind w:firstLine="709"/>
        <w:jc w:val="both"/>
        <w:rPr>
          <w:rFonts w:ascii="Times New Roman" w:hAnsi="Times New Roman"/>
          <w:sz w:val="24"/>
          <w:szCs w:val="24"/>
          <w:lang w:eastAsia="ru-RU"/>
        </w:rPr>
      </w:pPr>
      <w:r w:rsidRPr="008E4C50">
        <w:rPr>
          <w:rFonts w:ascii="Times New Roman" w:hAnsi="Times New Roman"/>
          <w:sz w:val="24"/>
          <w:szCs w:val="24"/>
          <w:lang w:eastAsia="ru-RU"/>
        </w:rPr>
        <w:t>Значительный интерес для обеспечения программ развития БРИКС представляет Азиатский банк развития (АзБР). АзБР создан в 1966 году в целях содействия развитию стран Азии и Дальнего Востока. Участниками Банка являются 56 стран: Китай, 40 стран Азии и Дальнего Востока, 16 – Европейские страны, Канада, США, Франция, Швейцария и др. Банк формирует стратегию финансовой деятельности с участием представителей правительств стран</w:t>
      </w:r>
      <w:r>
        <w:rPr>
          <w:rFonts w:ascii="Times New Roman" w:hAnsi="Times New Roman"/>
          <w:sz w:val="24"/>
          <w:szCs w:val="24"/>
          <w:lang w:eastAsia="ru-RU"/>
        </w:rPr>
        <w:t>-</w:t>
      </w:r>
      <w:r w:rsidRPr="008E4C50">
        <w:rPr>
          <w:rFonts w:ascii="Times New Roman" w:hAnsi="Times New Roman"/>
          <w:sz w:val="24"/>
          <w:szCs w:val="24"/>
          <w:lang w:eastAsia="ru-RU"/>
        </w:rPr>
        <w:t>членов. Кредитная политика Банка развития БРИКС включает приоритетные направления финансирования, которые во многом совпадают с приоритетами АзБР: сельское хозяйство, ирригация, рыболовство, животноводство, лесоводство, развитие регионов; энергетика, добыча энергоресурсов, нефтеперерабатывающая промышленность, газопроводы; транспорт и связь, судоходство, порты. Железные дороги аэропорты, дороги, телекоммуникации; водоснабжение, программы в сфере здравоохранения и образования.</w:t>
      </w:r>
    </w:p>
    <w:p w:rsidR="006B0CDE" w:rsidRPr="008E4C50" w:rsidRDefault="006B0CDE" w:rsidP="002D2B57">
      <w:pPr>
        <w:spacing w:after="0" w:line="360" w:lineRule="auto"/>
        <w:ind w:firstLine="709"/>
        <w:jc w:val="both"/>
        <w:rPr>
          <w:rFonts w:ascii="Times New Roman" w:hAnsi="Times New Roman"/>
          <w:sz w:val="24"/>
          <w:szCs w:val="24"/>
          <w:lang w:eastAsia="ru-RU"/>
        </w:rPr>
      </w:pPr>
      <w:r w:rsidRPr="008E4C50">
        <w:rPr>
          <w:rFonts w:ascii="Times New Roman" w:hAnsi="Times New Roman"/>
          <w:sz w:val="24"/>
          <w:szCs w:val="24"/>
          <w:lang w:eastAsia="ru-RU"/>
        </w:rPr>
        <w:t>Банк оказывает консультативные и информационные услуги, в основном, юридическим лицам, финансирует программы развития малого и среднего бизнеса, трансфер технологий и осуществляет финансовый инжиниринг проектов с учётом экономических и стратегических интересов стран</w:t>
      </w:r>
      <w:r>
        <w:rPr>
          <w:rFonts w:ascii="Times New Roman" w:hAnsi="Times New Roman"/>
          <w:sz w:val="24"/>
          <w:szCs w:val="24"/>
          <w:lang w:eastAsia="ru-RU"/>
        </w:rPr>
        <w:t>-</w:t>
      </w:r>
      <w:r w:rsidRPr="008E4C50">
        <w:rPr>
          <w:rFonts w:ascii="Times New Roman" w:hAnsi="Times New Roman"/>
          <w:sz w:val="24"/>
          <w:szCs w:val="24"/>
          <w:lang w:eastAsia="ru-RU"/>
        </w:rPr>
        <w:t>членов. Эксперты Банка содействуют правительствам заинтересованных сторон в разработке и финансировании программ развития, осуществляют консультации на этапах подготовки и реализации проектов. Банк использует широкий круг финансовых инструментов в целях обеспечения интересов клиентов, включая синдицированное кредитование и проектное финансирование. Максимальный срок кредитования – 30 лет. Кроме того, Банк управляет специализированными фондами: Фонд азиатского развития (с 1974 г.), Специализированный фонд технической помощи (с 1966 г.), Японский специальный фонд (с 1988 г.). Финансирование приоритетных программ развития с участие Фондов осуществляется на срок до 40 лет.</w:t>
      </w:r>
    </w:p>
    <w:p w:rsidR="006B0CDE" w:rsidRPr="008E4C50" w:rsidRDefault="006B0CDE" w:rsidP="002D2B57">
      <w:pPr>
        <w:spacing w:after="0" w:line="360" w:lineRule="auto"/>
        <w:ind w:firstLine="709"/>
        <w:jc w:val="both"/>
        <w:rPr>
          <w:rFonts w:ascii="Times New Roman" w:hAnsi="Times New Roman"/>
          <w:sz w:val="24"/>
          <w:szCs w:val="24"/>
          <w:lang w:eastAsia="ru-RU"/>
        </w:rPr>
      </w:pPr>
      <w:r w:rsidRPr="008E4C50">
        <w:rPr>
          <w:rFonts w:ascii="Times New Roman" w:hAnsi="Times New Roman"/>
          <w:sz w:val="24"/>
          <w:szCs w:val="24"/>
          <w:lang w:eastAsia="ru-RU"/>
        </w:rPr>
        <w:t>АзБР является акционером Азиатской финансово-инвестиционной корпорации, созданной в целях оказания содействия частным предприятиям, кредитования и гарантирования сделок. Участниками Фонда являются 25 стран Азии, Америки и Европы.</w:t>
      </w:r>
    </w:p>
    <w:p w:rsidR="006B0CDE" w:rsidRPr="008E4C50" w:rsidRDefault="006B0CDE" w:rsidP="002D2B57">
      <w:pPr>
        <w:spacing w:after="0" w:line="360" w:lineRule="auto"/>
        <w:ind w:firstLine="709"/>
        <w:jc w:val="both"/>
        <w:rPr>
          <w:rFonts w:ascii="Times New Roman" w:hAnsi="Times New Roman"/>
          <w:sz w:val="24"/>
          <w:szCs w:val="24"/>
          <w:lang w:eastAsia="ru-RU"/>
        </w:rPr>
      </w:pPr>
      <w:r w:rsidRPr="008E4C50">
        <w:rPr>
          <w:rFonts w:ascii="Times New Roman" w:hAnsi="Times New Roman"/>
          <w:sz w:val="24"/>
          <w:szCs w:val="24"/>
          <w:lang w:eastAsia="ru-RU"/>
        </w:rPr>
        <w:t>Банк сотрудничает с институтами развития ООН, которыми являются Международный банк экономического сотрудничества и Международный инвестиционный банк. АзБР является учредителем (с 1976 г.) Ассоциации институтов финансирования развития в Азиатско</w:t>
      </w:r>
      <w:r>
        <w:rPr>
          <w:rFonts w:ascii="Times New Roman" w:hAnsi="Times New Roman"/>
          <w:sz w:val="24"/>
          <w:szCs w:val="24"/>
          <w:lang w:eastAsia="ru-RU"/>
        </w:rPr>
        <w:t>-</w:t>
      </w:r>
      <w:r w:rsidRPr="008E4C50">
        <w:rPr>
          <w:rFonts w:ascii="Times New Roman" w:hAnsi="Times New Roman"/>
          <w:sz w:val="24"/>
          <w:szCs w:val="24"/>
          <w:lang w:eastAsia="ru-RU"/>
        </w:rPr>
        <w:t>Тихооке</w:t>
      </w:r>
      <w:r>
        <w:rPr>
          <w:rFonts w:ascii="Times New Roman" w:hAnsi="Times New Roman"/>
          <w:sz w:val="24"/>
          <w:szCs w:val="24"/>
          <w:lang w:eastAsia="ru-RU"/>
        </w:rPr>
        <w:t>а</w:t>
      </w:r>
      <w:r w:rsidRPr="008E4C50">
        <w:rPr>
          <w:rFonts w:ascii="Times New Roman" w:hAnsi="Times New Roman"/>
          <w:sz w:val="24"/>
          <w:szCs w:val="24"/>
          <w:lang w:eastAsia="ru-RU"/>
        </w:rPr>
        <w:t>нском регионе, которая объединяет 72 банка развития и 7 специализированных институтов ООН, включая МБРР, что также представляет интерес для институтов развития БРИКС.</w:t>
      </w:r>
    </w:p>
    <w:p w:rsidR="006B0CDE" w:rsidRPr="008E4C50" w:rsidRDefault="006B0CDE" w:rsidP="002D2B57">
      <w:pPr>
        <w:spacing w:after="0" w:line="360" w:lineRule="auto"/>
        <w:ind w:firstLine="709"/>
        <w:jc w:val="both"/>
        <w:rPr>
          <w:rFonts w:ascii="Times New Roman" w:hAnsi="Times New Roman"/>
          <w:sz w:val="24"/>
          <w:szCs w:val="24"/>
          <w:vertAlign w:val="superscript"/>
          <w:lang w:eastAsia="ru-RU"/>
        </w:rPr>
      </w:pPr>
      <w:r w:rsidRPr="008E4C50">
        <w:rPr>
          <w:rFonts w:ascii="Times New Roman" w:hAnsi="Times New Roman"/>
          <w:sz w:val="24"/>
          <w:szCs w:val="24"/>
          <w:lang w:eastAsia="ru-RU"/>
        </w:rPr>
        <w:t>Сотрудничество БРИКС с региональными банками и фондами развития стран Африки также позволит расширить ресурсную базу проектов и программ, содействующих экономическому развитию стран</w:t>
      </w:r>
      <w:r>
        <w:rPr>
          <w:rFonts w:ascii="Times New Roman" w:hAnsi="Times New Roman"/>
          <w:sz w:val="24"/>
          <w:szCs w:val="24"/>
          <w:lang w:eastAsia="ru-RU"/>
        </w:rPr>
        <w:t>-</w:t>
      </w:r>
      <w:r w:rsidRPr="008E4C50">
        <w:rPr>
          <w:rFonts w:ascii="Times New Roman" w:hAnsi="Times New Roman"/>
          <w:sz w:val="24"/>
          <w:szCs w:val="24"/>
          <w:lang w:eastAsia="ru-RU"/>
        </w:rPr>
        <w:t>членов, обеспечению экономических интересов хозяйствующих субъектов. Поддержку сотрудничества с институтами развития Африки готовы оказать страны</w:t>
      </w:r>
      <w:r>
        <w:rPr>
          <w:rFonts w:ascii="Times New Roman" w:hAnsi="Times New Roman"/>
          <w:sz w:val="24"/>
          <w:szCs w:val="24"/>
          <w:lang w:eastAsia="ru-RU"/>
        </w:rPr>
        <w:t>-</w:t>
      </w:r>
      <w:r w:rsidRPr="008E4C50">
        <w:rPr>
          <w:rFonts w:ascii="Times New Roman" w:hAnsi="Times New Roman"/>
          <w:sz w:val="24"/>
          <w:szCs w:val="24"/>
          <w:lang w:eastAsia="ru-RU"/>
        </w:rPr>
        <w:t>партнёры БРИКС. Например, официальные лица Герцогства Монако в ходе визита Министра экономики и финансов страны г-на Ж. Кастеллини в Российскую Федерацию в январе 2015 года подтвердили такое намерение в рамках деловой встречи с представителями промышленников и предпринимателей Российской Федерации.</w:t>
      </w:r>
      <w:r>
        <w:rPr>
          <w:rStyle w:val="FootnoteReference"/>
          <w:rFonts w:ascii="Times New Roman" w:hAnsi="Times New Roman"/>
          <w:sz w:val="24"/>
          <w:szCs w:val="24"/>
          <w:lang w:eastAsia="ru-RU"/>
        </w:rPr>
        <w:footnoteReference w:id="7"/>
      </w:r>
    </w:p>
    <w:p w:rsidR="006B0CDE" w:rsidRPr="008E4C50" w:rsidRDefault="006B0CDE" w:rsidP="00BB6EEA">
      <w:pPr>
        <w:pStyle w:val="ListParagraph"/>
        <w:spacing w:line="360" w:lineRule="auto"/>
        <w:ind w:left="0" w:firstLine="709"/>
        <w:jc w:val="both"/>
      </w:pPr>
      <w:r w:rsidRPr="008E4C50">
        <w:t>Основными направлениями сотрудничества институтов развития БРИКС и ЕС в целях обеспечения экономических интересов стран</w:t>
      </w:r>
      <w:r>
        <w:t>-</w:t>
      </w:r>
      <w:r w:rsidRPr="008E4C50">
        <w:t xml:space="preserve">членов могут быть: финансирование приоритетных программ развития, консультации, экспертиза и сопровождение проектов в сфере развития промышленности, энергетики, сельского хозяйства, инфраструктуры, транспорта, телекоммуникаций, научных исследований и разработок, финансирование малого и среднего бизнеса, прямые инвестиции, трансфер технологий. </w:t>
      </w:r>
    </w:p>
    <w:p w:rsidR="006B0CDE" w:rsidRPr="008E4C50" w:rsidRDefault="006B0CDE" w:rsidP="002D2B57">
      <w:pPr>
        <w:spacing w:after="0" w:line="360" w:lineRule="auto"/>
        <w:ind w:firstLine="709"/>
        <w:jc w:val="both"/>
        <w:rPr>
          <w:rFonts w:ascii="Times New Roman" w:hAnsi="Times New Roman"/>
          <w:sz w:val="24"/>
          <w:szCs w:val="24"/>
          <w:lang w:eastAsia="ru-RU"/>
        </w:rPr>
      </w:pPr>
      <w:r w:rsidRPr="008E4C50">
        <w:rPr>
          <w:rFonts w:ascii="Times New Roman" w:hAnsi="Times New Roman"/>
          <w:sz w:val="24"/>
          <w:szCs w:val="24"/>
          <w:lang w:eastAsia="ru-RU"/>
        </w:rPr>
        <w:t>Совершенствование нормативной базы долевого финансирования и использование опыта финансовых институтов стран Персидского залива и Малайзии в странах БРИКС будет способствовать привлечению иностранных инвестиций, в том числе с участием европейских партнёров для обеспечения экономических интересов хозяйствующих субъектов и развитию сотрудничества с Исламским банком развития и специальными фондами институтов развития арабских государств</w:t>
      </w:r>
      <w:r>
        <w:rPr>
          <w:rFonts w:ascii="Times New Roman" w:hAnsi="Times New Roman"/>
          <w:sz w:val="24"/>
          <w:szCs w:val="24"/>
          <w:lang w:eastAsia="ru-RU"/>
        </w:rPr>
        <w:t>,</w:t>
      </w:r>
      <w:r>
        <w:rPr>
          <w:rStyle w:val="FootnoteReference"/>
          <w:rFonts w:ascii="Times New Roman" w:hAnsi="Times New Roman"/>
          <w:sz w:val="24"/>
          <w:szCs w:val="24"/>
          <w:lang w:eastAsia="ru-RU"/>
        </w:rPr>
        <w:footnoteReference w:id="8"/>
      </w:r>
      <w:r w:rsidRPr="008E4C50">
        <w:rPr>
          <w:rFonts w:ascii="Times New Roman" w:hAnsi="Times New Roman"/>
          <w:sz w:val="24"/>
          <w:szCs w:val="24"/>
          <w:lang w:eastAsia="ru-RU"/>
        </w:rPr>
        <w:t xml:space="preserve"> одним и</w:t>
      </w:r>
      <w:r>
        <w:rPr>
          <w:rFonts w:ascii="Times New Roman" w:hAnsi="Times New Roman"/>
          <w:sz w:val="24"/>
          <w:szCs w:val="24"/>
          <w:lang w:eastAsia="ru-RU"/>
        </w:rPr>
        <w:t>з</w:t>
      </w:r>
      <w:r w:rsidRPr="008E4C50">
        <w:rPr>
          <w:rFonts w:ascii="Times New Roman" w:hAnsi="Times New Roman"/>
          <w:sz w:val="24"/>
          <w:szCs w:val="24"/>
          <w:lang w:eastAsia="ru-RU"/>
        </w:rPr>
        <w:t xml:space="preserve"> которых является Арабский банк экономического развития Африки (АБЭРА), созданный в 1973 году по предложению Лиги арабских государств с целью кредитования и гарантирования, оказани</w:t>
      </w:r>
      <w:r>
        <w:rPr>
          <w:rFonts w:ascii="Times New Roman" w:hAnsi="Times New Roman"/>
          <w:sz w:val="24"/>
          <w:szCs w:val="24"/>
          <w:lang w:eastAsia="ru-RU"/>
        </w:rPr>
        <w:t>я</w:t>
      </w:r>
      <w:r w:rsidRPr="008E4C50">
        <w:rPr>
          <w:rFonts w:ascii="Times New Roman" w:hAnsi="Times New Roman"/>
          <w:sz w:val="24"/>
          <w:szCs w:val="24"/>
          <w:lang w:eastAsia="ru-RU"/>
        </w:rPr>
        <w:t xml:space="preserve"> финансовой помощи и консультационных услуг на всех стадиях реализации проектов, субсидирования проектов трансфера технологий, внедрения ноу-хау и пр. Указанные направления работы и механизмы финансирования программ развития представляют интерес для БРИКС. Членами банка являются 18 государств (Алжир, Бахрейн, Египет, Иордания, Ирак, Катар, Ливан, Ливия, Мавритания, Марокко, Объединённые Арабские Эмираты, Оман, Палестина, Саудовская Аравия, Сирия, Судан, Тунис), которые заинтересованы в сотрудничестве с БРИКС и ЕС. </w:t>
      </w:r>
    </w:p>
    <w:p w:rsidR="006B0CDE" w:rsidRPr="008E4C50" w:rsidRDefault="006B0CDE" w:rsidP="00363B67">
      <w:pPr>
        <w:spacing w:after="0" w:line="360" w:lineRule="auto"/>
        <w:ind w:firstLine="709"/>
        <w:jc w:val="both"/>
        <w:rPr>
          <w:rFonts w:ascii="Times New Roman" w:hAnsi="Times New Roman"/>
          <w:sz w:val="24"/>
          <w:szCs w:val="24"/>
          <w:vertAlign w:val="superscript"/>
          <w:lang w:eastAsia="ru-RU"/>
        </w:rPr>
      </w:pPr>
      <w:r w:rsidRPr="008E4C50">
        <w:rPr>
          <w:rFonts w:ascii="Times New Roman" w:hAnsi="Times New Roman"/>
          <w:sz w:val="24"/>
          <w:szCs w:val="24"/>
          <w:lang w:eastAsia="ru-RU"/>
        </w:rPr>
        <w:t>Активное участие Нового банка развития БРИКС в указанном процессе будет способствовать укреплению роли стран</w:t>
      </w:r>
      <w:r>
        <w:rPr>
          <w:rFonts w:ascii="Times New Roman" w:hAnsi="Times New Roman"/>
          <w:sz w:val="24"/>
          <w:szCs w:val="24"/>
          <w:lang w:eastAsia="ru-RU"/>
        </w:rPr>
        <w:t>-</w:t>
      </w:r>
      <w:r w:rsidRPr="008E4C50">
        <w:rPr>
          <w:rFonts w:ascii="Times New Roman" w:hAnsi="Times New Roman"/>
          <w:sz w:val="24"/>
          <w:szCs w:val="24"/>
          <w:lang w:eastAsia="ru-RU"/>
        </w:rPr>
        <w:t>членов в мировой экономике и международных финансово</w:t>
      </w:r>
      <w:r>
        <w:rPr>
          <w:rFonts w:ascii="Times New Roman" w:hAnsi="Times New Roman"/>
          <w:sz w:val="24"/>
          <w:szCs w:val="24"/>
          <w:lang w:eastAsia="ru-RU"/>
        </w:rPr>
        <w:t>-</w:t>
      </w:r>
      <w:r w:rsidRPr="008E4C50">
        <w:rPr>
          <w:rFonts w:ascii="Times New Roman" w:hAnsi="Times New Roman"/>
          <w:sz w:val="24"/>
          <w:szCs w:val="24"/>
          <w:lang w:eastAsia="ru-RU"/>
        </w:rPr>
        <w:t>экономических отношениях.</w:t>
      </w:r>
      <w:bookmarkStart w:id="0" w:name="_GoBack"/>
      <w:bookmarkEnd w:id="0"/>
    </w:p>
    <w:sectPr w:rsidR="006B0CDE" w:rsidRPr="008E4C50" w:rsidSect="002D2B57">
      <w:footerReference w:type="default" r:id="rId10"/>
      <w:footnotePr>
        <w:numRestart w:val="eachPage"/>
      </w:footnotePr>
      <w:pgSz w:w="11906" w:h="16838" w:code="9"/>
      <w:pgMar w:top="1134" w:right="1418" w:bottom="1134" w:left="1418" w:header="0"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0CDE" w:rsidRDefault="006B0CDE" w:rsidP="003407CF">
      <w:pPr>
        <w:spacing w:after="0" w:line="240" w:lineRule="auto"/>
      </w:pPr>
      <w:r>
        <w:separator/>
      </w:r>
    </w:p>
  </w:endnote>
  <w:endnote w:type="continuationSeparator" w:id="0">
    <w:p w:rsidR="006B0CDE" w:rsidRDefault="006B0CDE" w:rsidP="003407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BNCMF+TimesNewRoman,BoldItalic">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FCentroSerifPro-Regular">
    <w:altName w:val="Arial Unicode MS"/>
    <w:panose1 w:val="00000000000000000000"/>
    <w:charset w:val="80"/>
    <w:family w:val="roman"/>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0CDE" w:rsidRPr="002D2B57" w:rsidRDefault="006B0CDE" w:rsidP="002D2B57">
    <w:pPr>
      <w:pStyle w:val="Footer"/>
      <w:jc w:val="center"/>
      <w:rPr>
        <w:rFonts w:ascii="Times New Roman" w:hAnsi="Times New Roman"/>
        <w:sz w:val="24"/>
        <w:szCs w:val="24"/>
      </w:rPr>
    </w:pPr>
    <w:r w:rsidRPr="002D2B57">
      <w:rPr>
        <w:rFonts w:ascii="Times New Roman" w:hAnsi="Times New Roman"/>
        <w:sz w:val="24"/>
        <w:szCs w:val="24"/>
      </w:rPr>
      <w:fldChar w:fldCharType="begin"/>
    </w:r>
    <w:r w:rsidRPr="002D2B57">
      <w:rPr>
        <w:rFonts w:ascii="Times New Roman" w:hAnsi="Times New Roman"/>
        <w:sz w:val="24"/>
        <w:szCs w:val="24"/>
      </w:rPr>
      <w:instrText>PAGE   \* MERGEFORMAT</w:instrText>
    </w:r>
    <w:r w:rsidRPr="002D2B57">
      <w:rPr>
        <w:rFonts w:ascii="Times New Roman" w:hAnsi="Times New Roman"/>
        <w:sz w:val="24"/>
        <w:szCs w:val="24"/>
      </w:rPr>
      <w:fldChar w:fldCharType="separate"/>
    </w:r>
    <w:r>
      <w:rPr>
        <w:rFonts w:ascii="Times New Roman" w:hAnsi="Times New Roman"/>
        <w:noProof/>
        <w:sz w:val="24"/>
        <w:szCs w:val="24"/>
      </w:rPr>
      <w:t>1</w:t>
    </w:r>
    <w:r w:rsidRPr="002D2B57">
      <w:rPr>
        <w:rFonts w:ascii="Times New Roman" w:hAnsi="Times New Roman"/>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0CDE" w:rsidRDefault="006B0CDE" w:rsidP="003407CF">
      <w:pPr>
        <w:spacing w:after="0" w:line="240" w:lineRule="auto"/>
      </w:pPr>
      <w:r>
        <w:separator/>
      </w:r>
    </w:p>
  </w:footnote>
  <w:footnote w:type="continuationSeparator" w:id="0">
    <w:p w:rsidR="006B0CDE" w:rsidRDefault="006B0CDE" w:rsidP="003407CF">
      <w:pPr>
        <w:spacing w:after="0" w:line="240" w:lineRule="auto"/>
      </w:pPr>
      <w:r>
        <w:continuationSeparator/>
      </w:r>
    </w:p>
  </w:footnote>
  <w:footnote w:id="1">
    <w:p w:rsidR="006B0CDE" w:rsidRDefault="006B0CDE" w:rsidP="006072C8">
      <w:pPr>
        <w:spacing w:after="0" w:line="240" w:lineRule="auto"/>
        <w:ind w:firstLine="709"/>
        <w:jc w:val="both"/>
      </w:pPr>
      <w:r w:rsidRPr="006072C8">
        <w:rPr>
          <w:rStyle w:val="FootnoteReference"/>
          <w:rFonts w:ascii="Times New Roman" w:hAnsi="Times New Roman"/>
          <w:sz w:val="20"/>
          <w:szCs w:val="20"/>
        </w:rPr>
        <w:footnoteRef/>
      </w:r>
      <w:r w:rsidRPr="006072C8">
        <w:rPr>
          <w:rFonts w:ascii="Times New Roman" w:hAnsi="Times New Roman"/>
          <w:sz w:val="20"/>
          <w:szCs w:val="20"/>
          <w:lang w:val="en-US"/>
        </w:rPr>
        <w:t xml:space="preserve"> </w:t>
      </w:r>
      <w:r w:rsidRPr="006072C8">
        <w:rPr>
          <w:rFonts w:ascii="Times New Roman" w:eastAsia="PFCentroSerifPro-Regular" w:hAnsi="Times New Roman"/>
          <w:sz w:val="20"/>
          <w:szCs w:val="20"/>
          <w:lang w:val="en-US"/>
        </w:rPr>
        <w:t>World Investment Report / UNCTAD. 2014.</w:t>
      </w:r>
    </w:p>
  </w:footnote>
  <w:footnote w:id="2">
    <w:p w:rsidR="006B0CDE" w:rsidRDefault="006B0CDE" w:rsidP="006072C8">
      <w:pPr>
        <w:spacing w:after="0" w:line="240" w:lineRule="auto"/>
        <w:ind w:firstLine="709"/>
        <w:jc w:val="both"/>
      </w:pPr>
      <w:r w:rsidRPr="006072C8">
        <w:rPr>
          <w:rStyle w:val="FootnoteReference"/>
          <w:rFonts w:ascii="Times New Roman" w:hAnsi="Times New Roman"/>
          <w:sz w:val="20"/>
          <w:szCs w:val="20"/>
        </w:rPr>
        <w:footnoteRef/>
      </w:r>
      <w:r w:rsidRPr="00502F52">
        <w:rPr>
          <w:rFonts w:ascii="Times New Roman" w:hAnsi="Times New Roman"/>
          <w:sz w:val="20"/>
          <w:szCs w:val="20"/>
        </w:rPr>
        <w:t xml:space="preserve"> </w:t>
      </w:r>
      <w:r w:rsidRPr="006072C8">
        <w:rPr>
          <w:rFonts w:ascii="Times New Roman" w:hAnsi="Times New Roman"/>
          <w:sz w:val="20"/>
          <w:szCs w:val="20"/>
        </w:rPr>
        <w:t>По</w:t>
      </w:r>
      <w:r w:rsidRPr="00502F52">
        <w:rPr>
          <w:rFonts w:ascii="Times New Roman" w:hAnsi="Times New Roman"/>
          <w:sz w:val="20"/>
          <w:szCs w:val="20"/>
        </w:rPr>
        <w:t xml:space="preserve"> </w:t>
      </w:r>
      <w:r w:rsidRPr="006072C8">
        <w:rPr>
          <w:rFonts w:ascii="Times New Roman" w:hAnsi="Times New Roman"/>
          <w:sz w:val="20"/>
          <w:szCs w:val="20"/>
        </w:rPr>
        <w:t>данным</w:t>
      </w:r>
      <w:r w:rsidRPr="00502F52">
        <w:rPr>
          <w:rFonts w:ascii="Times New Roman" w:hAnsi="Times New Roman"/>
          <w:sz w:val="20"/>
          <w:szCs w:val="20"/>
        </w:rPr>
        <w:t xml:space="preserve"> </w:t>
      </w:r>
      <w:hyperlink r:id="rId1" w:history="1">
        <w:r w:rsidRPr="006072C8">
          <w:rPr>
            <w:rStyle w:val="Hyperlink"/>
            <w:rFonts w:ascii="Times New Roman" w:hAnsi="Times New Roman"/>
            <w:color w:val="auto"/>
            <w:sz w:val="20"/>
            <w:szCs w:val="20"/>
            <w:lang w:val="en-US"/>
          </w:rPr>
          <w:t>http</w:t>
        </w:r>
        <w:r w:rsidRPr="00502F52">
          <w:rPr>
            <w:rStyle w:val="Hyperlink"/>
            <w:rFonts w:ascii="Times New Roman" w:hAnsi="Times New Roman"/>
            <w:color w:val="auto"/>
            <w:sz w:val="20"/>
            <w:szCs w:val="20"/>
          </w:rPr>
          <w:t>://</w:t>
        </w:r>
        <w:r w:rsidRPr="006072C8">
          <w:rPr>
            <w:rStyle w:val="Hyperlink"/>
            <w:rFonts w:ascii="Times New Roman" w:hAnsi="Times New Roman"/>
            <w:color w:val="auto"/>
            <w:sz w:val="20"/>
            <w:szCs w:val="20"/>
            <w:lang w:val="en-US"/>
          </w:rPr>
          <w:t>www</w:t>
        </w:r>
        <w:r w:rsidRPr="00502F52">
          <w:rPr>
            <w:rStyle w:val="Hyperlink"/>
            <w:rFonts w:ascii="Times New Roman" w:hAnsi="Times New Roman"/>
            <w:color w:val="auto"/>
            <w:sz w:val="20"/>
            <w:szCs w:val="20"/>
          </w:rPr>
          <w:t>.</w:t>
        </w:r>
        <w:r w:rsidRPr="006072C8">
          <w:rPr>
            <w:rStyle w:val="Hyperlink"/>
            <w:rFonts w:ascii="Times New Roman" w:hAnsi="Times New Roman"/>
            <w:color w:val="auto"/>
            <w:sz w:val="20"/>
            <w:szCs w:val="20"/>
            <w:lang w:val="en-US"/>
          </w:rPr>
          <w:t>swfinstitute</w:t>
        </w:r>
        <w:r w:rsidRPr="00502F52">
          <w:rPr>
            <w:rStyle w:val="Hyperlink"/>
            <w:rFonts w:ascii="Times New Roman" w:hAnsi="Times New Roman"/>
            <w:color w:val="auto"/>
            <w:sz w:val="20"/>
            <w:szCs w:val="20"/>
          </w:rPr>
          <w:t>.</w:t>
        </w:r>
        <w:r w:rsidRPr="006072C8">
          <w:rPr>
            <w:rStyle w:val="Hyperlink"/>
            <w:rFonts w:ascii="Times New Roman" w:hAnsi="Times New Roman"/>
            <w:color w:val="auto"/>
            <w:sz w:val="20"/>
            <w:szCs w:val="20"/>
            <w:lang w:val="en-US"/>
          </w:rPr>
          <w:t>org</w:t>
        </w:r>
        <w:r w:rsidRPr="00502F52">
          <w:rPr>
            <w:rStyle w:val="Hyperlink"/>
            <w:rFonts w:ascii="Times New Roman" w:hAnsi="Times New Roman"/>
            <w:color w:val="auto"/>
            <w:sz w:val="20"/>
            <w:szCs w:val="20"/>
          </w:rPr>
          <w:t>/</w:t>
        </w:r>
        <w:r w:rsidRPr="006072C8">
          <w:rPr>
            <w:rStyle w:val="Hyperlink"/>
            <w:rFonts w:ascii="Times New Roman" w:hAnsi="Times New Roman"/>
            <w:color w:val="auto"/>
            <w:sz w:val="20"/>
            <w:szCs w:val="20"/>
            <w:lang w:val="en-US"/>
          </w:rPr>
          <w:t>fund</w:t>
        </w:r>
        <w:r w:rsidRPr="00502F52">
          <w:rPr>
            <w:rStyle w:val="Hyperlink"/>
            <w:rFonts w:ascii="Times New Roman" w:hAnsi="Times New Roman"/>
            <w:color w:val="auto"/>
            <w:sz w:val="20"/>
            <w:szCs w:val="20"/>
          </w:rPr>
          <w:t>-</w:t>
        </w:r>
        <w:r w:rsidRPr="006072C8">
          <w:rPr>
            <w:rStyle w:val="Hyperlink"/>
            <w:rFonts w:ascii="Times New Roman" w:hAnsi="Times New Roman"/>
            <w:color w:val="auto"/>
            <w:sz w:val="20"/>
            <w:szCs w:val="20"/>
            <w:lang w:val="en-US"/>
          </w:rPr>
          <w:t>rankings</w:t>
        </w:r>
        <w:r w:rsidRPr="00502F52">
          <w:rPr>
            <w:rStyle w:val="Hyperlink"/>
            <w:rFonts w:ascii="Times New Roman" w:hAnsi="Times New Roman"/>
            <w:color w:val="auto"/>
            <w:sz w:val="20"/>
            <w:szCs w:val="20"/>
          </w:rPr>
          <w:t>/</w:t>
        </w:r>
      </w:hyperlink>
    </w:p>
  </w:footnote>
  <w:footnote w:id="3">
    <w:p w:rsidR="006B0CDE" w:rsidRDefault="006B0CDE" w:rsidP="006072C8">
      <w:pPr>
        <w:pStyle w:val="FootnoteText"/>
        <w:ind w:firstLine="709"/>
        <w:jc w:val="both"/>
      </w:pPr>
      <w:r w:rsidRPr="006072C8">
        <w:rPr>
          <w:rStyle w:val="FootnoteReference"/>
          <w:rFonts w:ascii="Times New Roman" w:hAnsi="Times New Roman"/>
        </w:rPr>
        <w:footnoteRef/>
      </w:r>
      <w:r w:rsidRPr="00502F52">
        <w:rPr>
          <w:rFonts w:ascii="Times New Roman" w:hAnsi="Times New Roman"/>
        </w:rPr>
        <w:t xml:space="preserve"> </w:t>
      </w:r>
      <w:hyperlink r:id="rId2" w:history="1">
        <w:r w:rsidRPr="006072C8">
          <w:rPr>
            <w:rStyle w:val="Hyperlink"/>
            <w:rFonts w:ascii="Times New Roman" w:hAnsi="Times New Roman"/>
            <w:color w:val="auto"/>
            <w:lang w:val="en-US"/>
          </w:rPr>
          <w:t>http</w:t>
        </w:r>
        <w:r w:rsidRPr="00502F52">
          <w:rPr>
            <w:rStyle w:val="Hyperlink"/>
            <w:rFonts w:ascii="Times New Roman" w:hAnsi="Times New Roman"/>
            <w:color w:val="auto"/>
          </w:rPr>
          <w:t>://</w:t>
        </w:r>
        <w:r w:rsidRPr="006072C8">
          <w:rPr>
            <w:rStyle w:val="Hyperlink"/>
            <w:rFonts w:ascii="Times New Roman" w:hAnsi="Times New Roman"/>
            <w:color w:val="auto"/>
            <w:lang w:val="en-US"/>
          </w:rPr>
          <w:t>www</w:t>
        </w:r>
        <w:r w:rsidRPr="00502F52">
          <w:rPr>
            <w:rStyle w:val="Hyperlink"/>
            <w:rFonts w:ascii="Times New Roman" w:hAnsi="Times New Roman"/>
            <w:color w:val="auto"/>
          </w:rPr>
          <w:t>.</w:t>
        </w:r>
        <w:r w:rsidRPr="006072C8">
          <w:rPr>
            <w:rStyle w:val="Hyperlink"/>
            <w:rFonts w:ascii="Times New Roman" w:hAnsi="Times New Roman"/>
            <w:color w:val="auto"/>
            <w:lang w:val="en-US"/>
          </w:rPr>
          <w:t>thecityuk</w:t>
        </w:r>
        <w:r w:rsidRPr="00502F52">
          <w:rPr>
            <w:rStyle w:val="Hyperlink"/>
            <w:rFonts w:ascii="Times New Roman" w:hAnsi="Times New Roman"/>
            <w:color w:val="auto"/>
          </w:rPr>
          <w:t>.</w:t>
        </w:r>
        <w:r w:rsidRPr="006072C8">
          <w:rPr>
            <w:rStyle w:val="Hyperlink"/>
            <w:rFonts w:ascii="Times New Roman" w:hAnsi="Times New Roman"/>
            <w:color w:val="auto"/>
            <w:lang w:val="en-US"/>
          </w:rPr>
          <w:t>com</w:t>
        </w:r>
        <w:r w:rsidRPr="00502F52">
          <w:rPr>
            <w:rStyle w:val="Hyperlink"/>
            <w:rFonts w:ascii="Times New Roman" w:hAnsi="Times New Roman"/>
            <w:color w:val="auto"/>
          </w:rPr>
          <w:t>/</w:t>
        </w:r>
        <w:r w:rsidRPr="006072C8">
          <w:rPr>
            <w:rStyle w:val="Hyperlink"/>
            <w:rFonts w:ascii="Times New Roman" w:hAnsi="Times New Roman"/>
            <w:color w:val="auto"/>
            <w:lang w:val="en-US"/>
          </w:rPr>
          <w:t>media</w:t>
        </w:r>
        <w:r w:rsidRPr="00502F52">
          <w:rPr>
            <w:rStyle w:val="Hyperlink"/>
            <w:rFonts w:ascii="Times New Roman" w:hAnsi="Times New Roman"/>
            <w:color w:val="auto"/>
          </w:rPr>
          <w:t>/</w:t>
        </w:r>
        <w:r w:rsidRPr="006072C8">
          <w:rPr>
            <w:rStyle w:val="Hyperlink"/>
            <w:rFonts w:ascii="Times New Roman" w:hAnsi="Times New Roman"/>
            <w:color w:val="auto"/>
            <w:lang w:val="en-US"/>
          </w:rPr>
          <w:t>latest</w:t>
        </w:r>
        <w:r w:rsidRPr="00502F52">
          <w:rPr>
            <w:rStyle w:val="Hyperlink"/>
            <w:rFonts w:ascii="Times New Roman" w:hAnsi="Times New Roman"/>
            <w:color w:val="auto"/>
          </w:rPr>
          <w:t>-</w:t>
        </w:r>
        <w:r w:rsidRPr="006072C8">
          <w:rPr>
            <w:rStyle w:val="Hyperlink"/>
            <w:rFonts w:ascii="Times New Roman" w:hAnsi="Times New Roman"/>
            <w:color w:val="auto"/>
            <w:lang w:val="en-US"/>
          </w:rPr>
          <w:t>news</w:t>
        </w:r>
        <w:r w:rsidRPr="00502F52">
          <w:rPr>
            <w:rStyle w:val="Hyperlink"/>
            <w:rFonts w:ascii="Times New Roman" w:hAnsi="Times New Roman"/>
            <w:color w:val="auto"/>
          </w:rPr>
          <w:t>-</w:t>
        </w:r>
        <w:r w:rsidRPr="006072C8">
          <w:rPr>
            <w:rStyle w:val="Hyperlink"/>
            <w:rFonts w:ascii="Times New Roman" w:hAnsi="Times New Roman"/>
            <w:color w:val="auto"/>
            <w:lang w:val="en-US"/>
          </w:rPr>
          <w:t>from</w:t>
        </w:r>
        <w:r w:rsidRPr="00502F52">
          <w:rPr>
            <w:rStyle w:val="Hyperlink"/>
            <w:rFonts w:ascii="Times New Roman" w:hAnsi="Times New Roman"/>
            <w:color w:val="auto"/>
          </w:rPr>
          <w:t>-</w:t>
        </w:r>
        <w:r w:rsidRPr="006072C8">
          <w:rPr>
            <w:rStyle w:val="Hyperlink"/>
            <w:rFonts w:ascii="Times New Roman" w:hAnsi="Times New Roman"/>
            <w:color w:val="auto"/>
            <w:lang w:val="en-US"/>
          </w:rPr>
          <w:t>thecityuk</w:t>
        </w:r>
        <w:r w:rsidRPr="00502F52">
          <w:rPr>
            <w:rStyle w:val="Hyperlink"/>
            <w:rFonts w:ascii="Times New Roman" w:hAnsi="Times New Roman"/>
            <w:color w:val="auto"/>
          </w:rPr>
          <w:t>/</w:t>
        </w:r>
        <w:r w:rsidRPr="006072C8">
          <w:rPr>
            <w:rStyle w:val="Hyperlink"/>
            <w:rFonts w:ascii="Times New Roman" w:hAnsi="Times New Roman"/>
            <w:color w:val="auto"/>
            <w:lang w:val="en-US"/>
          </w:rPr>
          <w:t>sovereign</w:t>
        </w:r>
        <w:r w:rsidRPr="00502F52">
          <w:rPr>
            <w:rStyle w:val="Hyperlink"/>
            <w:rFonts w:ascii="Times New Roman" w:hAnsi="Times New Roman"/>
            <w:color w:val="auto"/>
          </w:rPr>
          <w:t>-</w:t>
        </w:r>
        <w:r w:rsidRPr="006072C8">
          <w:rPr>
            <w:rStyle w:val="Hyperlink"/>
            <w:rFonts w:ascii="Times New Roman" w:hAnsi="Times New Roman"/>
            <w:color w:val="auto"/>
            <w:lang w:val="en-US"/>
          </w:rPr>
          <w:t>wealth</w:t>
        </w:r>
        <w:r w:rsidRPr="00502F52">
          <w:rPr>
            <w:rStyle w:val="Hyperlink"/>
            <w:rFonts w:ascii="Times New Roman" w:hAnsi="Times New Roman"/>
            <w:color w:val="auto"/>
          </w:rPr>
          <w:t>-</w:t>
        </w:r>
        <w:r w:rsidRPr="006072C8">
          <w:rPr>
            <w:rStyle w:val="Hyperlink"/>
            <w:rFonts w:ascii="Times New Roman" w:hAnsi="Times New Roman"/>
            <w:color w:val="auto"/>
            <w:lang w:val="en-US"/>
          </w:rPr>
          <w:t>funds</w:t>
        </w:r>
        <w:r w:rsidRPr="00502F52">
          <w:rPr>
            <w:rStyle w:val="Hyperlink"/>
            <w:rFonts w:ascii="Times New Roman" w:hAnsi="Times New Roman"/>
            <w:color w:val="auto"/>
          </w:rPr>
          <w:t>-</w:t>
        </w:r>
        <w:r w:rsidRPr="006072C8">
          <w:rPr>
            <w:rStyle w:val="Hyperlink"/>
            <w:rFonts w:ascii="Times New Roman" w:hAnsi="Times New Roman"/>
            <w:color w:val="auto"/>
            <w:lang w:val="en-US"/>
          </w:rPr>
          <w:t>target</w:t>
        </w:r>
        <w:r w:rsidRPr="00502F52">
          <w:rPr>
            <w:rStyle w:val="Hyperlink"/>
            <w:rFonts w:ascii="Times New Roman" w:hAnsi="Times New Roman"/>
            <w:color w:val="auto"/>
          </w:rPr>
          <w:t>-</w:t>
        </w:r>
        <w:r w:rsidRPr="006072C8">
          <w:rPr>
            <w:rStyle w:val="Hyperlink"/>
            <w:rFonts w:ascii="Times New Roman" w:hAnsi="Times New Roman"/>
            <w:color w:val="auto"/>
            <w:lang w:val="en-US"/>
          </w:rPr>
          <w:t>real</w:t>
        </w:r>
        <w:r w:rsidRPr="00502F52">
          <w:rPr>
            <w:rStyle w:val="Hyperlink"/>
            <w:rFonts w:ascii="Times New Roman" w:hAnsi="Times New Roman"/>
            <w:color w:val="auto"/>
          </w:rPr>
          <w:t>-</w:t>
        </w:r>
        <w:r w:rsidRPr="006072C8">
          <w:rPr>
            <w:rStyle w:val="Hyperlink"/>
            <w:rFonts w:ascii="Times New Roman" w:hAnsi="Times New Roman"/>
            <w:color w:val="auto"/>
            <w:lang w:val="en-US"/>
          </w:rPr>
          <w:t>estate</w:t>
        </w:r>
        <w:r w:rsidRPr="00502F52">
          <w:rPr>
            <w:rStyle w:val="Hyperlink"/>
            <w:rFonts w:ascii="Times New Roman" w:hAnsi="Times New Roman"/>
            <w:color w:val="auto"/>
          </w:rPr>
          <w:t>-</w:t>
        </w:r>
        <w:r w:rsidRPr="006072C8">
          <w:rPr>
            <w:rStyle w:val="Hyperlink"/>
            <w:rFonts w:ascii="Times New Roman" w:hAnsi="Times New Roman"/>
            <w:color w:val="auto"/>
            <w:lang w:val="en-US"/>
          </w:rPr>
          <w:t>as</w:t>
        </w:r>
        <w:r w:rsidRPr="00502F52">
          <w:rPr>
            <w:rStyle w:val="Hyperlink"/>
            <w:rFonts w:ascii="Times New Roman" w:hAnsi="Times New Roman"/>
            <w:color w:val="auto"/>
          </w:rPr>
          <w:t>-</w:t>
        </w:r>
        <w:r w:rsidRPr="006072C8">
          <w:rPr>
            <w:rStyle w:val="Hyperlink"/>
            <w:rFonts w:ascii="Times New Roman" w:hAnsi="Times New Roman"/>
            <w:color w:val="auto"/>
            <w:lang w:val="en-US"/>
          </w:rPr>
          <w:t>global</w:t>
        </w:r>
        <w:r w:rsidRPr="00502F52">
          <w:rPr>
            <w:rStyle w:val="Hyperlink"/>
            <w:rFonts w:ascii="Times New Roman" w:hAnsi="Times New Roman"/>
            <w:color w:val="auto"/>
          </w:rPr>
          <w:t>-</w:t>
        </w:r>
        <w:r w:rsidRPr="006072C8">
          <w:rPr>
            <w:rStyle w:val="Hyperlink"/>
            <w:rFonts w:ascii="Times New Roman" w:hAnsi="Times New Roman"/>
            <w:color w:val="auto"/>
            <w:lang w:val="en-US"/>
          </w:rPr>
          <w:t>assets</w:t>
        </w:r>
        <w:r w:rsidRPr="00502F52">
          <w:rPr>
            <w:rStyle w:val="Hyperlink"/>
            <w:rFonts w:ascii="Times New Roman" w:hAnsi="Times New Roman"/>
            <w:color w:val="auto"/>
          </w:rPr>
          <w:t>-</w:t>
        </w:r>
        <w:r w:rsidRPr="006072C8">
          <w:rPr>
            <w:rStyle w:val="Hyperlink"/>
            <w:rFonts w:ascii="Times New Roman" w:hAnsi="Times New Roman"/>
            <w:color w:val="auto"/>
            <w:lang w:val="en-US"/>
          </w:rPr>
          <w:t>hit</w:t>
        </w:r>
        <w:r w:rsidRPr="00502F52">
          <w:rPr>
            <w:rStyle w:val="Hyperlink"/>
            <w:rFonts w:ascii="Times New Roman" w:hAnsi="Times New Roman"/>
            <w:color w:val="auto"/>
          </w:rPr>
          <w:t>-</w:t>
        </w:r>
        <w:r w:rsidRPr="006072C8">
          <w:rPr>
            <w:rStyle w:val="Hyperlink"/>
            <w:rFonts w:ascii="Times New Roman" w:hAnsi="Times New Roman"/>
            <w:color w:val="auto"/>
            <w:lang w:val="en-US"/>
          </w:rPr>
          <w:t>record</w:t>
        </w:r>
        <w:r w:rsidRPr="00502F52">
          <w:rPr>
            <w:rStyle w:val="Hyperlink"/>
            <w:rFonts w:ascii="Times New Roman" w:hAnsi="Times New Roman"/>
            <w:color w:val="auto"/>
          </w:rPr>
          <w:t>-5-2-</w:t>
        </w:r>
        <w:r w:rsidRPr="006072C8">
          <w:rPr>
            <w:rStyle w:val="Hyperlink"/>
            <w:rFonts w:ascii="Times New Roman" w:hAnsi="Times New Roman"/>
            <w:color w:val="auto"/>
            <w:lang w:val="en-US"/>
          </w:rPr>
          <w:t>trillion</w:t>
        </w:r>
        <w:r w:rsidRPr="00502F52">
          <w:rPr>
            <w:rStyle w:val="Hyperlink"/>
            <w:rFonts w:ascii="Times New Roman" w:hAnsi="Times New Roman"/>
            <w:color w:val="auto"/>
          </w:rPr>
          <w:t>/</w:t>
        </w:r>
      </w:hyperlink>
    </w:p>
  </w:footnote>
  <w:footnote w:id="4">
    <w:p w:rsidR="006B0CDE" w:rsidRDefault="006B0CDE" w:rsidP="006072C8">
      <w:pPr>
        <w:pStyle w:val="FootnoteText"/>
        <w:ind w:firstLine="708"/>
        <w:jc w:val="both"/>
      </w:pPr>
      <w:r w:rsidRPr="006072C8">
        <w:rPr>
          <w:rStyle w:val="FootnoteReference"/>
          <w:rFonts w:ascii="Times New Roman" w:hAnsi="Times New Roman"/>
        </w:rPr>
        <w:footnoteRef/>
      </w:r>
      <w:r w:rsidRPr="006072C8">
        <w:rPr>
          <w:rFonts w:ascii="Times New Roman" w:hAnsi="Times New Roman"/>
          <w:lang w:val="en-US"/>
        </w:rPr>
        <w:t xml:space="preserve"> </w:t>
      </w:r>
      <w:r w:rsidRPr="006072C8">
        <w:rPr>
          <w:rFonts w:ascii="Times New Roman" w:eastAsia="PFCentroSerifPro-Regular" w:hAnsi="Times New Roman"/>
          <w:lang w:val="en-US"/>
        </w:rPr>
        <w:t>World Investment Report / UNCTAD. 2014</w:t>
      </w:r>
      <w:r>
        <w:rPr>
          <w:rFonts w:ascii="Times New Roman" w:eastAsia="PFCentroSerifPro-Regular" w:hAnsi="Times New Roman"/>
          <w:lang w:val="en-US"/>
        </w:rPr>
        <w:t>. - P</w:t>
      </w:r>
      <w:r w:rsidRPr="006072C8">
        <w:rPr>
          <w:rFonts w:ascii="Times New Roman" w:hAnsi="Times New Roman"/>
          <w:lang w:val="en-US"/>
        </w:rPr>
        <w:t>.</w:t>
      </w:r>
      <w:r>
        <w:rPr>
          <w:rFonts w:ascii="Times New Roman" w:hAnsi="Times New Roman"/>
          <w:lang w:val="en-US"/>
        </w:rPr>
        <w:t xml:space="preserve"> </w:t>
      </w:r>
      <w:r w:rsidRPr="006072C8">
        <w:rPr>
          <w:rFonts w:ascii="Times New Roman" w:hAnsi="Times New Roman"/>
          <w:lang w:val="en-US"/>
        </w:rPr>
        <w:t>55.</w:t>
      </w:r>
    </w:p>
  </w:footnote>
  <w:footnote w:id="5">
    <w:p w:rsidR="006B0CDE" w:rsidRDefault="006B0CDE" w:rsidP="006072C8">
      <w:pPr>
        <w:pStyle w:val="FootnoteText"/>
        <w:ind w:firstLine="708"/>
      </w:pPr>
      <w:r w:rsidRPr="006072C8">
        <w:rPr>
          <w:rStyle w:val="FootnoteReference"/>
          <w:rFonts w:ascii="Times New Roman" w:hAnsi="Times New Roman"/>
        </w:rPr>
        <w:footnoteRef/>
      </w:r>
      <w:r w:rsidRPr="00363B67">
        <w:rPr>
          <w:rFonts w:ascii="Times New Roman" w:hAnsi="Times New Roman"/>
        </w:rPr>
        <w:t xml:space="preserve"> </w:t>
      </w:r>
      <w:r w:rsidRPr="006072C8">
        <w:rPr>
          <w:rFonts w:ascii="Times New Roman" w:hAnsi="Times New Roman"/>
        </w:rPr>
        <w:t>Там же.</w:t>
      </w:r>
    </w:p>
  </w:footnote>
  <w:footnote w:id="6">
    <w:p w:rsidR="006B0CDE" w:rsidRDefault="006B0CDE" w:rsidP="003C67F8">
      <w:pPr>
        <w:pStyle w:val="FootnoteText"/>
        <w:ind w:firstLine="708"/>
      </w:pPr>
      <w:r w:rsidRPr="003C67F8">
        <w:rPr>
          <w:rStyle w:val="FootnoteReference"/>
          <w:rFonts w:ascii="Times New Roman" w:hAnsi="Times New Roman"/>
        </w:rPr>
        <w:footnoteRef/>
      </w:r>
      <w:r w:rsidRPr="003C67F8">
        <w:rPr>
          <w:rFonts w:ascii="Times New Roman" w:hAnsi="Times New Roman"/>
        </w:rPr>
        <w:t xml:space="preserve"> </w:t>
      </w:r>
      <w:hyperlink r:id="rId3" w:history="1">
        <w:r w:rsidRPr="003C67F8">
          <w:rPr>
            <w:rStyle w:val="Hyperlink"/>
            <w:rFonts w:ascii="Times New Roman" w:hAnsi="Times New Roman"/>
            <w:color w:val="auto"/>
            <w:u w:val="none"/>
            <w:shd w:val="clear" w:color="auto" w:fill="FFFFFF"/>
            <w:lang w:val="en-US"/>
          </w:rPr>
          <w:t>http</w:t>
        </w:r>
        <w:r w:rsidRPr="003C67F8">
          <w:rPr>
            <w:rStyle w:val="Hyperlink"/>
            <w:rFonts w:ascii="Times New Roman" w:hAnsi="Times New Roman"/>
            <w:color w:val="auto"/>
            <w:u w:val="none"/>
            <w:shd w:val="clear" w:color="auto" w:fill="FFFFFF"/>
          </w:rPr>
          <w:t>://</w:t>
        </w:r>
        <w:r w:rsidRPr="003C67F8">
          <w:rPr>
            <w:rStyle w:val="Hyperlink"/>
            <w:rFonts w:ascii="Times New Roman" w:hAnsi="Times New Roman"/>
            <w:color w:val="auto"/>
            <w:u w:val="none"/>
            <w:shd w:val="clear" w:color="auto" w:fill="FFFFFF"/>
            <w:lang w:val="en-US"/>
          </w:rPr>
          <w:t>www</w:t>
        </w:r>
        <w:r w:rsidRPr="003C67F8">
          <w:rPr>
            <w:rStyle w:val="Hyperlink"/>
            <w:rFonts w:ascii="Times New Roman" w:hAnsi="Times New Roman"/>
            <w:color w:val="auto"/>
            <w:u w:val="none"/>
            <w:shd w:val="clear" w:color="auto" w:fill="FFFFFF"/>
          </w:rPr>
          <w:t>.</w:t>
        </w:r>
        <w:r w:rsidRPr="003C67F8">
          <w:rPr>
            <w:rStyle w:val="Hyperlink"/>
            <w:rFonts w:ascii="Times New Roman" w:hAnsi="Times New Roman"/>
            <w:color w:val="auto"/>
            <w:u w:val="none"/>
            <w:shd w:val="clear" w:color="auto" w:fill="FFFFFF"/>
            <w:lang w:val="en-US"/>
          </w:rPr>
          <w:t>thecityuk</w:t>
        </w:r>
        <w:r w:rsidRPr="003C67F8">
          <w:rPr>
            <w:rStyle w:val="Hyperlink"/>
            <w:rFonts w:ascii="Times New Roman" w:hAnsi="Times New Roman"/>
            <w:color w:val="auto"/>
            <w:u w:val="none"/>
            <w:shd w:val="clear" w:color="auto" w:fill="FFFFFF"/>
          </w:rPr>
          <w:t>.</w:t>
        </w:r>
        <w:r w:rsidRPr="003C67F8">
          <w:rPr>
            <w:rStyle w:val="Hyperlink"/>
            <w:rFonts w:ascii="Times New Roman" w:hAnsi="Times New Roman"/>
            <w:color w:val="auto"/>
            <w:u w:val="none"/>
            <w:shd w:val="clear" w:color="auto" w:fill="FFFFFF"/>
            <w:lang w:val="en-US"/>
          </w:rPr>
          <w:t>com</w:t>
        </w:r>
        <w:r w:rsidRPr="003C67F8">
          <w:rPr>
            <w:rStyle w:val="Hyperlink"/>
            <w:rFonts w:ascii="Times New Roman" w:hAnsi="Times New Roman"/>
            <w:color w:val="auto"/>
            <w:u w:val="none"/>
            <w:shd w:val="clear" w:color="auto" w:fill="FFFFFF"/>
          </w:rPr>
          <w:t>/</w:t>
        </w:r>
        <w:r w:rsidRPr="003C67F8">
          <w:rPr>
            <w:rStyle w:val="Hyperlink"/>
            <w:rFonts w:ascii="Times New Roman" w:hAnsi="Times New Roman"/>
            <w:color w:val="auto"/>
            <w:u w:val="none"/>
            <w:shd w:val="clear" w:color="auto" w:fill="FFFFFF"/>
            <w:lang w:val="en-US"/>
          </w:rPr>
          <w:t>media</w:t>
        </w:r>
        <w:r w:rsidRPr="003C67F8">
          <w:rPr>
            <w:rStyle w:val="Hyperlink"/>
            <w:rFonts w:ascii="Times New Roman" w:hAnsi="Times New Roman"/>
            <w:color w:val="auto"/>
            <w:u w:val="none"/>
            <w:shd w:val="clear" w:color="auto" w:fill="FFFFFF"/>
          </w:rPr>
          <w:t>/</w:t>
        </w:r>
        <w:r w:rsidRPr="003C67F8">
          <w:rPr>
            <w:rStyle w:val="Hyperlink"/>
            <w:rFonts w:ascii="Times New Roman" w:hAnsi="Times New Roman"/>
            <w:color w:val="auto"/>
            <w:u w:val="none"/>
            <w:shd w:val="clear" w:color="auto" w:fill="FFFFFF"/>
            <w:lang w:val="en-US"/>
          </w:rPr>
          <w:t>latest</w:t>
        </w:r>
        <w:r w:rsidRPr="003C67F8">
          <w:rPr>
            <w:rStyle w:val="Hyperlink"/>
            <w:rFonts w:ascii="Times New Roman" w:hAnsi="Times New Roman"/>
            <w:color w:val="auto"/>
            <w:u w:val="none"/>
            <w:shd w:val="clear" w:color="auto" w:fill="FFFFFF"/>
          </w:rPr>
          <w:t>-</w:t>
        </w:r>
        <w:r w:rsidRPr="003C67F8">
          <w:rPr>
            <w:rStyle w:val="Hyperlink"/>
            <w:rFonts w:ascii="Times New Roman" w:hAnsi="Times New Roman"/>
            <w:color w:val="auto"/>
            <w:u w:val="none"/>
            <w:shd w:val="clear" w:color="auto" w:fill="FFFFFF"/>
            <w:lang w:val="en-US"/>
          </w:rPr>
          <w:t>news</w:t>
        </w:r>
        <w:r w:rsidRPr="003C67F8">
          <w:rPr>
            <w:rStyle w:val="Hyperlink"/>
            <w:rFonts w:ascii="Times New Roman" w:hAnsi="Times New Roman"/>
            <w:color w:val="auto"/>
            <w:u w:val="none"/>
            <w:shd w:val="clear" w:color="auto" w:fill="FFFFFF"/>
          </w:rPr>
          <w:t>-</w:t>
        </w:r>
        <w:r w:rsidRPr="003C67F8">
          <w:rPr>
            <w:rStyle w:val="Hyperlink"/>
            <w:rFonts w:ascii="Times New Roman" w:hAnsi="Times New Roman"/>
            <w:color w:val="auto"/>
            <w:u w:val="none"/>
            <w:shd w:val="clear" w:color="auto" w:fill="FFFFFF"/>
            <w:lang w:val="en-US"/>
          </w:rPr>
          <w:t>from</w:t>
        </w:r>
        <w:r w:rsidRPr="003C67F8">
          <w:rPr>
            <w:rStyle w:val="Hyperlink"/>
            <w:rFonts w:ascii="Times New Roman" w:hAnsi="Times New Roman"/>
            <w:color w:val="auto"/>
            <w:u w:val="none"/>
            <w:shd w:val="clear" w:color="auto" w:fill="FFFFFF"/>
          </w:rPr>
          <w:t>-</w:t>
        </w:r>
        <w:r w:rsidRPr="003C67F8">
          <w:rPr>
            <w:rStyle w:val="Hyperlink"/>
            <w:rFonts w:ascii="Times New Roman" w:hAnsi="Times New Roman"/>
            <w:color w:val="auto"/>
            <w:u w:val="none"/>
            <w:shd w:val="clear" w:color="auto" w:fill="FFFFFF"/>
            <w:lang w:val="en-US"/>
          </w:rPr>
          <w:t>thecityuk</w:t>
        </w:r>
        <w:r w:rsidRPr="003C67F8">
          <w:rPr>
            <w:rStyle w:val="Hyperlink"/>
            <w:rFonts w:ascii="Times New Roman" w:hAnsi="Times New Roman"/>
            <w:color w:val="auto"/>
            <w:u w:val="none"/>
            <w:shd w:val="clear" w:color="auto" w:fill="FFFFFF"/>
          </w:rPr>
          <w:t>/</w:t>
        </w:r>
        <w:r w:rsidRPr="003C67F8">
          <w:rPr>
            <w:rStyle w:val="Hyperlink"/>
            <w:rFonts w:ascii="Times New Roman" w:hAnsi="Times New Roman"/>
            <w:color w:val="auto"/>
            <w:u w:val="none"/>
            <w:shd w:val="clear" w:color="auto" w:fill="FFFFFF"/>
            <w:lang w:val="en-US"/>
          </w:rPr>
          <w:t>sovereign</w:t>
        </w:r>
        <w:r w:rsidRPr="003C67F8">
          <w:rPr>
            <w:rStyle w:val="Hyperlink"/>
            <w:rFonts w:ascii="Times New Roman" w:hAnsi="Times New Roman"/>
            <w:color w:val="auto"/>
            <w:u w:val="none"/>
            <w:shd w:val="clear" w:color="auto" w:fill="FFFFFF"/>
          </w:rPr>
          <w:t>-</w:t>
        </w:r>
        <w:r w:rsidRPr="003C67F8">
          <w:rPr>
            <w:rStyle w:val="Hyperlink"/>
            <w:rFonts w:ascii="Times New Roman" w:hAnsi="Times New Roman"/>
            <w:color w:val="auto"/>
            <w:u w:val="none"/>
            <w:shd w:val="clear" w:color="auto" w:fill="FFFFFF"/>
            <w:lang w:val="en-US"/>
          </w:rPr>
          <w:t>wealth</w:t>
        </w:r>
        <w:r w:rsidRPr="003C67F8">
          <w:rPr>
            <w:rStyle w:val="Hyperlink"/>
            <w:rFonts w:ascii="Times New Roman" w:hAnsi="Times New Roman"/>
            <w:color w:val="auto"/>
            <w:u w:val="none"/>
            <w:shd w:val="clear" w:color="auto" w:fill="FFFFFF"/>
          </w:rPr>
          <w:t>-</w:t>
        </w:r>
        <w:r w:rsidRPr="003C67F8">
          <w:rPr>
            <w:rStyle w:val="Hyperlink"/>
            <w:rFonts w:ascii="Times New Roman" w:hAnsi="Times New Roman"/>
            <w:color w:val="auto"/>
            <w:u w:val="none"/>
            <w:shd w:val="clear" w:color="auto" w:fill="FFFFFF"/>
            <w:lang w:val="en-US"/>
          </w:rPr>
          <w:t>funds</w:t>
        </w:r>
        <w:r w:rsidRPr="003C67F8">
          <w:rPr>
            <w:rStyle w:val="Hyperlink"/>
            <w:rFonts w:ascii="Times New Roman" w:hAnsi="Times New Roman"/>
            <w:color w:val="auto"/>
            <w:u w:val="none"/>
            <w:shd w:val="clear" w:color="auto" w:fill="FFFFFF"/>
          </w:rPr>
          <w:t>-</w:t>
        </w:r>
        <w:r w:rsidRPr="003C67F8">
          <w:rPr>
            <w:rStyle w:val="Hyperlink"/>
            <w:rFonts w:ascii="Times New Roman" w:hAnsi="Times New Roman"/>
            <w:color w:val="auto"/>
            <w:u w:val="none"/>
            <w:shd w:val="clear" w:color="auto" w:fill="FFFFFF"/>
            <w:lang w:val="en-US"/>
          </w:rPr>
          <w:t>target</w:t>
        </w:r>
        <w:r w:rsidRPr="003C67F8">
          <w:rPr>
            <w:rStyle w:val="Hyperlink"/>
            <w:rFonts w:ascii="Times New Roman" w:hAnsi="Times New Roman"/>
            <w:color w:val="auto"/>
            <w:u w:val="none"/>
            <w:shd w:val="clear" w:color="auto" w:fill="FFFFFF"/>
          </w:rPr>
          <w:t>-</w:t>
        </w:r>
        <w:r w:rsidRPr="003C67F8">
          <w:rPr>
            <w:rStyle w:val="Hyperlink"/>
            <w:rFonts w:ascii="Times New Roman" w:hAnsi="Times New Roman"/>
            <w:color w:val="auto"/>
            <w:u w:val="none"/>
            <w:shd w:val="clear" w:color="auto" w:fill="FFFFFF"/>
            <w:lang w:val="en-US"/>
          </w:rPr>
          <w:t>real</w:t>
        </w:r>
        <w:r w:rsidRPr="003C67F8">
          <w:rPr>
            <w:rStyle w:val="Hyperlink"/>
            <w:rFonts w:ascii="Times New Roman" w:hAnsi="Times New Roman"/>
            <w:color w:val="auto"/>
            <w:u w:val="none"/>
            <w:shd w:val="clear" w:color="auto" w:fill="FFFFFF"/>
          </w:rPr>
          <w:t>-</w:t>
        </w:r>
        <w:r w:rsidRPr="003C67F8">
          <w:rPr>
            <w:rStyle w:val="Hyperlink"/>
            <w:rFonts w:ascii="Times New Roman" w:hAnsi="Times New Roman"/>
            <w:color w:val="auto"/>
            <w:u w:val="none"/>
            <w:shd w:val="clear" w:color="auto" w:fill="FFFFFF"/>
            <w:lang w:val="en-US"/>
          </w:rPr>
          <w:t>estate</w:t>
        </w:r>
        <w:r w:rsidRPr="003C67F8">
          <w:rPr>
            <w:rStyle w:val="Hyperlink"/>
            <w:rFonts w:ascii="Times New Roman" w:hAnsi="Times New Roman"/>
            <w:color w:val="auto"/>
            <w:u w:val="none"/>
            <w:shd w:val="clear" w:color="auto" w:fill="FFFFFF"/>
          </w:rPr>
          <w:t>-</w:t>
        </w:r>
        <w:r w:rsidRPr="003C67F8">
          <w:rPr>
            <w:rStyle w:val="Hyperlink"/>
            <w:rFonts w:ascii="Times New Roman" w:hAnsi="Times New Roman"/>
            <w:color w:val="auto"/>
            <w:u w:val="none"/>
            <w:shd w:val="clear" w:color="auto" w:fill="FFFFFF"/>
            <w:lang w:val="en-US"/>
          </w:rPr>
          <w:t>as</w:t>
        </w:r>
        <w:r w:rsidRPr="003C67F8">
          <w:rPr>
            <w:rStyle w:val="Hyperlink"/>
            <w:rFonts w:ascii="Times New Roman" w:hAnsi="Times New Roman"/>
            <w:color w:val="auto"/>
            <w:u w:val="none"/>
            <w:shd w:val="clear" w:color="auto" w:fill="FFFFFF"/>
          </w:rPr>
          <w:t>-</w:t>
        </w:r>
        <w:r w:rsidRPr="003C67F8">
          <w:rPr>
            <w:rStyle w:val="Hyperlink"/>
            <w:rFonts w:ascii="Times New Roman" w:hAnsi="Times New Roman"/>
            <w:color w:val="auto"/>
            <w:u w:val="none"/>
            <w:shd w:val="clear" w:color="auto" w:fill="FFFFFF"/>
            <w:lang w:val="en-US"/>
          </w:rPr>
          <w:t>global</w:t>
        </w:r>
        <w:r w:rsidRPr="003C67F8">
          <w:rPr>
            <w:rStyle w:val="Hyperlink"/>
            <w:rFonts w:ascii="Times New Roman" w:hAnsi="Times New Roman"/>
            <w:color w:val="auto"/>
            <w:u w:val="none"/>
            <w:shd w:val="clear" w:color="auto" w:fill="FFFFFF"/>
          </w:rPr>
          <w:t>-</w:t>
        </w:r>
        <w:r w:rsidRPr="003C67F8">
          <w:rPr>
            <w:rStyle w:val="Hyperlink"/>
            <w:rFonts w:ascii="Times New Roman" w:hAnsi="Times New Roman"/>
            <w:color w:val="auto"/>
            <w:u w:val="none"/>
            <w:shd w:val="clear" w:color="auto" w:fill="FFFFFF"/>
            <w:lang w:val="en-US"/>
          </w:rPr>
          <w:t>assets</w:t>
        </w:r>
        <w:r w:rsidRPr="003C67F8">
          <w:rPr>
            <w:rStyle w:val="Hyperlink"/>
            <w:rFonts w:ascii="Times New Roman" w:hAnsi="Times New Roman"/>
            <w:color w:val="auto"/>
            <w:u w:val="none"/>
            <w:shd w:val="clear" w:color="auto" w:fill="FFFFFF"/>
          </w:rPr>
          <w:t>-</w:t>
        </w:r>
        <w:r w:rsidRPr="003C67F8">
          <w:rPr>
            <w:rStyle w:val="Hyperlink"/>
            <w:rFonts w:ascii="Times New Roman" w:hAnsi="Times New Roman"/>
            <w:color w:val="auto"/>
            <w:u w:val="none"/>
            <w:shd w:val="clear" w:color="auto" w:fill="FFFFFF"/>
            <w:lang w:val="en-US"/>
          </w:rPr>
          <w:t>hit</w:t>
        </w:r>
        <w:r w:rsidRPr="003C67F8">
          <w:rPr>
            <w:rStyle w:val="Hyperlink"/>
            <w:rFonts w:ascii="Times New Roman" w:hAnsi="Times New Roman"/>
            <w:color w:val="auto"/>
            <w:u w:val="none"/>
            <w:shd w:val="clear" w:color="auto" w:fill="FFFFFF"/>
          </w:rPr>
          <w:t>-</w:t>
        </w:r>
        <w:r w:rsidRPr="003C67F8">
          <w:rPr>
            <w:rStyle w:val="Hyperlink"/>
            <w:rFonts w:ascii="Times New Roman" w:hAnsi="Times New Roman"/>
            <w:color w:val="auto"/>
            <w:u w:val="none"/>
            <w:shd w:val="clear" w:color="auto" w:fill="FFFFFF"/>
            <w:lang w:val="en-US"/>
          </w:rPr>
          <w:t>record</w:t>
        </w:r>
        <w:r w:rsidRPr="003C67F8">
          <w:rPr>
            <w:rStyle w:val="Hyperlink"/>
            <w:rFonts w:ascii="Times New Roman" w:hAnsi="Times New Roman"/>
            <w:color w:val="auto"/>
            <w:u w:val="none"/>
            <w:shd w:val="clear" w:color="auto" w:fill="FFFFFF"/>
          </w:rPr>
          <w:t>-5-2-</w:t>
        </w:r>
        <w:r w:rsidRPr="003C67F8">
          <w:rPr>
            <w:rStyle w:val="Hyperlink"/>
            <w:rFonts w:ascii="Times New Roman" w:hAnsi="Times New Roman"/>
            <w:color w:val="auto"/>
            <w:u w:val="none"/>
            <w:shd w:val="clear" w:color="auto" w:fill="FFFFFF"/>
            <w:lang w:val="en-US"/>
          </w:rPr>
          <w:t>trillion</w:t>
        </w:r>
      </w:hyperlink>
    </w:p>
  </w:footnote>
  <w:footnote w:id="7">
    <w:p w:rsidR="006B0CDE" w:rsidRDefault="006B0CDE" w:rsidP="00BB6EEA">
      <w:pPr>
        <w:pStyle w:val="FootnoteText"/>
        <w:ind w:firstLine="708"/>
      </w:pPr>
      <w:r>
        <w:rPr>
          <w:rStyle w:val="FootnoteReference"/>
        </w:rPr>
        <w:footnoteRef/>
      </w:r>
      <w:r>
        <w:t xml:space="preserve"> </w:t>
      </w:r>
      <w:r w:rsidRPr="00BB6EEA">
        <w:rPr>
          <w:rFonts w:ascii="Times New Roman" w:hAnsi="Times New Roman"/>
        </w:rPr>
        <w:t xml:space="preserve">Ярыгина И.З. Региональные финансовые институты: перспективы развития </w:t>
      </w:r>
      <w:r>
        <w:rPr>
          <w:rFonts w:ascii="Times New Roman" w:hAnsi="Times New Roman"/>
        </w:rPr>
        <w:t xml:space="preserve">// </w:t>
      </w:r>
      <w:r w:rsidRPr="00BB6EEA">
        <w:rPr>
          <w:rFonts w:ascii="Times New Roman" w:hAnsi="Times New Roman"/>
        </w:rPr>
        <w:t>Бизнес и Банки.</w:t>
      </w:r>
      <w:r>
        <w:rPr>
          <w:rFonts w:ascii="Times New Roman" w:hAnsi="Times New Roman"/>
        </w:rPr>
        <w:t xml:space="preserve"> – М., </w:t>
      </w:r>
      <w:r w:rsidRPr="00BB6EEA">
        <w:rPr>
          <w:rFonts w:ascii="Times New Roman" w:hAnsi="Times New Roman"/>
        </w:rPr>
        <w:t>2004</w:t>
      </w:r>
      <w:r>
        <w:rPr>
          <w:rFonts w:ascii="Times New Roman" w:hAnsi="Times New Roman"/>
        </w:rPr>
        <w:t>.</w:t>
      </w:r>
    </w:p>
  </w:footnote>
  <w:footnote w:id="8">
    <w:p w:rsidR="006B0CDE" w:rsidRDefault="006B0CDE" w:rsidP="00363B67">
      <w:pPr>
        <w:pStyle w:val="FootnoteText"/>
        <w:ind w:firstLine="708"/>
        <w:jc w:val="both"/>
      </w:pPr>
      <w:r w:rsidRPr="00363B67">
        <w:rPr>
          <w:rStyle w:val="FootnoteReference"/>
          <w:rFonts w:ascii="Times New Roman" w:hAnsi="Times New Roman"/>
        </w:rPr>
        <w:footnoteRef/>
      </w:r>
      <w:r w:rsidRPr="00363B67">
        <w:rPr>
          <w:rFonts w:ascii="Times New Roman" w:hAnsi="Times New Roman"/>
        </w:rPr>
        <w:t xml:space="preserve"> Ярыгина И.З. Банковские системы и банки в условиях глобализации</w:t>
      </w:r>
      <w:r>
        <w:rPr>
          <w:rFonts w:ascii="Times New Roman" w:hAnsi="Times New Roman"/>
        </w:rPr>
        <w:t>. – М.:</w:t>
      </w:r>
      <w:r w:rsidRPr="00363B67">
        <w:rPr>
          <w:rFonts w:ascii="Times New Roman" w:hAnsi="Times New Roman"/>
        </w:rPr>
        <w:t xml:space="preserve"> Финуниверситет, 2011. </w:t>
      </w:r>
      <w:r>
        <w:rPr>
          <w:rFonts w:ascii="Times New Roman" w:hAnsi="Times New Roman"/>
        </w:rPr>
        <w:t xml:space="preserve">- </w:t>
      </w:r>
      <w:r w:rsidRPr="00363B67">
        <w:rPr>
          <w:rFonts w:ascii="Times New Roman" w:hAnsi="Times New Roman"/>
        </w:rPr>
        <w:t>349 с.</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113B3"/>
    <w:multiLevelType w:val="hybridMultilevel"/>
    <w:tmpl w:val="E3D059F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4EF76B6"/>
    <w:multiLevelType w:val="hybridMultilevel"/>
    <w:tmpl w:val="BA78361C"/>
    <w:lvl w:ilvl="0" w:tplc="4D7E455E">
      <w:start w:val="2"/>
      <w:numFmt w:val="decimal"/>
      <w:lvlText w:val="%1."/>
      <w:lvlJc w:val="left"/>
      <w:pPr>
        <w:tabs>
          <w:tab w:val="num" w:pos="720"/>
        </w:tabs>
        <w:ind w:left="720" w:hanging="360"/>
      </w:pPr>
      <w:rPr>
        <w:rFonts w:cs="Times New Roman"/>
        <w:b w:val="0"/>
      </w:rPr>
    </w:lvl>
    <w:lvl w:ilvl="1" w:tplc="04190019">
      <w:start w:val="1"/>
      <w:numFmt w:val="lowerLetter"/>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116157B0"/>
    <w:multiLevelType w:val="hybridMultilevel"/>
    <w:tmpl w:val="30767A32"/>
    <w:lvl w:ilvl="0" w:tplc="6C383234">
      <w:start w:val="1"/>
      <w:numFmt w:val="decimal"/>
      <w:lvlText w:val="%1."/>
      <w:lvlJc w:val="left"/>
      <w:pPr>
        <w:ind w:left="502"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4874597"/>
    <w:multiLevelType w:val="hybridMultilevel"/>
    <w:tmpl w:val="C55847A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1EFB2CEE"/>
    <w:multiLevelType w:val="hybridMultilevel"/>
    <w:tmpl w:val="FB7C91B2"/>
    <w:lvl w:ilvl="0" w:tplc="04190001">
      <w:start w:val="1"/>
      <w:numFmt w:val="bullet"/>
      <w:lvlText w:val=""/>
      <w:lvlJc w:val="left"/>
      <w:pPr>
        <w:tabs>
          <w:tab w:val="num" w:pos="795"/>
        </w:tabs>
        <w:ind w:left="795"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nsid w:val="24C96645"/>
    <w:multiLevelType w:val="hybridMultilevel"/>
    <w:tmpl w:val="C12E754C"/>
    <w:lvl w:ilvl="0" w:tplc="6C383234">
      <w:start w:val="1"/>
      <w:numFmt w:val="decimal"/>
      <w:lvlText w:val="%1."/>
      <w:lvlJc w:val="left"/>
      <w:pPr>
        <w:ind w:left="502"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32F10830"/>
    <w:multiLevelType w:val="multilevel"/>
    <w:tmpl w:val="B88ECC44"/>
    <w:lvl w:ilvl="0">
      <w:start w:val="1"/>
      <w:numFmt w:val="bullet"/>
      <w:lvlText w:val="-"/>
      <w:lvlJc w:val="left"/>
      <w:pPr>
        <w:tabs>
          <w:tab w:val="num" w:pos="709"/>
        </w:tabs>
        <w:ind w:left="709"/>
      </w:pPr>
      <w:rPr>
        <w:rFonts w:ascii="Times New Roman" w:hAnsi="Times New Roman" w:hint="default"/>
      </w:rPr>
    </w:lvl>
    <w:lvl w:ilvl="1">
      <w:start w:val="1"/>
      <w:numFmt w:val="bullet"/>
      <w:lvlText w:val="o"/>
      <w:lvlJc w:val="left"/>
      <w:pPr>
        <w:tabs>
          <w:tab w:val="num" w:pos="2149"/>
        </w:tabs>
        <w:ind w:left="2149" w:hanging="360"/>
      </w:pPr>
      <w:rPr>
        <w:rFonts w:ascii="Courier New" w:hAnsi="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7">
    <w:nsid w:val="3A657DC4"/>
    <w:multiLevelType w:val="hybridMultilevel"/>
    <w:tmpl w:val="1E3430E4"/>
    <w:lvl w:ilvl="0" w:tplc="13449D54">
      <w:start w:val="1"/>
      <w:numFmt w:val="bullet"/>
      <w:lvlText w:val="–"/>
      <w:lvlJc w:val="left"/>
      <w:pPr>
        <w:tabs>
          <w:tab w:val="num" w:pos="1503"/>
        </w:tabs>
        <w:ind w:left="709" w:firstLine="709"/>
      </w:pPr>
      <w:rPr>
        <w:rFonts w:ascii="Times New Roman" w:hAnsi="Times New Roman"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nsid w:val="427843A2"/>
    <w:multiLevelType w:val="hybridMultilevel"/>
    <w:tmpl w:val="B54A4B9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
    <w:nsid w:val="4CE52495"/>
    <w:multiLevelType w:val="hybridMultilevel"/>
    <w:tmpl w:val="BBBE1172"/>
    <w:lvl w:ilvl="0" w:tplc="11C4123A">
      <w:start w:val="20"/>
      <w:numFmt w:val="decimal"/>
      <w:lvlText w:val="%1"/>
      <w:lvlJc w:val="left"/>
      <w:pPr>
        <w:ind w:left="502" w:hanging="360"/>
      </w:pPr>
      <w:rPr>
        <w:rFonts w:cs="Times New Roman" w:hint="default"/>
        <w:b w:val="0"/>
        <w:sz w:val="22"/>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10">
    <w:nsid w:val="55210FB5"/>
    <w:multiLevelType w:val="hybridMultilevel"/>
    <w:tmpl w:val="AB7C50BE"/>
    <w:lvl w:ilvl="0" w:tplc="C1B82EF4">
      <w:start w:val="1"/>
      <w:numFmt w:val="bullet"/>
      <w:lvlText w:val="−"/>
      <w:lvlJc w:val="left"/>
      <w:pPr>
        <w:tabs>
          <w:tab w:val="num" w:pos="1391"/>
        </w:tabs>
        <w:ind w:left="540" w:firstLine="567"/>
      </w:pPr>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nsid w:val="629653FF"/>
    <w:multiLevelType w:val="hybridMultilevel"/>
    <w:tmpl w:val="D30C14FE"/>
    <w:lvl w:ilvl="0" w:tplc="07500A42">
      <w:start w:val="1"/>
      <w:numFmt w:val="decimal"/>
      <w:lvlText w:val="%1."/>
      <w:lvlJc w:val="left"/>
      <w:pPr>
        <w:ind w:left="550" w:hanging="360"/>
      </w:pPr>
      <w:rPr>
        <w:rFonts w:cs="Times New Roman" w:hint="default"/>
      </w:rPr>
    </w:lvl>
    <w:lvl w:ilvl="1" w:tplc="04190019" w:tentative="1">
      <w:start w:val="1"/>
      <w:numFmt w:val="lowerLetter"/>
      <w:lvlText w:val="%2."/>
      <w:lvlJc w:val="left"/>
      <w:pPr>
        <w:ind w:left="1270" w:hanging="360"/>
      </w:pPr>
      <w:rPr>
        <w:rFonts w:cs="Times New Roman"/>
      </w:rPr>
    </w:lvl>
    <w:lvl w:ilvl="2" w:tplc="0419001B" w:tentative="1">
      <w:start w:val="1"/>
      <w:numFmt w:val="lowerRoman"/>
      <w:lvlText w:val="%3."/>
      <w:lvlJc w:val="right"/>
      <w:pPr>
        <w:ind w:left="1990" w:hanging="180"/>
      </w:pPr>
      <w:rPr>
        <w:rFonts w:cs="Times New Roman"/>
      </w:rPr>
    </w:lvl>
    <w:lvl w:ilvl="3" w:tplc="0419000F" w:tentative="1">
      <w:start w:val="1"/>
      <w:numFmt w:val="decimal"/>
      <w:lvlText w:val="%4."/>
      <w:lvlJc w:val="left"/>
      <w:pPr>
        <w:ind w:left="2710" w:hanging="360"/>
      </w:pPr>
      <w:rPr>
        <w:rFonts w:cs="Times New Roman"/>
      </w:rPr>
    </w:lvl>
    <w:lvl w:ilvl="4" w:tplc="04190019" w:tentative="1">
      <w:start w:val="1"/>
      <w:numFmt w:val="lowerLetter"/>
      <w:lvlText w:val="%5."/>
      <w:lvlJc w:val="left"/>
      <w:pPr>
        <w:ind w:left="3430" w:hanging="360"/>
      </w:pPr>
      <w:rPr>
        <w:rFonts w:cs="Times New Roman"/>
      </w:rPr>
    </w:lvl>
    <w:lvl w:ilvl="5" w:tplc="0419001B" w:tentative="1">
      <w:start w:val="1"/>
      <w:numFmt w:val="lowerRoman"/>
      <w:lvlText w:val="%6."/>
      <w:lvlJc w:val="right"/>
      <w:pPr>
        <w:ind w:left="4150" w:hanging="180"/>
      </w:pPr>
      <w:rPr>
        <w:rFonts w:cs="Times New Roman"/>
      </w:rPr>
    </w:lvl>
    <w:lvl w:ilvl="6" w:tplc="0419000F" w:tentative="1">
      <w:start w:val="1"/>
      <w:numFmt w:val="decimal"/>
      <w:lvlText w:val="%7."/>
      <w:lvlJc w:val="left"/>
      <w:pPr>
        <w:ind w:left="4870" w:hanging="360"/>
      </w:pPr>
      <w:rPr>
        <w:rFonts w:cs="Times New Roman"/>
      </w:rPr>
    </w:lvl>
    <w:lvl w:ilvl="7" w:tplc="04190019" w:tentative="1">
      <w:start w:val="1"/>
      <w:numFmt w:val="lowerLetter"/>
      <w:lvlText w:val="%8."/>
      <w:lvlJc w:val="left"/>
      <w:pPr>
        <w:ind w:left="5590" w:hanging="360"/>
      </w:pPr>
      <w:rPr>
        <w:rFonts w:cs="Times New Roman"/>
      </w:rPr>
    </w:lvl>
    <w:lvl w:ilvl="8" w:tplc="0419001B" w:tentative="1">
      <w:start w:val="1"/>
      <w:numFmt w:val="lowerRoman"/>
      <w:lvlText w:val="%9."/>
      <w:lvlJc w:val="right"/>
      <w:pPr>
        <w:ind w:left="6310" w:hanging="180"/>
      </w:pPr>
      <w:rPr>
        <w:rFonts w:cs="Times New Roman"/>
      </w:rPr>
    </w:lvl>
  </w:abstractNum>
  <w:abstractNum w:abstractNumId="12">
    <w:nsid w:val="71807BF6"/>
    <w:multiLevelType w:val="hybridMultilevel"/>
    <w:tmpl w:val="E4482C0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7"/>
  </w:num>
  <w:num w:numId="2">
    <w:abstractNumId w:val="0"/>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12"/>
  </w:num>
  <w:num w:numId="11">
    <w:abstractNumId w:val="2"/>
  </w:num>
  <w:num w:numId="12">
    <w:abstractNumId w:val="5"/>
  </w:num>
  <w:num w:numId="13">
    <w:abstractNumId w:val="9"/>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drawingGridHorizontalSpacing w:val="110"/>
  <w:displayHorizontalDrawingGridEvery w:val="2"/>
  <w:displayVerticalDrawingGridEvery w:val="2"/>
  <w:characterSpacingControl w:val="doNotCompress"/>
  <w:footnotePr>
    <w:numRestart w:val="eachPage"/>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407CF"/>
    <w:rsid w:val="00003551"/>
    <w:rsid w:val="000157BD"/>
    <w:rsid w:val="0002357B"/>
    <w:rsid w:val="000254F1"/>
    <w:rsid w:val="000327CB"/>
    <w:rsid w:val="00033117"/>
    <w:rsid w:val="00061936"/>
    <w:rsid w:val="00063007"/>
    <w:rsid w:val="000677D8"/>
    <w:rsid w:val="00092E95"/>
    <w:rsid w:val="000A2E67"/>
    <w:rsid w:val="000B3A9B"/>
    <w:rsid w:val="000B760E"/>
    <w:rsid w:val="000D0630"/>
    <w:rsid w:val="000F1917"/>
    <w:rsid w:val="00116F01"/>
    <w:rsid w:val="00120693"/>
    <w:rsid w:val="0014013C"/>
    <w:rsid w:val="00150FA8"/>
    <w:rsid w:val="00173B30"/>
    <w:rsid w:val="00184414"/>
    <w:rsid w:val="001977E5"/>
    <w:rsid w:val="001A231D"/>
    <w:rsid w:val="001C1E4D"/>
    <w:rsid w:val="001D1124"/>
    <w:rsid w:val="001D7399"/>
    <w:rsid w:val="001E653B"/>
    <w:rsid w:val="001F3EE1"/>
    <w:rsid w:val="001F7EBA"/>
    <w:rsid w:val="0020785B"/>
    <w:rsid w:val="00226F29"/>
    <w:rsid w:val="00232C44"/>
    <w:rsid w:val="0025461E"/>
    <w:rsid w:val="002854E7"/>
    <w:rsid w:val="002A6F69"/>
    <w:rsid w:val="002C04C2"/>
    <w:rsid w:val="002C4384"/>
    <w:rsid w:val="002D2B57"/>
    <w:rsid w:val="002E2DB2"/>
    <w:rsid w:val="003040DD"/>
    <w:rsid w:val="00304873"/>
    <w:rsid w:val="00307501"/>
    <w:rsid w:val="00330292"/>
    <w:rsid w:val="003316A4"/>
    <w:rsid w:val="003346FB"/>
    <w:rsid w:val="00340372"/>
    <w:rsid w:val="003407CF"/>
    <w:rsid w:val="00344EC1"/>
    <w:rsid w:val="00345619"/>
    <w:rsid w:val="00346052"/>
    <w:rsid w:val="00356EC0"/>
    <w:rsid w:val="003637E7"/>
    <w:rsid w:val="00363B67"/>
    <w:rsid w:val="00367742"/>
    <w:rsid w:val="003707E3"/>
    <w:rsid w:val="00371309"/>
    <w:rsid w:val="003729C6"/>
    <w:rsid w:val="0038651B"/>
    <w:rsid w:val="00395248"/>
    <w:rsid w:val="003A6C5E"/>
    <w:rsid w:val="003B2C19"/>
    <w:rsid w:val="003B39F9"/>
    <w:rsid w:val="003C67F8"/>
    <w:rsid w:val="003D0561"/>
    <w:rsid w:val="003D458D"/>
    <w:rsid w:val="003F3AE4"/>
    <w:rsid w:val="0040365F"/>
    <w:rsid w:val="00425CE9"/>
    <w:rsid w:val="00426F22"/>
    <w:rsid w:val="004306D1"/>
    <w:rsid w:val="004358AE"/>
    <w:rsid w:val="00440A27"/>
    <w:rsid w:val="00441C7A"/>
    <w:rsid w:val="0044438B"/>
    <w:rsid w:val="00444A35"/>
    <w:rsid w:val="00463CE7"/>
    <w:rsid w:val="00480216"/>
    <w:rsid w:val="004862AB"/>
    <w:rsid w:val="0049751C"/>
    <w:rsid w:val="004B1DDB"/>
    <w:rsid w:val="004B56D0"/>
    <w:rsid w:val="004E43E7"/>
    <w:rsid w:val="004E68CA"/>
    <w:rsid w:val="004F7BC3"/>
    <w:rsid w:val="00502F52"/>
    <w:rsid w:val="005031F6"/>
    <w:rsid w:val="00504B54"/>
    <w:rsid w:val="00530C35"/>
    <w:rsid w:val="00534564"/>
    <w:rsid w:val="0054053D"/>
    <w:rsid w:val="00544CA5"/>
    <w:rsid w:val="00570F95"/>
    <w:rsid w:val="005710D3"/>
    <w:rsid w:val="00571396"/>
    <w:rsid w:val="00573D09"/>
    <w:rsid w:val="005758CB"/>
    <w:rsid w:val="00582AD4"/>
    <w:rsid w:val="00582C04"/>
    <w:rsid w:val="005835C7"/>
    <w:rsid w:val="0058373E"/>
    <w:rsid w:val="005A44E0"/>
    <w:rsid w:val="005D2BE0"/>
    <w:rsid w:val="005E58FB"/>
    <w:rsid w:val="006072C8"/>
    <w:rsid w:val="00621BD4"/>
    <w:rsid w:val="00627CA9"/>
    <w:rsid w:val="00637648"/>
    <w:rsid w:val="00643A99"/>
    <w:rsid w:val="00673C64"/>
    <w:rsid w:val="00692AE6"/>
    <w:rsid w:val="00695DAA"/>
    <w:rsid w:val="006B00A3"/>
    <w:rsid w:val="006B0CDE"/>
    <w:rsid w:val="006B64FD"/>
    <w:rsid w:val="006C06F3"/>
    <w:rsid w:val="00703DFE"/>
    <w:rsid w:val="00721C35"/>
    <w:rsid w:val="007338C6"/>
    <w:rsid w:val="00740BB0"/>
    <w:rsid w:val="0076225B"/>
    <w:rsid w:val="0077032F"/>
    <w:rsid w:val="00783A2D"/>
    <w:rsid w:val="00791EEC"/>
    <w:rsid w:val="007968D3"/>
    <w:rsid w:val="007A7429"/>
    <w:rsid w:val="007D0F9D"/>
    <w:rsid w:val="007D5D79"/>
    <w:rsid w:val="008046F1"/>
    <w:rsid w:val="00816BA7"/>
    <w:rsid w:val="00820823"/>
    <w:rsid w:val="00823EB3"/>
    <w:rsid w:val="00830651"/>
    <w:rsid w:val="008312FD"/>
    <w:rsid w:val="00834998"/>
    <w:rsid w:val="0083525E"/>
    <w:rsid w:val="00850939"/>
    <w:rsid w:val="00852B85"/>
    <w:rsid w:val="0085503A"/>
    <w:rsid w:val="00860568"/>
    <w:rsid w:val="00861A15"/>
    <w:rsid w:val="00863AB8"/>
    <w:rsid w:val="00864E4C"/>
    <w:rsid w:val="008655BE"/>
    <w:rsid w:val="008908E3"/>
    <w:rsid w:val="008977A8"/>
    <w:rsid w:val="008B28FD"/>
    <w:rsid w:val="008B782F"/>
    <w:rsid w:val="008D56BF"/>
    <w:rsid w:val="008E4C50"/>
    <w:rsid w:val="008E6758"/>
    <w:rsid w:val="008F184D"/>
    <w:rsid w:val="0090025C"/>
    <w:rsid w:val="009367E1"/>
    <w:rsid w:val="00967AE3"/>
    <w:rsid w:val="00981CF8"/>
    <w:rsid w:val="009867B7"/>
    <w:rsid w:val="009925DB"/>
    <w:rsid w:val="009972BC"/>
    <w:rsid w:val="009D0A86"/>
    <w:rsid w:val="00A0076A"/>
    <w:rsid w:val="00A14D18"/>
    <w:rsid w:val="00A352AC"/>
    <w:rsid w:val="00A43F3D"/>
    <w:rsid w:val="00A46E9C"/>
    <w:rsid w:val="00A50A03"/>
    <w:rsid w:val="00A700AF"/>
    <w:rsid w:val="00A918F3"/>
    <w:rsid w:val="00AA079B"/>
    <w:rsid w:val="00AB6D0F"/>
    <w:rsid w:val="00AF54BB"/>
    <w:rsid w:val="00AF75C9"/>
    <w:rsid w:val="00AF7671"/>
    <w:rsid w:val="00B0714C"/>
    <w:rsid w:val="00B265FE"/>
    <w:rsid w:val="00B27839"/>
    <w:rsid w:val="00B43A34"/>
    <w:rsid w:val="00B44989"/>
    <w:rsid w:val="00B4542A"/>
    <w:rsid w:val="00B62A3A"/>
    <w:rsid w:val="00B71767"/>
    <w:rsid w:val="00B806B2"/>
    <w:rsid w:val="00B83329"/>
    <w:rsid w:val="00B90701"/>
    <w:rsid w:val="00B92560"/>
    <w:rsid w:val="00B94BE2"/>
    <w:rsid w:val="00BA0E7D"/>
    <w:rsid w:val="00BA2E97"/>
    <w:rsid w:val="00BB6EEA"/>
    <w:rsid w:val="00BC28B6"/>
    <w:rsid w:val="00BE0EB9"/>
    <w:rsid w:val="00BF282D"/>
    <w:rsid w:val="00C0375D"/>
    <w:rsid w:val="00C03D7B"/>
    <w:rsid w:val="00C15E55"/>
    <w:rsid w:val="00C20B54"/>
    <w:rsid w:val="00C427B5"/>
    <w:rsid w:val="00C44103"/>
    <w:rsid w:val="00C46E1C"/>
    <w:rsid w:val="00CA20B5"/>
    <w:rsid w:val="00CB4BEA"/>
    <w:rsid w:val="00CB5D91"/>
    <w:rsid w:val="00D0653F"/>
    <w:rsid w:val="00D133CB"/>
    <w:rsid w:val="00D1442D"/>
    <w:rsid w:val="00D20ACC"/>
    <w:rsid w:val="00D26F0A"/>
    <w:rsid w:val="00D30536"/>
    <w:rsid w:val="00D33064"/>
    <w:rsid w:val="00D5612E"/>
    <w:rsid w:val="00D70062"/>
    <w:rsid w:val="00D9268F"/>
    <w:rsid w:val="00DA0FDF"/>
    <w:rsid w:val="00DA59C3"/>
    <w:rsid w:val="00DA5EBA"/>
    <w:rsid w:val="00DC2725"/>
    <w:rsid w:val="00DD3EB8"/>
    <w:rsid w:val="00DD48CE"/>
    <w:rsid w:val="00DD60C1"/>
    <w:rsid w:val="00DE2B77"/>
    <w:rsid w:val="00DE46B7"/>
    <w:rsid w:val="00DE7B71"/>
    <w:rsid w:val="00DF20F4"/>
    <w:rsid w:val="00DF6F88"/>
    <w:rsid w:val="00E01808"/>
    <w:rsid w:val="00E120BE"/>
    <w:rsid w:val="00E23D48"/>
    <w:rsid w:val="00E309AF"/>
    <w:rsid w:val="00E76DD3"/>
    <w:rsid w:val="00E8640D"/>
    <w:rsid w:val="00E90F4E"/>
    <w:rsid w:val="00ED30A1"/>
    <w:rsid w:val="00ED45B6"/>
    <w:rsid w:val="00EE283A"/>
    <w:rsid w:val="00EF22D8"/>
    <w:rsid w:val="00F0016E"/>
    <w:rsid w:val="00F00526"/>
    <w:rsid w:val="00F11803"/>
    <w:rsid w:val="00F138FC"/>
    <w:rsid w:val="00F14580"/>
    <w:rsid w:val="00F60025"/>
    <w:rsid w:val="00FA0DC7"/>
    <w:rsid w:val="00FB1CB5"/>
    <w:rsid w:val="00FB2C20"/>
    <w:rsid w:val="00FB4C1D"/>
    <w:rsid w:val="00FB5A46"/>
    <w:rsid w:val="00FB7DA3"/>
    <w:rsid w:val="00FC1A77"/>
    <w:rsid w:val="00FD0DF4"/>
    <w:rsid w:val="00FF017C"/>
    <w:rsid w:val="00FF291F"/>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F01"/>
    <w:pPr>
      <w:spacing w:after="160" w:line="259" w:lineRule="auto"/>
    </w:pPr>
    <w:rPr>
      <w:lang w:eastAsia="en-US"/>
    </w:rPr>
  </w:style>
  <w:style w:type="paragraph" w:styleId="Heading1">
    <w:name w:val="heading 1"/>
    <w:basedOn w:val="Normal"/>
    <w:next w:val="Normal"/>
    <w:link w:val="Heading1Char"/>
    <w:uiPriority w:val="99"/>
    <w:qFormat/>
    <w:rsid w:val="003407CF"/>
    <w:pPr>
      <w:keepNext/>
      <w:spacing w:after="0" w:line="240" w:lineRule="auto"/>
      <w:jc w:val="center"/>
      <w:outlineLvl w:val="0"/>
    </w:pPr>
    <w:rPr>
      <w:rFonts w:ascii="Times New Roman" w:eastAsia="Times New Roman" w:hAnsi="Times New Roman"/>
      <w:b/>
      <w:bCs/>
      <w:sz w:val="28"/>
      <w:szCs w:val="24"/>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407CF"/>
    <w:rPr>
      <w:rFonts w:ascii="Times New Roman" w:hAnsi="Times New Roman" w:cs="Times New Roman"/>
      <w:b/>
      <w:bCs/>
      <w:sz w:val="24"/>
      <w:szCs w:val="24"/>
      <w:lang w:eastAsia="ru-RU"/>
    </w:rPr>
  </w:style>
  <w:style w:type="paragraph" w:styleId="NormalWeb">
    <w:name w:val="Normal (Web)"/>
    <w:basedOn w:val="Normal"/>
    <w:uiPriority w:val="99"/>
    <w:rsid w:val="003407CF"/>
    <w:rPr>
      <w:rFonts w:ascii="Times New Roman" w:hAnsi="Times New Roman"/>
      <w:sz w:val="24"/>
      <w:szCs w:val="24"/>
    </w:rPr>
  </w:style>
  <w:style w:type="paragraph" w:styleId="BodyText">
    <w:name w:val="Body Text"/>
    <w:basedOn w:val="Normal"/>
    <w:link w:val="BodyTextChar"/>
    <w:uiPriority w:val="99"/>
    <w:rsid w:val="003407CF"/>
    <w:pPr>
      <w:spacing w:after="0" w:line="240" w:lineRule="auto"/>
    </w:pPr>
    <w:rPr>
      <w:rFonts w:ascii="Times New Roman" w:eastAsia="Times New Roman" w:hAnsi="Times New Roman"/>
      <w:b/>
      <w:bCs/>
      <w:sz w:val="28"/>
      <w:szCs w:val="24"/>
      <w:lang w:eastAsia="ru-RU"/>
    </w:rPr>
  </w:style>
  <w:style w:type="character" w:customStyle="1" w:styleId="BodyTextChar">
    <w:name w:val="Body Text Char"/>
    <w:basedOn w:val="DefaultParagraphFont"/>
    <w:link w:val="BodyText"/>
    <w:uiPriority w:val="99"/>
    <w:locked/>
    <w:rsid w:val="003407CF"/>
    <w:rPr>
      <w:rFonts w:ascii="Times New Roman" w:hAnsi="Times New Roman" w:cs="Times New Roman"/>
      <w:b/>
      <w:bCs/>
      <w:sz w:val="24"/>
      <w:szCs w:val="24"/>
      <w:lang w:eastAsia="ru-RU"/>
    </w:rPr>
  </w:style>
  <w:style w:type="paragraph" w:styleId="BodyTextIndent">
    <w:name w:val="Body Text Indent"/>
    <w:basedOn w:val="Normal"/>
    <w:link w:val="BodyTextIndentChar"/>
    <w:uiPriority w:val="99"/>
    <w:semiHidden/>
    <w:rsid w:val="003407CF"/>
    <w:pPr>
      <w:spacing w:after="120" w:line="240" w:lineRule="auto"/>
      <w:ind w:left="283"/>
    </w:pPr>
    <w:rPr>
      <w:rFonts w:ascii="Times New Roman" w:eastAsia="Times New Roman" w:hAnsi="Times New Roman"/>
      <w:sz w:val="24"/>
      <w:szCs w:val="24"/>
      <w:lang w:eastAsia="ru-RU"/>
    </w:rPr>
  </w:style>
  <w:style w:type="character" w:customStyle="1" w:styleId="BodyTextIndentChar">
    <w:name w:val="Body Text Indent Char"/>
    <w:basedOn w:val="DefaultParagraphFont"/>
    <w:link w:val="BodyTextIndent"/>
    <w:uiPriority w:val="99"/>
    <w:semiHidden/>
    <w:locked/>
    <w:rsid w:val="003407CF"/>
    <w:rPr>
      <w:rFonts w:ascii="Times New Roman" w:hAnsi="Times New Roman" w:cs="Times New Roman"/>
      <w:sz w:val="24"/>
      <w:szCs w:val="24"/>
      <w:lang w:eastAsia="ru-RU"/>
    </w:rPr>
  </w:style>
  <w:style w:type="character" w:styleId="Hyperlink">
    <w:name w:val="Hyperlink"/>
    <w:basedOn w:val="DefaultParagraphFont"/>
    <w:uiPriority w:val="99"/>
    <w:rsid w:val="003407CF"/>
    <w:rPr>
      <w:rFonts w:cs="Times New Roman"/>
      <w:color w:val="0000FF"/>
      <w:u w:val="single"/>
    </w:rPr>
  </w:style>
  <w:style w:type="character" w:customStyle="1" w:styleId="FootnoteTextChar">
    <w:name w:val="Footnote Text Char"/>
    <w:aliases w:val="ft Зн Знак Char,Знак Char,Знак5 Знак Char,Знак5 Char,Текст сноски Знак2 Знак Char,Текст сноски Знак Знак2 Знак Char,Текст сноски Знак1 Знак Знак Знак1 Char,Текст сноски Знак Знак Знак Знак Знак1 Char,fn Char,ft Зн Знак Знак Char"/>
    <w:uiPriority w:val="99"/>
    <w:semiHidden/>
    <w:locked/>
    <w:rsid w:val="003407CF"/>
    <w:rPr>
      <w:lang w:eastAsia="ru-RU"/>
    </w:rPr>
  </w:style>
  <w:style w:type="paragraph" w:styleId="FootnoteText">
    <w:name w:val="footnote text"/>
    <w:aliases w:val="ft Зн Знак,Знак,Знак5 Знак,Знак5,Текст сноски Знак2 Знак,Текст сноски Знак Знак2 Знак,Текст сноски Знак1 Знак Знак Знак1,Текст сноски Знак Знак Знак Знак Знак1,Текст сноски Знак1 Знак Знак Знак1 Знак Знак Знак Знак Знак,fn,ft Зн Знак Знак"/>
    <w:basedOn w:val="Normal"/>
    <w:link w:val="FootnoteTextChar1"/>
    <w:uiPriority w:val="99"/>
    <w:semiHidden/>
    <w:rsid w:val="003407CF"/>
    <w:pPr>
      <w:spacing w:after="0" w:line="240" w:lineRule="auto"/>
    </w:pPr>
    <w:rPr>
      <w:sz w:val="20"/>
      <w:szCs w:val="20"/>
      <w:lang w:eastAsia="ru-RU"/>
    </w:rPr>
  </w:style>
  <w:style w:type="character" w:customStyle="1" w:styleId="FootnoteTextChar1">
    <w:name w:val="Footnote Text Char1"/>
    <w:aliases w:val="ft Зн Знак Char1,Знак Char1,Знак5 Знак Char1,Знак5 Char1,Текст сноски Знак2 Знак Char1,Текст сноски Знак Знак2 Знак Char1,Текст сноски Знак1 Знак Знак Знак1 Char1,Текст сноски Знак Знак Знак Знак Знак1 Char1,fn Char1"/>
    <w:basedOn w:val="DefaultParagraphFont"/>
    <w:link w:val="FootnoteText"/>
    <w:uiPriority w:val="99"/>
    <w:semiHidden/>
    <w:locked/>
    <w:rsid w:val="00061936"/>
    <w:rPr>
      <w:rFonts w:cs="Times New Roman"/>
      <w:sz w:val="20"/>
      <w:szCs w:val="20"/>
      <w:lang w:eastAsia="en-US"/>
    </w:rPr>
  </w:style>
  <w:style w:type="character" w:customStyle="1" w:styleId="1">
    <w:name w:val="Текст сноски Знак1"/>
    <w:basedOn w:val="DefaultParagraphFont"/>
    <w:uiPriority w:val="99"/>
    <w:semiHidden/>
    <w:rsid w:val="003407CF"/>
    <w:rPr>
      <w:rFonts w:cs="Times New Roman"/>
      <w:sz w:val="20"/>
      <w:szCs w:val="20"/>
    </w:rPr>
  </w:style>
  <w:style w:type="paragraph" w:styleId="Title">
    <w:name w:val="Title"/>
    <w:basedOn w:val="Normal"/>
    <w:next w:val="Normal"/>
    <w:link w:val="TitleChar"/>
    <w:uiPriority w:val="99"/>
    <w:qFormat/>
    <w:rsid w:val="003407CF"/>
    <w:pPr>
      <w:autoSpaceDE w:val="0"/>
      <w:autoSpaceDN w:val="0"/>
      <w:adjustRightInd w:val="0"/>
      <w:spacing w:after="0" w:line="240" w:lineRule="auto"/>
    </w:pPr>
    <w:rPr>
      <w:rFonts w:ascii="CBNCMF+TimesNewRoman,BoldItalic" w:eastAsia="Times New Roman" w:hAnsi="CBNCMF+TimesNewRoman,BoldItalic"/>
      <w:sz w:val="24"/>
      <w:szCs w:val="24"/>
      <w:lang w:eastAsia="ru-RU"/>
    </w:rPr>
  </w:style>
  <w:style w:type="character" w:customStyle="1" w:styleId="TitleChar">
    <w:name w:val="Title Char"/>
    <w:basedOn w:val="DefaultParagraphFont"/>
    <w:link w:val="Title"/>
    <w:uiPriority w:val="99"/>
    <w:locked/>
    <w:rsid w:val="003407CF"/>
    <w:rPr>
      <w:rFonts w:ascii="CBNCMF+TimesNewRoman,BoldItalic" w:hAnsi="CBNCMF+TimesNewRoman,BoldItalic" w:cs="Times New Roman"/>
      <w:sz w:val="24"/>
      <w:szCs w:val="24"/>
      <w:lang w:eastAsia="ru-RU"/>
    </w:rPr>
  </w:style>
  <w:style w:type="paragraph" w:customStyle="1" w:styleId="a">
    <w:name w:val="Основной текст с отступом.Основной текст без отступа.Основной текст с отступом среднее письмо"/>
    <w:basedOn w:val="Normal"/>
    <w:uiPriority w:val="99"/>
    <w:rsid w:val="003407CF"/>
    <w:pPr>
      <w:spacing w:after="0" w:line="360" w:lineRule="auto"/>
      <w:ind w:firstLine="709"/>
      <w:jc w:val="both"/>
    </w:pPr>
    <w:rPr>
      <w:rFonts w:ascii="Times New Roman" w:eastAsia="Times New Roman" w:hAnsi="Times New Roman"/>
      <w:sz w:val="24"/>
      <w:szCs w:val="20"/>
      <w:lang w:eastAsia="ru-RU"/>
    </w:rPr>
  </w:style>
  <w:style w:type="paragraph" w:customStyle="1" w:styleId="Default">
    <w:name w:val="Default"/>
    <w:uiPriority w:val="99"/>
    <w:rsid w:val="003407CF"/>
    <w:pPr>
      <w:autoSpaceDE w:val="0"/>
      <w:autoSpaceDN w:val="0"/>
      <w:adjustRightInd w:val="0"/>
    </w:pPr>
    <w:rPr>
      <w:rFonts w:ascii="Arial" w:eastAsia="Times New Roman" w:hAnsi="Arial" w:cs="Arial"/>
      <w:color w:val="000000"/>
      <w:sz w:val="24"/>
      <w:szCs w:val="24"/>
    </w:rPr>
  </w:style>
  <w:style w:type="character" w:styleId="FootnoteReference">
    <w:name w:val="footnote reference"/>
    <w:basedOn w:val="DefaultParagraphFont"/>
    <w:uiPriority w:val="99"/>
    <w:semiHidden/>
    <w:rsid w:val="003407CF"/>
    <w:rPr>
      <w:rFonts w:cs="Times New Roman"/>
      <w:vertAlign w:val="superscript"/>
    </w:rPr>
  </w:style>
  <w:style w:type="character" w:customStyle="1" w:styleId="apple-style-span">
    <w:name w:val="apple-style-span"/>
    <w:basedOn w:val="DefaultParagraphFont"/>
    <w:uiPriority w:val="99"/>
    <w:rsid w:val="003407CF"/>
    <w:rPr>
      <w:rFonts w:cs="Times New Roman"/>
    </w:rPr>
  </w:style>
  <w:style w:type="paragraph" w:customStyle="1" w:styleId="a0">
    <w:name w:val="......."/>
    <w:basedOn w:val="Default"/>
    <w:next w:val="Default"/>
    <w:uiPriority w:val="99"/>
    <w:rsid w:val="003407CF"/>
    <w:rPr>
      <w:rFonts w:ascii="Calibri" w:hAnsi="Calibri" w:cs="Times New Roman"/>
      <w:color w:val="auto"/>
    </w:rPr>
  </w:style>
  <w:style w:type="paragraph" w:customStyle="1" w:styleId="a1">
    <w:name w:val="Текст рисунка"/>
    <w:basedOn w:val="Normal"/>
    <w:uiPriority w:val="99"/>
    <w:rsid w:val="003407CF"/>
    <w:pPr>
      <w:widowControl w:val="0"/>
      <w:spacing w:after="0" w:line="240" w:lineRule="auto"/>
      <w:jc w:val="center"/>
    </w:pPr>
    <w:rPr>
      <w:rFonts w:eastAsia="Times New Roman"/>
      <w:sz w:val="24"/>
      <w:szCs w:val="24"/>
      <w:lang w:eastAsia="ru-RU"/>
    </w:rPr>
  </w:style>
  <w:style w:type="paragraph" w:customStyle="1" w:styleId="a2">
    <w:name w:val="Название рисунка"/>
    <w:basedOn w:val="Normal"/>
    <w:uiPriority w:val="99"/>
    <w:rsid w:val="003407CF"/>
    <w:pPr>
      <w:suppressAutoHyphens/>
      <w:spacing w:after="120" w:line="240" w:lineRule="auto"/>
      <w:ind w:left="567" w:right="567"/>
      <w:jc w:val="center"/>
    </w:pPr>
    <w:rPr>
      <w:rFonts w:eastAsia="Times New Roman"/>
      <w:b/>
      <w:bCs/>
      <w:sz w:val="26"/>
      <w:szCs w:val="26"/>
      <w:lang w:eastAsia="ru-RU"/>
    </w:rPr>
  </w:style>
  <w:style w:type="paragraph" w:customStyle="1" w:styleId="3">
    <w:name w:val="Обычный (веб)3"/>
    <w:basedOn w:val="Normal"/>
    <w:uiPriority w:val="99"/>
    <w:rsid w:val="003407CF"/>
    <w:pPr>
      <w:spacing w:after="168" w:line="322" w:lineRule="atLeast"/>
      <w:jc w:val="both"/>
    </w:pPr>
    <w:rPr>
      <w:rFonts w:ascii="Times New Roman" w:eastAsia="Times New Roman" w:hAnsi="Times New Roman"/>
      <w:sz w:val="24"/>
      <w:szCs w:val="24"/>
      <w:lang w:eastAsia="ru-RU"/>
    </w:rPr>
  </w:style>
  <w:style w:type="paragraph" w:styleId="ListParagraph">
    <w:name w:val="List Paragraph"/>
    <w:basedOn w:val="Normal"/>
    <w:uiPriority w:val="99"/>
    <w:qFormat/>
    <w:rsid w:val="003407CF"/>
    <w:pPr>
      <w:spacing w:after="0" w:line="240" w:lineRule="auto"/>
      <w:ind w:left="720"/>
      <w:contextualSpacing/>
    </w:pPr>
    <w:rPr>
      <w:rFonts w:ascii="Times New Roman" w:eastAsia="Times New Roman" w:hAnsi="Times New Roman"/>
      <w:sz w:val="24"/>
      <w:szCs w:val="24"/>
      <w:lang w:eastAsia="ru-RU"/>
    </w:rPr>
  </w:style>
  <w:style w:type="paragraph" w:styleId="BalloonText">
    <w:name w:val="Balloon Text"/>
    <w:basedOn w:val="Normal"/>
    <w:link w:val="BalloonTextChar"/>
    <w:uiPriority w:val="99"/>
    <w:semiHidden/>
    <w:rsid w:val="003407CF"/>
    <w:pPr>
      <w:spacing w:after="0" w:line="240" w:lineRule="auto"/>
    </w:pPr>
    <w:rPr>
      <w:rFonts w:ascii="Segoe UI" w:eastAsia="Times New Roman" w:hAnsi="Segoe UI" w:cs="Segoe UI"/>
      <w:sz w:val="18"/>
      <w:szCs w:val="18"/>
      <w:lang w:eastAsia="ru-RU"/>
    </w:rPr>
  </w:style>
  <w:style w:type="character" w:customStyle="1" w:styleId="BalloonTextChar">
    <w:name w:val="Balloon Text Char"/>
    <w:basedOn w:val="DefaultParagraphFont"/>
    <w:link w:val="BalloonText"/>
    <w:uiPriority w:val="99"/>
    <w:semiHidden/>
    <w:locked/>
    <w:rsid w:val="003407CF"/>
    <w:rPr>
      <w:rFonts w:ascii="Segoe UI" w:hAnsi="Segoe UI" w:cs="Segoe UI"/>
      <w:sz w:val="18"/>
      <w:szCs w:val="18"/>
      <w:lang w:eastAsia="ru-RU"/>
    </w:rPr>
  </w:style>
  <w:style w:type="character" w:styleId="Strong">
    <w:name w:val="Strong"/>
    <w:basedOn w:val="DefaultParagraphFont"/>
    <w:uiPriority w:val="99"/>
    <w:qFormat/>
    <w:rsid w:val="00304873"/>
    <w:rPr>
      <w:rFonts w:cs="Times New Roman"/>
      <w:b/>
      <w:bCs/>
    </w:rPr>
  </w:style>
  <w:style w:type="character" w:customStyle="1" w:styleId="apple-converted-space">
    <w:name w:val="apple-converted-space"/>
    <w:uiPriority w:val="99"/>
    <w:rsid w:val="004E43E7"/>
  </w:style>
  <w:style w:type="paragraph" w:styleId="Header">
    <w:name w:val="header"/>
    <w:basedOn w:val="Normal"/>
    <w:link w:val="HeaderChar"/>
    <w:uiPriority w:val="99"/>
    <w:rsid w:val="00DA0FDF"/>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DA0FDF"/>
    <w:rPr>
      <w:rFonts w:cs="Times New Roman"/>
    </w:rPr>
  </w:style>
  <w:style w:type="paragraph" w:styleId="Footer">
    <w:name w:val="footer"/>
    <w:basedOn w:val="Normal"/>
    <w:link w:val="FooterChar"/>
    <w:uiPriority w:val="99"/>
    <w:rsid w:val="00DA0FDF"/>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DA0FDF"/>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jiz4@yandex.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www.thecityuk.com/media/latest-news-from-thecityuk/sovereign-wealth-funds-target-real-estate-as-global-assets-hit-record-5-2-trillion" TargetMode="External"/><Relationship Id="rId2" Type="http://schemas.openxmlformats.org/officeDocument/2006/relationships/hyperlink" Target="http://www.thecityuk.com/media/latest-news-from-thecityuk/sovereign-wealth-funds-target-real-estate-as-global-assets-hit-record-5-2-trillion/" TargetMode="External"/><Relationship Id="rId1" Type="http://schemas.openxmlformats.org/officeDocument/2006/relationships/hyperlink" Target="http://www.swfinstitute.org/fund-rankin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53</TotalTime>
  <Pages>14</Pages>
  <Words>4348</Words>
  <Characters>24789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Ярыгина И</dc:title>
  <dc:subject/>
  <dc:creator>Irina Yarygina</dc:creator>
  <cp:keywords/>
  <dc:description/>
  <cp:lastModifiedBy>1</cp:lastModifiedBy>
  <cp:revision>6</cp:revision>
  <dcterms:created xsi:type="dcterms:W3CDTF">2015-12-25T08:50:00Z</dcterms:created>
  <dcterms:modified xsi:type="dcterms:W3CDTF">2016-01-06T11:06:00Z</dcterms:modified>
</cp:coreProperties>
</file>