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54" w:rsidRPr="005808E4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808E4">
        <w:rPr>
          <w:rFonts w:ascii="Times New Roman" w:hAnsi="Times New Roman"/>
          <w:b/>
          <w:i/>
          <w:sz w:val="24"/>
          <w:szCs w:val="24"/>
        </w:rPr>
        <w:t>Максимова К.Л.</w:t>
      </w:r>
    </w:p>
    <w:p w:rsidR="00B92B54" w:rsidRPr="00667D28" w:rsidRDefault="00B92B54" w:rsidP="005808E4">
      <w:pPr>
        <w:spacing w:after="0" w:line="36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67D28">
        <w:rPr>
          <w:rFonts w:ascii="Times New Roman" w:hAnsi="Times New Roman"/>
          <w:sz w:val="24"/>
          <w:szCs w:val="24"/>
        </w:rPr>
        <w:t>ав. лабораторией «Бизнес-процессов в мировой экономике»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Северо-Восточного федерального университета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B54" w:rsidRPr="00667D28" w:rsidRDefault="00B92B54" w:rsidP="005808E4">
      <w:pPr>
        <w:spacing w:after="0" w:line="360" w:lineRule="auto"/>
        <w:ind w:left="708" w:firstLine="1"/>
        <w:jc w:val="center"/>
        <w:rPr>
          <w:rFonts w:ascii="Times New Roman" w:hAnsi="Times New Roman"/>
          <w:b/>
          <w:sz w:val="24"/>
          <w:szCs w:val="24"/>
        </w:rPr>
      </w:pPr>
      <w:r w:rsidRPr="00667D28">
        <w:rPr>
          <w:rFonts w:ascii="Times New Roman" w:hAnsi="Times New Roman"/>
          <w:b/>
          <w:sz w:val="24"/>
          <w:szCs w:val="24"/>
        </w:rPr>
        <w:t>ПЕРСПЕКТИВЫ СОТРУДНИЧЕСТВА СТРАН БРИКС В АСПЕКТЕ РЕАЛИЗАЦИИ ПРОЕКТА ТОСЭР</w:t>
      </w:r>
      <w:r>
        <w:rPr>
          <w:rFonts w:ascii="Times New Roman" w:hAnsi="Times New Roman"/>
          <w:b/>
          <w:sz w:val="24"/>
          <w:szCs w:val="24"/>
        </w:rPr>
        <w:t xml:space="preserve"> «БРИЛЛИАНТОВАЯ ДОЛИНА В РЕСПУБЛИКЕ САХА (ЯКУТИЯ)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b/>
          <w:sz w:val="24"/>
          <w:szCs w:val="24"/>
        </w:rPr>
        <w:t>Ключевые слова:</w:t>
      </w:r>
      <w:r w:rsidRPr="00667D28">
        <w:rPr>
          <w:rFonts w:ascii="Times New Roman" w:hAnsi="Times New Roman"/>
          <w:sz w:val="24"/>
          <w:szCs w:val="24"/>
        </w:rPr>
        <w:t xml:space="preserve"> мировая экономика, международная алмазно-бриллиантовая промышленность, проект «Бриллиантовая долина», аспекты сотрудничества стран БРИКС.</w:t>
      </w:r>
    </w:p>
    <w:p w:rsidR="00B92B54" w:rsidRPr="005808E4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67D28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667D28">
        <w:rPr>
          <w:rFonts w:ascii="Times New Roman" w:hAnsi="Times New Roman"/>
          <w:sz w:val="24"/>
          <w:szCs w:val="24"/>
          <w:lang w:val="en-US"/>
        </w:rPr>
        <w:t>: world economy, international diamond industry, "Diamond valley" project, contribution aspects of the BRICS countries</w:t>
      </w:r>
      <w:r w:rsidRPr="005808E4">
        <w:rPr>
          <w:rFonts w:ascii="Times New Roman" w:hAnsi="Times New Roman"/>
          <w:sz w:val="24"/>
          <w:szCs w:val="24"/>
          <w:lang w:val="en-US"/>
        </w:rPr>
        <w:t>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Глобализационные процессы в мировой экономике постепенно проникают во все сферы хозяйственной деятельности стран мира. Посредством создания институциональных организаций, торговых союзов и отраслевых объединений расширяются и укрепляются взаимосвязи национальных экономик стран. Идея глобализации первоначально принадлежала Великобритании и США, целью внедрения данного процесса в мирохозяйственную систему являлось упрочнение политического влияния на мировой арене, отстаивание интересов ТНК вышеуказанных стран и конечно получение стабильной долгосрочной прибыли посредством захвата новых рынков сбыта продукции, влияния на рынок энергоресурсов и т.д. В настоящее время в сфере глобального рынка существует несовершенная конкуренция, что объясняется изначальными факторами его становления. Российская Федерация и бывшие колониальные страны, будучи странами с развивающейся экономикой, имеют определённые </w:t>
      </w:r>
      <w:r>
        <w:rPr>
          <w:rFonts w:ascii="Times New Roman" w:hAnsi="Times New Roman"/>
          <w:sz w:val="24"/>
          <w:szCs w:val="24"/>
        </w:rPr>
        <w:t>проблемы в отношении</w:t>
      </w:r>
      <w:r w:rsidRPr="00667D28">
        <w:rPr>
          <w:rFonts w:ascii="Times New Roman" w:hAnsi="Times New Roman"/>
          <w:sz w:val="24"/>
          <w:szCs w:val="24"/>
        </w:rPr>
        <w:t xml:space="preserve"> равноправного участия и отстаивания своих интересов на мировом политическом олимпе и, соответственно, глобальном рынке. Например, санкционный режим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принятый относительно России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связан, прежде всего, </w:t>
      </w:r>
      <w:r>
        <w:rPr>
          <w:rFonts w:ascii="Times New Roman" w:hAnsi="Times New Roman"/>
          <w:sz w:val="24"/>
          <w:szCs w:val="24"/>
        </w:rPr>
        <w:t xml:space="preserve">со стремлением </w:t>
      </w:r>
      <w:r w:rsidRPr="00667D28">
        <w:rPr>
          <w:rFonts w:ascii="Times New Roman" w:hAnsi="Times New Roman"/>
          <w:sz w:val="24"/>
          <w:szCs w:val="24"/>
        </w:rPr>
        <w:t xml:space="preserve">США </w:t>
      </w:r>
      <w:r>
        <w:rPr>
          <w:rFonts w:ascii="Times New Roman" w:hAnsi="Times New Roman"/>
          <w:sz w:val="24"/>
          <w:szCs w:val="24"/>
        </w:rPr>
        <w:t xml:space="preserve">сохранить за собой статус </w:t>
      </w:r>
      <w:r w:rsidRPr="00667D28">
        <w:rPr>
          <w:rFonts w:ascii="Times New Roman" w:hAnsi="Times New Roman"/>
          <w:sz w:val="24"/>
          <w:szCs w:val="24"/>
        </w:rPr>
        <w:t>регулятора мировой политики. На протяжении длительного периода после развала СССР США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избавившись от оппозиционного блока коммунистических стран, диктовало свои условия всему миру посредством всевозможных международных объединений и союзов, таких как НАТО, ВТО, ООН и многих других. Но сложившаяся модель однополярного мира постепенно преобразовывается в многополярную систему, </w:t>
      </w:r>
      <w:r>
        <w:rPr>
          <w:rFonts w:ascii="Times New Roman" w:hAnsi="Times New Roman"/>
          <w:sz w:val="24"/>
          <w:szCs w:val="24"/>
        </w:rPr>
        <w:t>в рамках</w:t>
      </w:r>
      <w:r w:rsidRPr="00667D28">
        <w:rPr>
          <w:rFonts w:ascii="Times New Roman" w:hAnsi="Times New Roman"/>
          <w:sz w:val="24"/>
          <w:szCs w:val="24"/>
        </w:rPr>
        <w:t xml:space="preserve"> которой формируется равновесие прав и возможностей для создания условий сосуществования всех стран в мире на основе взаимовыгодных компромиссов посредством дипломатии, а не разжигания политических конфликтов и навязывания правил экономического хозяйствования в государствах несогласных с политикой Запада. В настоящее время союз стран БРИКС является символом многополярного мира и генератором его дальнейшего формирования. Цели создания данного союза, к которому постепенно примкнут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67D28">
        <w:rPr>
          <w:rFonts w:ascii="Times New Roman" w:hAnsi="Times New Roman"/>
          <w:sz w:val="24"/>
          <w:szCs w:val="24"/>
        </w:rPr>
        <w:t>другие страны, заключаются во взаимовыгодном сотрудничестве и отстаивании интересов в международных организациях, разработке новых проектов в сфере промышленности, медицине и многих других отрасл</w:t>
      </w:r>
      <w:r>
        <w:rPr>
          <w:rFonts w:ascii="Times New Roman" w:hAnsi="Times New Roman"/>
          <w:sz w:val="24"/>
          <w:szCs w:val="24"/>
        </w:rPr>
        <w:t>ях</w:t>
      </w:r>
      <w:r w:rsidRPr="00667D28">
        <w:rPr>
          <w:rFonts w:ascii="Times New Roman" w:hAnsi="Times New Roman"/>
          <w:sz w:val="24"/>
          <w:szCs w:val="24"/>
        </w:rPr>
        <w:t xml:space="preserve"> производства, а также различных социальных проектах. </w:t>
      </w:r>
      <w:r>
        <w:rPr>
          <w:rFonts w:ascii="Times New Roman" w:hAnsi="Times New Roman"/>
          <w:sz w:val="24"/>
          <w:szCs w:val="24"/>
        </w:rPr>
        <w:t>В</w:t>
      </w:r>
      <w:r w:rsidRPr="00667D28">
        <w:rPr>
          <w:rFonts w:ascii="Times New Roman" w:hAnsi="Times New Roman"/>
          <w:sz w:val="24"/>
          <w:szCs w:val="24"/>
        </w:rPr>
        <w:t xml:space="preserve"> данной статье будет рассмотрен один из возможных вариантов сотрудничеств</w:t>
      </w:r>
      <w:r>
        <w:rPr>
          <w:rFonts w:ascii="Times New Roman" w:hAnsi="Times New Roman"/>
          <w:sz w:val="24"/>
          <w:szCs w:val="24"/>
        </w:rPr>
        <w:t>а</w:t>
      </w:r>
      <w:r w:rsidRPr="00667D28">
        <w:rPr>
          <w:rFonts w:ascii="Times New Roman" w:hAnsi="Times New Roman"/>
          <w:sz w:val="24"/>
          <w:szCs w:val="24"/>
        </w:rPr>
        <w:t xml:space="preserve"> стран </w:t>
      </w:r>
      <w:r>
        <w:rPr>
          <w:rFonts w:ascii="Times New Roman" w:hAnsi="Times New Roman"/>
          <w:sz w:val="24"/>
          <w:szCs w:val="24"/>
        </w:rPr>
        <w:t>С</w:t>
      </w:r>
      <w:r w:rsidRPr="00667D28">
        <w:rPr>
          <w:rFonts w:ascii="Times New Roman" w:hAnsi="Times New Roman"/>
          <w:sz w:val="24"/>
          <w:szCs w:val="24"/>
        </w:rPr>
        <w:t>оюза в аспекте реализации проекта «Бриллиантовая долина» в Республике Якутия.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Российская Федерация занимает самую большую территорию в мире и обладает богатейшей минерально-сырьевой базой. На территории Российской Федерации добывается один из самых драгоценных минералов - алмаз. Алмазы подразделяются на две группы ювелирные и технические. К ювелирным алмазам относятся камни, обладающие высоким качеством, они составляют в среднем 70% от объёма алмазодобычи, остальные камни более низкого качества используются в промышленности. За счёт чрезвычайной твёрдости алмазы применяются в качестве материала для армирования металлорежущих и других инструментов, широко используемых в промышленности (резцов, сверл, фильер, штампов, дисковых пил, буровых коронок и т.д.), а также в качестве абразивов (алмазных порошков). Технические алмазы широко применяются в оптической, электронной и ядерной промышленности, в высокоточной микрохирургии и т.д.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Для определения вариантов сотрудничества стран БРИКС по проекту «Бриллиантовая долина» необходимо оценить положение и проблемные аспекты развития алмазогранильной отрасли РФ в мировом алмазно-бриллиантовом комплексе.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В настоящее время добыча алмазов </w:t>
      </w:r>
      <w:r>
        <w:rPr>
          <w:rFonts w:ascii="Times New Roman" w:hAnsi="Times New Roman"/>
          <w:sz w:val="24"/>
          <w:szCs w:val="24"/>
        </w:rPr>
        <w:t>осуществляется</w:t>
      </w:r>
      <w:r w:rsidRPr="00667D28">
        <w:rPr>
          <w:rFonts w:ascii="Times New Roman" w:hAnsi="Times New Roman"/>
          <w:sz w:val="24"/>
          <w:szCs w:val="24"/>
        </w:rPr>
        <w:t xml:space="preserve"> более чем </w:t>
      </w:r>
      <w:r>
        <w:rPr>
          <w:rFonts w:ascii="Times New Roman" w:hAnsi="Times New Roman"/>
          <w:sz w:val="24"/>
          <w:szCs w:val="24"/>
        </w:rPr>
        <w:t>в</w:t>
      </w:r>
      <w:r w:rsidRPr="00667D28">
        <w:rPr>
          <w:rFonts w:ascii="Times New Roman" w:hAnsi="Times New Roman"/>
          <w:sz w:val="24"/>
          <w:szCs w:val="24"/>
        </w:rPr>
        <w:t xml:space="preserve"> 20 стран</w:t>
      </w:r>
      <w:r>
        <w:rPr>
          <w:rFonts w:ascii="Times New Roman" w:hAnsi="Times New Roman"/>
          <w:sz w:val="24"/>
          <w:szCs w:val="24"/>
        </w:rPr>
        <w:t>ах</w:t>
      </w:r>
      <w:r w:rsidRPr="00667D28">
        <w:rPr>
          <w:rFonts w:ascii="Times New Roman" w:hAnsi="Times New Roman"/>
          <w:sz w:val="24"/>
          <w:szCs w:val="24"/>
        </w:rPr>
        <w:t>, и Россия занимает первое место в мире по объёму производства алмазов</w:t>
      </w:r>
      <w:r>
        <w:rPr>
          <w:rFonts w:ascii="Times New Roman" w:hAnsi="Times New Roman"/>
          <w:sz w:val="24"/>
          <w:szCs w:val="24"/>
        </w:rPr>
        <w:t>. В</w:t>
      </w:r>
      <w:r w:rsidRPr="00667D28">
        <w:rPr>
          <w:rFonts w:ascii="Times New Roman" w:hAnsi="Times New Roman"/>
          <w:sz w:val="24"/>
          <w:szCs w:val="24"/>
        </w:rPr>
        <w:t xml:space="preserve"> физическом виде на долю России приходится около 30% мирового производства алмазов, на втором месте Ботсвана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 xml:space="preserve">20%, далее ДР Конго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 xml:space="preserve">13%, Канада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 xml:space="preserve">10%, Австралия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 xml:space="preserve">7%, Ангола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 xml:space="preserve">7%, ЮАР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>6% и др. Ведущее положение по стоимости добываемого сырья принадлежит Ботсване, России и Канаде, суммарная добыча данных стран составляет свыше 60% от общемировой добычи. По состоянию на 1.01.2013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 xml:space="preserve">г. общие мировые запасы алмазов составляют 2 636,10 млн. каратов, при этом на долю России приходится 1 292,50 млн. карат. Прогнозные ресурсы алмазов в стране оцениваются почти в 3,7 млрд. карат. В мире без учёта России прогнозные ресурсы алмазов по данным Кимберлийского процесса оценивались в 5 млрд. карат. 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7C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9pt;height:211.5pt;visibility:visible">
            <v:imagedata r:id="rId7" o:title=""/>
          </v:shape>
        </w:pic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Алмазный бизнес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 xml:space="preserve">давно сложившаяся и закрытая система. Компания Де Бирс основана в </w:t>
      </w:r>
      <w:smartTag w:uri="urn:schemas-microsoft-com:office:smarttags" w:element="metricconverter">
        <w:smartTagPr>
          <w:attr w:name="ProductID" w:val="1888 г"/>
        </w:smartTagPr>
        <w:r w:rsidRPr="00667D28">
          <w:rPr>
            <w:rFonts w:ascii="Times New Roman" w:hAnsi="Times New Roman"/>
            <w:sz w:val="24"/>
            <w:szCs w:val="24"/>
          </w:rPr>
          <w:t>1888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 xml:space="preserve">. и с </w:t>
      </w:r>
      <w:smartTag w:uri="urn:schemas-microsoft-com:office:smarttags" w:element="metricconverter">
        <w:smartTagPr>
          <w:attr w:name="ProductID" w:val="1934 г"/>
        </w:smartTagPr>
        <w:r w:rsidRPr="00667D28">
          <w:rPr>
            <w:rFonts w:ascii="Times New Roman" w:hAnsi="Times New Roman"/>
            <w:sz w:val="24"/>
            <w:szCs w:val="24"/>
          </w:rPr>
          <w:t>1934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 стала фактическим монополистом на мировом рынке алмазов посредством организованной Централь</w:t>
      </w:r>
      <w:r>
        <w:rPr>
          <w:rFonts w:ascii="Times New Roman" w:hAnsi="Times New Roman"/>
          <w:sz w:val="24"/>
          <w:szCs w:val="24"/>
        </w:rPr>
        <w:t>ной Сбытовой Организацией (ЦСО).</w:t>
      </w:r>
      <w:r w:rsidRPr="00667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667D28">
        <w:rPr>
          <w:rFonts w:ascii="Times New Roman" w:hAnsi="Times New Roman"/>
          <w:sz w:val="24"/>
          <w:szCs w:val="24"/>
        </w:rPr>
        <w:t>омпания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владея месторождениями алмазов по всему миру, также скупает сырьё у других производителей в том числе у российской компании АЛРОСА (ранее трест «Якуталмаз»).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7C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465pt;height:158pt;visibility:visible">
            <v:imagedata r:id="rId8" o:title=""/>
          </v:shape>
        </w:pic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Рис. 2. Долевое распределение производства алмазов в мире за </w:t>
      </w:r>
      <w:smartTag w:uri="urn:schemas-microsoft-com:office:smarttags" w:element="metricconverter">
        <w:smartTagPr>
          <w:attr w:name="ProductID" w:val="2014 г"/>
        </w:smartTagPr>
        <w:r w:rsidRPr="00667D28">
          <w:rPr>
            <w:rFonts w:ascii="Times New Roman" w:hAnsi="Times New Roman"/>
            <w:sz w:val="24"/>
            <w:szCs w:val="24"/>
          </w:rPr>
          <w:t>2014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 и география месторождений.</w:t>
      </w:r>
      <w:r w:rsidRPr="00667D28">
        <w:rPr>
          <w:rStyle w:val="FootnoteReference"/>
          <w:rFonts w:ascii="Times New Roman" w:hAnsi="Times New Roman"/>
          <w:sz w:val="24"/>
          <w:szCs w:val="24"/>
        </w:rPr>
        <w:footnoteReference w:id="1"/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</w:t>
      </w:r>
      <w:r w:rsidRPr="00667D28">
        <w:rPr>
          <w:rFonts w:ascii="Times New Roman" w:hAnsi="Times New Roman"/>
          <w:sz w:val="24"/>
          <w:szCs w:val="24"/>
        </w:rPr>
        <w:t xml:space="preserve"> 58 лет своего существования алмазодобывающая промышленность России развивается интенсивными темпами и постепенно занимает лидирующее положение в мировой алмазодобывающей отрасли (рис.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 xml:space="preserve">2). С </w:t>
      </w:r>
      <w:smartTag w:uri="urn:schemas-microsoft-com:office:smarttags" w:element="metricconverter">
        <w:smartTagPr>
          <w:attr w:name="ProductID" w:val="2005 г"/>
        </w:smartTagPr>
        <w:r w:rsidRPr="00667D28">
          <w:rPr>
            <w:rFonts w:ascii="Times New Roman" w:hAnsi="Times New Roman"/>
            <w:sz w:val="24"/>
            <w:szCs w:val="24"/>
          </w:rPr>
          <w:t>2005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 АЛРОСА постепенно сокращала объёмы продаж алмазов компании Де Бирс. На сегодняшний день долгосрочные контракты АЛРОСЫ на период 2015-2017 гг. подписаны с 48 компаниями. 10 из них стали долгосрочными клиентами впервые, а до этого несколько лет успешно работали с АЛРОСА в рамках тендерных и разовых продаж. По данным долгосрочным контрактам реализуется до 70% добываемых компанией алмазов. Основные месторождения, принадлежащие компании, на долю которых приходится 99% добычи алмазного сырья, расположены в Республике Якутия.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По объёму производства бриллиантов в стоимостном выражении первое место в мире занимает Индия - 9,3 млрд. долл., Израиль 2,77 млрд. долл., страны Юго-Восточной Азии 2,5 млрд. долл., ЮАР 0,6 млрд.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долл. США 0,4 млрд. долл., Бельгия 0,37 млрд. долл.</w:t>
      </w:r>
      <w:r w:rsidRPr="00667D28">
        <w:rPr>
          <w:rStyle w:val="FootnoteReference"/>
          <w:rFonts w:ascii="Times New Roman" w:hAnsi="Times New Roman"/>
          <w:sz w:val="24"/>
          <w:szCs w:val="24"/>
        </w:rPr>
        <w:footnoteReference w:id="2"/>
      </w:r>
      <w:r w:rsidRPr="00667D28">
        <w:rPr>
          <w:rFonts w:ascii="Times New Roman" w:hAnsi="Times New Roman"/>
          <w:sz w:val="24"/>
          <w:szCs w:val="24"/>
        </w:rPr>
        <w:t xml:space="preserve"> 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По регионам деятельности гранильных предприятий страны подразделяются на три категории. К первой категории относятся страны-производители бриллиантов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>Индия, Израиль, страны Юго-Восточной Азии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КНР, США и Бельгия. Ко второй категории относятся страны</w:t>
      </w:r>
      <w:r>
        <w:rPr>
          <w:rFonts w:ascii="Times New Roman" w:hAnsi="Times New Roman"/>
          <w:sz w:val="24"/>
          <w:szCs w:val="24"/>
        </w:rPr>
        <w:t>-</w:t>
      </w:r>
      <w:r w:rsidRPr="00667D28">
        <w:rPr>
          <w:rFonts w:ascii="Times New Roman" w:hAnsi="Times New Roman"/>
          <w:sz w:val="24"/>
          <w:szCs w:val="24"/>
        </w:rPr>
        <w:t xml:space="preserve">посредники в торговых операциях алмазами и бриллиантами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>Израиль, Бельгия, Индия, КНР (Шанхай, Гонконг), ОАЭ (Дубаи). Мировой рынок алмазов подразделяется на регулируемый рынок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ценообразование на котором формирует компания Де Бирс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чья доля составляет примерно 45-50% мировой торговли алмазами и свободный рынок. На свободном рынке продавцами алмазов выступают компании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не связанные контрактными отношениями с Де Бирс. К третьей категории относятся страны, выступающие потребителями изделий с бриллиантами, к ним относятся США, Япония, ОАЭ, Италия, Франция, ФРГ и </w:t>
      </w:r>
      <w:r>
        <w:rPr>
          <w:rFonts w:ascii="Times New Roman" w:hAnsi="Times New Roman"/>
          <w:sz w:val="24"/>
          <w:szCs w:val="24"/>
        </w:rPr>
        <w:t>др</w:t>
      </w:r>
      <w:r w:rsidRPr="00667D28">
        <w:rPr>
          <w:rFonts w:ascii="Times New Roman" w:hAnsi="Times New Roman"/>
          <w:sz w:val="24"/>
          <w:szCs w:val="24"/>
        </w:rPr>
        <w:t>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На первичном мировом алмазном рынке продавцами выступают основные производители природных алмазов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667D28">
        <w:rPr>
          <w:rFonts w:ascii="Times New Roman" w:hAnsi="Times New Roman"/>
          <w:sz w:val="24"/>
          <w:szCs w:val="24"/>
        </w:rPr>
        <w:t>транснациональные и национальные компании: «Де Бирс» (45-50%), «АЛРОСА» (28%)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на другие компаний приходится примерно от 22-27% доли продаж. На вторичном рынке происходит дальнейшее перераспределение алмазного сырья через торгово-посреднические и гранильные компании. 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7C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260pt;height:222pt;visibility:visible">
            <v:imagedata r:id="rId9" o:title=""/>
          </v:shape>
        </w:pic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 xml:space="preserve">3.Долевое распределение производителей бриллиантов по странам за </w:t>
      </w:r>
      <w:smartTag w:uri="urn:schemas-microsoft-com:office:smarttags" w:element="metricconverter">
        <w:smartTagPr>
          <w:attr w:name="ProductID" w:val="2014 г"/>
        </w:smartTagPr>
        <w:r w:rsidRPr="00667D28">
          <w:rPr>
            <w:rFonts w:ascii="Times New Roman" w:hAnsi="Times New Roman"/>
            <w:sz w:val="24"/>
            <w:szCs w:val="24"/>
          </w:rPr>
          <w:t>2014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</w:t>
      </w:r>
      <w:r w:rsidRPr="00667D28">
        <w:rPr>
          <w:rStyle w:val="FootnoteReference"/>
          <w:rFonts w:ascii="Times New Roman" w:hAnsi="Times New Roman"/>
          <w:sz w:val="24"/>
          <w:szCs w:val="24"/>
        </w:rPr>
        <w:footnoteReference w:id="3"/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B54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Первичный мировой рынок бриллиантов представлен гранильными и алмазодобывающими компаниями. Гранильный комплекс РФ в основном ориентирован на экспорт. Крупнейшими производителями в России являются ПО «Кристалл»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реализовавший продукцию за </w:t>
      </w:r>
      <w:smartTag w:uri="urn:schemas-microsoft-com:office:smarttags" w:element="metricconverter">
        <w:smartTagPr>
          <w:attr w:name="ProductID" w:val="2014 г"/>
        </w:smartTagPr>
        <w:r w:rsidRPr="00667D28">
          <w:rPr>
            <w:rFonts w:ascii="Times New Roman" w:hAnsi="Times New Roman"/>
            <w:sz w:val="24"/>
            <w:szCs w:val="24"/>
          </w:rPr>
          <w:t>2014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 на сумму в 250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долл. Предприятия «Бриллианты АЛРОСА», ООО «Барнаульский завод «Кристалл» и ООО «Орёл-АЛРОСА», функционирующие в составе Группы АЛРОСА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в совокупности реализовали бриллианты на сумму 140 млн.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 xml:space="preserve">долл. Далее по значимости </w:t>
      </w:r>
      <w:r>
        <w:rPr>
          <w:rFonts w:ascii="Times New Roman" w:hAnsi="Times New Roman"/>
          <w:sz w:val="24"/>
          <w:szCs w:val="24"/>
        </w:rPr>
        <w:t>следуют</w:t>
      </w:r>
      <w:r w:rsidRPr="00667D28">
        <w:rPr>
          <w:rFonts w:ascii="Times New Roman" w:hAnsi="Times New Roman"/>
          <w:sz w:val="24"/>
          <w:szCs w:val="24"/>
        </w:rPr>
        <w:t xml:space="preserve"> предприятия различных форм собственности, расположенные в Республике Якутия (см.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табл.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1). На долю якутских компаний в совокупности приходится 30 % произведенных в России бриллиантов. Предприятия Якутии по итогам 2014 года произвели бриллиантов на сумму 164 млн. долл., реализовали - на 214 млн. долларов.</w:t>
      </w:r>
    </w:p>
    <w:p w:rsidR="00B92B54" w:rsidRPr="00667D28" w:rsidRDefault="00B92B54" w:rsidP="006D5D1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Вторичный рынок бриллиантов представлен разветвлённой сетью посредников между производителями бриллиантов и ювелирными компаниями. В международном алмазном бизнесе важнейшую роль в торговле драгоценными камнями играют алмазные биржи (клубы). В настоящее время такие биржи работают в основных мировых алмазных центрах – Бельгии, Израиле, Индии, КНР, ОАЭ и др. В России вторичный рынок незначителен </w:t>
      </w:r>
      <w:r>
        <w:rPr>
          <w:rFonts w:ascii="Times New Roman" w:hAnsi="Times New Roman"/>
          <w:sz w:val="24"/>
          <w:szCs w:val="24"/>
        </w:rPr>
        <w:t>в связи</w:t>
      </w:r>
      <w:r w:rsidRPr="00667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 слабым развитием </w:t>
      </w:r>
      <w:r w:rsidRPr="00667D28">
        <w:rPr>
          <w:rFonts w:ascii="Times New Roman" w:hAnsi="Times New Roman"/>
          <w:sz w:val="24"/>
          <w:szCs w:val="24"/>
        </w:rPr>
        <w:t>алмазообрабатывающей промышленности. Деятельность вторичного рынка определяется работой ГОХРАНа (государственное учреждение по формированию Госфонда драгоценных металлов и драгоценных камней РФ, хранению, отпуску и использованию драгоценных металлов и камней, создан</w:t>
      </w:r>
      <w:r>
        <w:rPr>
          <w:rFonts w:ascii="Times New Roman" w:hAnsi="Times New Roman"/>
          <w:sz w:val="24"/>
          <w:szCs w:val="24"/>
        </w:rPr>
        <w:t>ное</w:t>
      </w:r>
      <w:r w:rsidRPr="00667D28">
        <w:rPr>
          <w:rFonts w:ascii="Times New Roman" w:hAnsi="Times New Roman"/>
          <w:sz w:val="24"/>
          <w:szCs w:val="24"/>
        </w:rPr>
        <w:t xml:space="preserve"> в </w:t>
      </w:r>
      <w:smartTag w:uri="urn:schemas-microsoft-com:office:smarttags" w:element="metricconverter">
        <w:smartTagPr>
          <w:attr w:name="ProductID" w:val="1996 г"/>
        </w:smartTagPr>
        <w:r w:rsidRPr="00667D28">
          <w:rPr>
            <w:rFonts w:ascii="Times New Roman" w:hAnsi="Times New Roman"/>
            <w:sz w:val="24"/>
            <w:szCs w:val="24"/>
          </w:rPr>
          <w:t>1996</w:t>
        </w:r>
        <w:r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667D28">
        <w:rPr>
          <w:rFonts w:ascii="Times New Roman" w:hAnsi="Times New Roman"/>
          <w:sz w:val="24"/>
          <w:szCs w:val="24"/>
        </w:rPr>
        <w:t xml:space="preserve"> Госфонд является частью золотовалютных резервов страны и Алмазной палаты</w:t>
      </w:r>
      <w:r>
        <w:rPr>
          <w:rFonts w:ascii="Times New Roman" w:hAnsi="Times New Roman"/>
          <w:sz w:val="24"/>
          <w:szCs w:val="24"/>
        </w:rPr>
        <w:t>)</w:t>
      </w:r>
      <w:r w:rsidRPr="00667D28">
        <w:rPr>
          <w:rFonts w:ascii="Times New Roman" w:hAnsi="Times New Roman"/>
          <w:sz w:val="24"/>
          <w:szCs w:val="24"/>
        </w:rPr>
        <w:t xml:space="preserve">. Ёмкость вторичного рынка составляет 10% от первичного рынка. </w:t>
      </w:r>
    </w:p>
    <w:p w:rsidR="00B92B54" w:rsidRDefault="00B92B54" w:rsidP="006D5D17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Таблица 1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Алмазогранильные компании Республики Саха (Якутия).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7C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4" o:spid="_x0000_i1028" type="#_x0000_t75" style="width:391pt;height:462.5pt;visibility:visible">
            <v:imagedata r:id="rId10" o:title=""/>
          </v:shape>
        </w:pict>
      </w:r>
      <w:bookmarkStart w:id="0" w:name="_GoBack"/>
      <w:bookmarkEnd w:id="0"/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К основным проблемам развития алмазообрабатывающей промышленности РФ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и следовательно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Республики Саха (Якутия) относятся высокая себестоимость производимых бриллиантов, высокое налогообложение, отсутствие собственных оборотных средств у гранильных компаний, высокие ставки по банковским кредитам, проблемы сбыта, усложнение экспортных операций. 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В настоящее время проблемы алмазогранильной отрасли России</w:t>
      </w:r>
      <w:r>
        <w:rPr>
          <w:rFonts w:ascii="Times New Roman" w:hAnsi="Times New Roman"/>
          <w:sz w:val="24"/>
          <w:szCs w:val="24"/>
        </w:rPr>
        <w:t xml:space="preserve">, как нам представляется, </w:t>
      </w:r>
      <w:r w:rsidRPr="00667D28">
        <w:rPr>
          <w:rFonts w:ascii="Times New Roman" w:hAnsi="Times New Roman"/>
          <w:sz w:val="24"/>
          <w:szCs w:val="24"/>
        </w:rPr>
        <w:t xml:space="preserve">можно решить в </w:t>
      </w:r>
      <w:r>
        <w:rPr>
          <w:rFonts w:ascii="Times New Roman" w:hAnsi="Times New Roman"/>
          <w:sz w:val="24"/>
          <w:szCs w:val="24"/>
        </w:rPr>
        <w:t>результате</w:t>
      </w:r>
      <w:r w:rsidRPr="00667D28">
        <w:rPr>
          <w:rFonts w:ascii="Times New Roman" w:hAnsi="Times New Roman"/>
          <w:sz w:val="24"/>
          <w:szCs w:val="24"/>
        </w:rPr>
        <w:t xml:space="preserve"> реализации проекта ТОСЭР «Бриллиантовая долина». 28 декабря </w:t>
      </w:r>
      <w:smartTag w:uri="urn:schemas-microsoft-com:office:smarttags" w:element="metricconverter">
        <w:smartTagPr>
          <w:attr w:name="ProductID" w:val="2009 г"/>
        </w:smartTagPr>
        <w:r w:rsidRPr="00667D28">
          <w:rPr>
            <w:rFonts w:ascii="Times New Roman" w:hAnsi="Times New Roman"/>
            <w:sz w:val="24"/>
            <w:szCs w:val="24"/>
          </w:rPr>
          <w:t>2009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 xml:space="preserve">. вышло распоряжение Правительства «Об утверждении Стратегии социально-экономического развития Дальнего Востока и Байкальского региона на период до 2025 года». В </w:t>
      </w:r>
      <w:r>
        <w:rPr>
          <w:rFonts w:ascii="Times New Roman" w:hAnsi="Times New Roman"/>
          <w:sz w:val="24"/>
          <w:szCs w:val="24"/>
        </w:rPr>
        <w:t>целях</w:t>
      </w:r>
      <w:r w:rsidRPr="00667D28">
        <w:rPr>
          <w:rFonts w:ascii="Times New Roman" w:hAnsi="Times New Roman"/>
          <w:sz w:val="24"/>
          <w:szCs w:val="24"/>
        </w:rPr>
        <w:t xml:space="preserve"> реализации данной стратегии 23 декабря </w:t>
      </w:r>
      <w:smartTag w:uri="urn:schemas-microsoft-com:office:smarttags" w:element="metricconverter">
        <w:smartTagPr>
          <w:attr w:name="ProductID" w:val="2014 г"/>
        </w:smartTagPr>
        <w:r w:rsidRPr="00667D28">
          <w:rPr>
            <w:rFonts w:ascii="Times New Roman" w:hAnsi="Times New Roman"/>
            <w:sz w:val="24"/>
            <w:szCs w:val="24"/>
          </w:rPr>
          <w:t>2014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 xml:space="preserve">. Государственной думой был принят Федеральный закон «О территориях социально-экономического развития в РФ» (ТОСЭР). </w:t>
      </w:r>
      <w:r>
        <w:rPr>
          <w:rFonts w:ascii="Times New Roman" w:hAnsi="Times New Roman"/>
          <w:sz w:val="24"/>
          <w:szCs w:val="24"/>
        </w:rPr>
        <w:t>С</w:t>
      </w:r>
      <w:r w:rsidRPr="00667D28">
        <w:rPr>
          <w:rFonts w:ascii="Times New Roman" w:hAnsi="Times New Roman"/>
          <w:sz w:val="24"/>
          <w:szCs w:val="24"/>
        </w:rPr>
        <w:t xml:space="preserve">уть данного закона </w:t>
      </w:r>
      <w:r>
        <w:rPr>
          <w:rFonts w:ascii="Times New Roman" w:hAnsi="Times New Roman"/>
          <w:sz w:val="24"/>
          <w:szCs w:val="24"/>
        </w:rPr>
        <w:t>состоит</w:t>
      </w:r>
      <w:r w:rsidRPr="00667D28">
        <w:rPr>
          <w:rFonts w:ascii="Times New Roman" w:hAnsi="Times New Roman"/>
          <w:sz w:val="24"/>
          <w:szCs w:val="24"/>
        </w:rPr>
        <w:t xml:space="preserve"> в стимулировании экономического развития определённых территорий Дальнего Востока посредством установления особого правового режима осуществления предпринимательской деятельности в целях привлечения инвестиций и, следовательно, постепенного улучшения социальных условий населения. 29 октября </w:t>
      </w:r>
      <w:smartTag w:uri="urn:schemas-microsoft-com:office:smarttags" w:element="metricconverter">
        <w:smartTagPr>
          <w:attr w:name="ProductID" w:val="2014 г"/>
        </w:smartTagPr>
        <w:r w:rsidRPr="00667D28">
          <w:rPr>
            <w:rFonts w:ascii="Times New Roman" w:hAnsi="Times New Roman"/>
            <w:sz w:val="24"/>
            <w:szCs w:val="24"/>
          </w:rPr>
          <w:t>2014 г</w:t>
        </w:r>
      </w:smartTag>
      <w:r>
        <w:rPr>
          <w:rFonts w:ascii="Times New Roman" w:hAnsi="Times New Roman"/>
          <w:sz w:val="24"/>
          <w:szCs w:val="24"/>
        </w:rPr>
        <w:t>.</w:t>
      </w:r>
      <w:r w:rsidRPr="00667D28">
        <w:rPr>
          <w:rFonts w:ascii="Times New Roman" w:hAnsi="Times New Roman"/>
          <w:sz w:val="24"/>
          <w:szCs w:val="24"/>
        </w:rPr>
        <w:t xml:space="preserve"> на заседании Совета Федерации были представлены инвестиционные проекты, прошедшие предварительный отбор, в том числе, инвестиционный проект «Бриллиантовая Долина». Цель данного проекта - создание на территории РС (Я) алмазно-бриллиантового кластера. ТОСЭР «Бриллиантовая долина» будет располагаться в Республике Якутия, под его территорию планируется выделение участка </w:t>
      </w:r>
      <w:smartTag w:uri="urn:schemas-microsoft-com:office:smarttags" w:element="metricconverter">
        <w:smartTagPr>
          <w:attr w:name="ProductID" w:val="5910 га"/>
        </w:smartTagPr>
        <w:r w:rsidRPr="00667D28">
          <w:rPr>
            <w:rFonts w:ascii="Times New Roman" w:hAnsi="Times New Roman"/>
            <w:sz w:val="24"/>
            <w:szCs w:val="24"/>
          </w:rPr>
          <w:t>5910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га</w:t>
        </w:r>
      </w:smartTag>
      <w:r w:rsidRPr="00667D28">
        <w:rPr>
          <w:rFonts w:ascii="Times New Roman" w:hAnsi="Times New Roman"/>
          <w:sz w:val="24"/>
          <w:szCs w:val="24"/>
        </w:rPr>
        <w:t xml:space="preserve"> вблизи города Якутска. На территории ТОСЭР будут организованы таможенный пост, представительства Гохрана РФ и Пробирной палаты, алмазогранильные заводы и ювелирные предприятия, а также различные посреднические организации. По предварительным подсчётам в результате запуска данного проекта будет создано около 1000 новых рабочих. По предварительной оценке, сумма общих инвестиций в проект составляет 8 млрд. рублей, 2,9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млрд.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руб. будет направлено из бюджетных средств РФ, необходимость привлечения частных инвестиций соответственно составит 5,1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млрд. руб. За первые 10 лет отчисления в виде налогов и страховых взносов в бюджет будут составлять 0,5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млрд. руб. в последующие годы 0,8 млрд.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 xml:space="preserve">руб. в год. 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К пунктам особого правового режима ТОСЭР относятся:</w:t>
      </w:r>
    </w:p>
    <w:p w:rsidR="00B92B54" w:rsidRPr="00667D28" w:rsidRDefault="00B92B54" w:rsidP="00667D2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Рассмотрение заявки на получение статуса резидента ТОСЭР в течени</w:t>
      </w:r>
      <w:r>
        <w:rPr>
          <w:rFonts w:ascii="Times New Roman" w:hAnsi="Times New Roman"/>
          <w:sz w:val="24"/>
          <w:szCs w:val="24"/>
        </w:rPr>
        <w:t>е</w:t>
      </w:r>
      <w:r w:rsidRPr="00667D28">
        <w:rPr>
          <w:rFonts w:ascii="Times New Roman" w:hAnsi="Times New Roman"/>
          <w:sz w:val="24"/>
          <w:szCs w:val="24"/>
        </w:rPr>
        <w:t xml:space="preserve"> 15 дней.</w:t>
      </w:r>
    </w:p>
    <w:p w:rsidR="00B92B54" w:rsidRPr="00667D28" w:rsidRDefault="00B92B54" w:rsidP="00667D2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Разрешение на привлечение иностранных работников выдается без квот.</w:t>
      </w:r>
    </w:p>
    <w:p w:rsidR="00B92B54" w:rsidRPr="00667D28" w:rsidRDefault="00B92B54" w:rsidP="00667D2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Режим свободной таможенной зоны для резидентов ТОСЭР. Беспошлинный и безналоговый ввоз, хранение, потребление, использование иностранных товаров внутри ТОСЭР, реэкспортный вывоз товаров и оборудования.</w:t>
      </w:r>
    </w:p>
    <w:p w:rsidR="00B92B54" w:rsidRPr="00667D28" w:rsidRDefault="00B92B54" w:rsidP="00667D2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kern w:val="3"/>
          <w:sz w:val="24"/>
          <w:szCs w:val="24"/>
        </w:rPr>
        <w:t xml:space="preserve">Сокращение сроков проведения проверок по согласованию с Минвостокразвития РФ: плановых - до </w:t>
      </w:r>
      <w:r w:rsidRPr="00667D28">
        <w:rPr>
          <w:rFonts w:ascii="Times New Roman" w:hAnsi="Times New Roman"/>
          <w:b/>
          <w:bCs/>
          <w:kern w:val="3"/>
          <w:sz w:val="24"/>
          <w:szCs w:val="24"/>
        </w:rPr>
        <w:t>15</w:t>
      </w:r>
      <w:r w:rsidRPr="00667D28">
        <w:rPr>
          <w:rFonts w:ascii="Times New Roman" w:hAnsi="Times New Roman"/>
          <w:kern w:val="3"/>
          <w:sz w:val="24"/>
          <w:szCs w:val="24"/>
        </w:rPr>
        <w:t xml:space="preserve"> дней, внеплановых - до </w:t>
      </w:r>
      <w:r w:rsidRPr="00667D28">
        <w:rPr>
          <w:rFonts w:ascii="Times New Roman" w:hAnsi="Times New Roman"/>
          <w:b/>
          <w:bCs/>
          <w:kern w:val="3"/>
          <w:sz w:val="24"/>
          <w:szCs w:val="24"/>
        </w:rPr>
        <w:t>5</w:t>
      </w:r>
      <w:r w:rsidRPr="00667D28">
        <w:rPr>
          <w:rFonts w:ascii="Times New Roman" w:hAnsi="Times New Roman"/>
          <w:kern w:val="3"/>
          <w:sz w:val="24"/>
          <w:szCs w:val="24"/>
        </w:rPr>
        <w:t xml:space="preserve"> дней.</w:t>
      </w:r>
    </w:p>
    <w:p w:rsidR="00B92B54" w:rsidRPr="00667D28" w:rsidRDefault="00B92B54" w:rsidP="00667D2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Льготные ставки арендной платы объектов недвижимого имущества для резидентов ТОР составят 0,4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 xml:space="preserve">от базовой ставки; </w:t>
      </w:r>
      <w:r>
        <w:rPr>
          <w:rFonts w:ascii="Times New Roman" w:hAnsi="Times New Roman"/>
          <w:sz w:val="24"/>
          <w:szCs w:val="24"/>
        </w:rPr>
        <w:t xml:space="preserve">предусматривается </w:t>
      </w:r>
      <w:r w:rsidRPr="00667D28">
        <w:rPr>
          <w:rFonts w:ascii="Times New Roman" w:hAnsi="Times New Roman"/>
          <w:sz w:val="24"/>
          <w:szCs w:val="24"/>
        </w:rPr>
        <w:t>льготное подключение к инженерным сетям.</w:t>
      </w:r>
    </w:p>
    <w:p w:rsidR="00B92B54" w:rsidRPr="00667D28" w:rsidRDefault="00B92B54" w:rsidP="00667D2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Сокращение сроков проведения государственной экологической экспертизы проектной документации объектов капитального строительства до 45 дней.</w:t>
      </w:r>
    </w:p>
    <w:p w:rsidR="00B92B54" w:rsidRPr="00667D28" w:rsidRDefault="00B92B54" w:rsidP="00667D28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Упрощение выделения земельных участков для создания ТОР, в том числе сокращение сроков.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Также на территории ТОСЭР будут применяться особые налоговые льготы: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Налог на прибыль организаций будет составлять 5% в первые 10 лет (20% по общему правовому режиму)</w:t>
      </w:r>
      <w:r>
        <w:rPr>
          <w:rFonts w:ascii="Times New Roman" w:hAnsi="Times New Roman"/>
          <w:sz w:val="24"/>
          <w:szCs w:val="24"/>
        </w:rPr>
        <w:t>;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Тарифы страховых взносов составят 7,6% в первые 10 лет (30% по общему правовому режиму)</w:t>
      </w:r>
      <w:r>
        <w:rPr>
          <w:rFonts w:ascii="Times New Roman" w:hAnsi="Times New Roman"/>
          <w:sz w:val="24"/>
          <w:szCs w:val="24"/>
        </w:rPr>
        <w:t>;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3.Налог на добычу полезных ископаемых от 0% с последующим увеличением на 0,2% каждые два года в течени</w:t>
      </w:r>
      <w:r>
        <w:rPr>
          <w:rFonts w:ascii="Times New Roman" w:hAnsi="Times New Roman"/>
          <w:sz w:val="24"/>
          <w:szCs w:val="24"/>
        </w:rPr>
        <w:t>е 10 лет;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4. Налог на добавленную стоимость будет возм</w:t>
      </w:r>
      <w:r>
        <w:rPr>
          <w:rFonts w:ascii="Times New Roman" w:hAnsi="Times New Roman"/>
          <w:sz w:val="24"/>
          <w:szCs w:val="24"/>
        </w:rPr>
        <w:t>ещаться по ускоренной процедуре;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Налог на имущество организаций и земельный налог не будут взиматься первые пять лет.</w:t>
      </w:r>
      <w:r w:rsidRPr="00667D28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Интерес стран БРИКС </w:t>
      </w:r>
      <w:r>
        <w:rPr>
          <w:rFonts w:ascii="Times New Roman" w:hAnsi="Times New Roman"/>
          <w:sz w:val="24"/>
          <w:szCs w:val="24"/>
        </w:rPr>
        <w:t>к</w:t>
      </w:r>
      <w:r w:rsidRPr="00667D28">
        <w:rPr>
          <w:rFonts w:ascii="Times New Roman" w:hAnsi="Times New Roman"/>
          <w:sz w:val="24"/>
          <w:szCs w:val="24"/>
        </w:rPr>
        <w:t xml:space="preserve"> совместной реализации проекта «Бриллиантовой долины» </w:t>
      </w:r>
      <w:r>
        <w:rPr>
          <w:rFonts w:ascii="Times New Roman" w:hAnsi="Times New Roman"/>
          <w:sz w:val="24"/>
          <w:szCs w:val="24"/>
        </w:rPr>
        <w:t>определяется следующим:</w:t>
      </w:r>
    </w:p>
    <w:p w:rsidR="00B92B54" w:rsidRPr="00667D28" w:rsidRDefault="00B92B54" w:rsidP="00667D28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В Бразилии месторождения алмазов были обнаружены в </w:t>
      </w:r>
      <w:smartTag w:uri="urn:schemas-microsoft-com:office:smarttags" w:element="metricconverter">
        <w:smartTagPr>
          <w:attr w:name="ProductID" w:val="1725 г"/>
        </w:smartTagPr>
        <w:r w:rsidRPr="00667D28">
          <w:rPr>
            <w:rFonts w:ascii="Times New Roman" w:hAnsi="Times New Roman"/>
            <w:sz w:val="24"/>
            <w:szCs w:val="24"/>
          </w:rPr>
          <w:t>1725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 и на полвека страна стала крупнейшим мировым поставщиком в мире до открытия месторождений в Африке. По данным Бразильского института драгоценных камней и металлов (IBGM) в стране работает свыше 4 000 компаний, производящих ювелирные изделия. Доля производства изделий с бриллиантами занимает малую часть, оцениваемую примерно в 10-15%</w:t>
      </w:r>
      <w:r>
        <w:rPr>
          <w:rFonts w:ascii="Times New Roman" w:hAnsi="Times New Roman"/>
          <w:sz w:val="24"/>
          <w:szCs w:val="24"/>
        </w:rPr>
        <w:t>. Д</w:t>
      </w:r>
      <w:r w:rsidRPr="00667D28">
        <w:rPr>
          <w:rFonts w:ascii="Times New Roman" w:hAnsi="Times New Roman"/>
          <w:sz w:val="24"/>
          <w:szCs w:val="24"/>
        </w:rPr>
        <w:t xml:space="preserve">анная </w:t>
      </w:r>
      <w:r>
        <w:rPr>
          <w:rFonts w:ascii="Times New Roman" w:hAnsi="Times New Roman"/>
          <w:sz w:val="24"/>
          <w:szCs w:val="24"/>
        </w:rPr>
        <w:t>ситуация</w:t>
      </w:r>
      <w:r w:rsidRPr="00667D28">
        <w:rPr>
          <w:rFonts w:ascii="Times New Roman" w:hAnsi="Times New Roman"/>
          <w:sz w:val="24"/>
          <w:szCs w:val="24"/>
        </w:rPr>
        <w:t xml:space="preserve"> сложилась вследствие истощения алмазных месторождений страны. Бразилия занимает 17-е место среди стран</w:t>
      </w:r>
      <w:r>
        <w:rPr>
          <w:rFonts w:ascii="Times New Roman" w:hAnsi="Times New Roman"/>
          <w:sz w:val="24"/>
          <w:szCs w:val="24"/>
        </w:rPr>
        <w:t>-</w:t>
      </w:r>
      <w:r w:rsidRPr="00667D28">
        <w:rPr>
          <w:rFonts w:ascii="Times New Roman" w:hAnsi="Times New Roman"/>
          <w:sz w:val="24"/>
          <w:szCs w:val="24"/>
        </w:rPr>
        <w:t>производителей ювелирных изделий</w:t>
      </w:r>
      <w:r>
        <w:rPr>
          <w:rFonts w:ascii="Times New Roman" w:hAnsi="Times New Roman"/>
          <w:sz w:val="24"/>
          <w:szCs w:val="24"/>
        </w:rPr>
        <w:t>,</w:t>
      </w:r>
      <w:r w:rsidRPr="00667D28">
        <w:rPr>
          <w:rFonts w:ascii="Times New Roman" w:hAnsi="Times New Roman"/>
          <w:sz w:val="24"/>
          <w:szCs w:val="24"/>
        </w:rPr>
        <w:t xml:space="preserve"> данное положение связано с тем, что страна богата другими разнообразными драгоценными минералами (изумрудами, топазами, опалами и т.д.). Бразилия экспортировала сырые драгоценные камни в основном в Гонконг, Китай, Индию, США, Германию, Таиланд, Италию и Японию. А основными импортерами ограненных драгоценных камней были США, Гонконг, Германия, Великобритания, Япония, Швейцария, Италия и Индия. </w:t>
      </w:r>
    </w:p>
    <w:p w:rsidR="00B92B54" w:rsidRPr="00667D28" w:rsidRDefault="00B92B54" w:rsidP="00667D28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В ЮАР первые алмазы были обнаружены </w:t>
      </w:r>
      <w:smartTag w:uri="urn:schemas-microsoft-com:office:smarttags" w:element="metricconverter">
        <w:smartTagPr>
          <w:attr w:name="ProductID" w:val="1867 г"/>
        </w:smartTagPr>
        <w:r w:rsidRPr="00667D28">
          <w:rPr>
            <w:rFonts w:ascii="Times New Roman" w:hAnsi="Times New Roman"/>
            <w:sz w:val="24"/>
            <w:szCs w:val="24"/>
          </w:rPr>
          <w:t>1867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 xml:space="preserve">. К концу </w:t>
      </w:r>
      <w:smartTag w:uri="urn:schemas-microsoft-com:office:smarttags" w:element="metricconverter">
        <w:smartTagPr>
          <w:attr w:name="ProductID" w:val="1870 г"/>
        </w:smartTagPr>
        <w:r w:rsidRPr="00667D28">
          <w:rPr>
            <w:rFonts w:ascii="Times New Roman" w:hAnsi="Times New Roman"/>
            <w:sz w:val="24"/>
            <w:szCs w:val="24"/>
          </w:rPr>
          <w:t>1870 г</w:t>
        </w:r>
      </w:smartTag>
      <w:r w:rsidRPr="00667D28">
        <w:rPr>
          <w:rFonts w:ascii="Times New Roman" w:hAnsi="Times New Roman"/>
          <w:sz w:val="24"/>
          <w:szCs w:val="24"/>
        </w:rPr>
        <w:t xml:space="preserve">. в стране началась алмазная лихорадка. Компания Де Бирс была основана именно в этой стране в </w:t>
      </w:r>
      <w:smartTag w:uri="urn:schemas-microsoft-com:office:smarttags" w:element="metricconverter">
        <w:smartTagPr>
          <w:attr w:name="ProductID" w:val="1888 г"/>
        </w:smartTagPr>
        <w:r w:rsidRPr="00667D28">
          <w:rPr>
            <w:rFonts w:ascii="Times New Roman" w:hAnsi="Times New Roman"/>
            <w:sz w:val="24"/>
            <w:szCs w:val="24"/>
          </w:rPr>
          <w:t>1888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67D28">
        <w:rPr>
          <w:rFonts w:ascii="Times New Roman" w:hAnsi="Times New Roman"/>
          <w:sz w:val="24"/>
          <w:szCs w:val="24"/>
        </w:rPr>
        <w:t xml:space="preserve">омимо Де Бирс, в стране добывают алмазы BHP Billiton и Firestone. Алмазогранильная промышленность </w:t>
      </w:r>
      <w:r>
        <w:rPr>
          <w:rFonts w:ascii="Times New Roman" w:hAnsi="Times New Roman"/>
          <w:sz w:val="24"/>
          <w:szCs w:val="24"/>
        </w:rPr>
        <w:t xml:space="preserve">в стране </w:t>
      </w:r>
      <w:r w:rsidRPr="00667D28">
        <w:rPr>
          <w:rFonts w:ascii="Times New Roman" w:hAnsi="Times New Roman"/>
          <w:sz w:val="24"/>
          <w:szCs w:val="24"/>
        </w:rPr>
        <w:t xml:space="preserve">не развита, ЮАР выступает только в качестве поставщика алмазного сырья. Данная ситуация сложилась исходя из первоначальных условий становления алмазодобывающей промышленности, страна была колонией Великобритании до </w:t>
      </w:r>
      <w:smartTag w:uri="urn:schemas-microsoft-com:office:smarttags" w:element="metricconverter">
        <w:smartTagPr>
          <w:attr w:name="ProductID" w:val="1961 г"/>
        </w:smartTagPr>
        <w:r w:rsidRPr="00667D28">
          <w:rPr>
            <w:rFonts w:ascii="Times New Roman" w:hAnsi="Times New Roman"/>
            <w:sz w:val="24"/>
            <w:szCs w:val="24"/>
          </w:rPr>
          <w:t>1961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667D28">
          <w:rPr>
            <w:rFonts w:ascii="Times New Roman" w:hAnsi="Times New Roman"/>
            <w:sz w:val="24"/>
            <w:szCs w:val="24"/>
          </w:rPr>
          <w:t>г</w:t>
        </w:r>
      </w:smartTag>
      <w:r w:rsidRPr="00667D28">
        <w:rPr>
          <w:rFonts w:ascii="Times New Roman" w:hAnsi="Times New Roman"/>
          <w:sz w:val="24"/>
          <w:szCs w:val="24"/>
        </w:rPr>
        <w:t>. Многочисленные войны, режим апартеида и многое другое повлияло на становление и эффективное развитие АБК страны. В 2014 году, ЮАР произвела 7,4 млн. карат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алмазов, на сумму 1,22 млрд. долл., став пятым в мире производителем алмазов с точки зрения стоимости, согласно данным Кимберлийского процесса.</w:t>
      </w:r>
    </w:p>
    <w:p w:rsidR="00B92B54" w:rsidRPr="00667D28" w:rsidRDefault="00B92B54" w:rsidP="00667D28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Первые алмазы в Индии были обнаружены и стали добываться ещё во 2 тысячелетии до н.э. Индия владела монополией на поставки алмазов на мировой рынок вплоть до обнаружения алмазов в начале XVIII в. в Бразилии. В настоящее время Индия занимает незначительную долю в мировом производстве алмазов, но занимает первое место по производству бриллиантов и относится к ведущим странам-посредникам в торговых операциях.</w:t>
      </w:r>
    </w:p>
    <w:p w:rsidR="00B92B54" w:rsidRPr="00667D28" w:rsidRDefault="00B92B54" w:rsidP="00667D28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КНР обладает крупнейшими в Азии запасами алмазов, которые оцениваются в 23 млн. карат. За последние 50 лет в Китае было открыто более 20 кимберлитовых трубок и свыше 100 алмазных россыпей. Китай является вторым рынком в мире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67D28">
        <w:rPr>
          <w:rFonts w:ascii="Times New Roman" w:hAnsi="Times New Roman"/>
          <w:sz w:val="24"/>
          <w:szCs w:val="24"/>
        </w:rPr>
        <w:t>потреблени</w:t>
      </w:r>
      <w:r>
        <w:rPr>
          <w:rFonts w:ascii="Times New Roman" w:hAnsi="Times New Roman"/>
          <w:sz w:val="24"/>
          <w:szCs w:val="24"/>
        </w:rPr>
        <w:t>ю</w:t>
      </w:r>
      <w:r w:rsidRPr="00667D28">
        <w:rPr>
          <w:rFonts w:ascii="Times New Roman" w:hAnsi="Times New Roman"/>
          <w:sz w:val="24"/>
          <w:szCs w:val="24"/>
        </w:rPr>
        <w:t xml:space="preserve"> бриллиантов. Шанхайская алмазная биржа является одной из крупнейших в мире, её торговый оборот в </w:t>
      </w:r>
      <w:smartTag w:uri="urn:schemas-microsoft-com:office:smarttags" w:element="metricconverter">
        <w:smartTagPr>
          <w:attr w:name="ProductID" w:val="2013 г"/>
        </w:smartTagPr>
        <w:r w:rsidRPr="00667D28">
          <w:rPr>
            <w:rFonts w:ascii="Times New Roman" w:hAnsi="Times New Roman"/>
            <w:sz w:val="24"/>
            <w:szCs w:val="24"/>
          </w:rPr>
          <w:t>2013 г</w:t>
        </w:r>
      </w:smartTag>
      <w:r w:rsidRPr="00667D28">
        <w:rPr>
          <w:rFonts w:ascii="Times New Roman" w:hAnsi="Times New Roman"/>
          <w:sz w:val="24"/>
          <w:szCs w:val="24"/>
        </w:rPr>
        <w:t>. составлял около 4,3 млрд. долл. Гранильная отрасль в Китае довольно небольшая и состоит из 20 000 – 30 000 человек, большинство компаний находятся в городах Панью (Гуанчжоу) и Шэньчжэнь (Шаньдун). Зато по производству недорого</w:t>
      </w:r>
      <w:r>
        <w:rPr>
          <w:rFonts w:ascii="Times New Roman" w:hAnsi="Times New Roman"/>
          <w:sz w:val="24"/>
          <w:szCs w:val="24"/>
        </w:rPr>
        <w:t>го</w:t>
      </w:r>
      <w:r w:rsidRPr="00667D28">
        <w:rPr>
          <w:rFonts w:ascii="Times New Roman" w:hAnsi="Times New Roman"/>
          <w:sz w:val="24"/>
          <w:szCs w:val="24"/>
        </w:rPr>
        <w:t xml:space="preserve"> (в сравнении с западными производителями) и качественного оборудования для заводов алмазно-бриллиантовой промышленности превосходит индийских производителей. </w:t>
      </w:r>
    </w:p>
    <w:p w:rsidR="00B92B54" w:rsidRPr="00667D28" w:rsidRDefault="00B92B54" w:rsidP="00667D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Все вышеперечисленные аспекты определяют возможные варианты для сотрудничества. Перспективные варианты сотрудничества (рис.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4) выбраны по следующим показателям.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- Функционирование алмазно</w:t>
      </w:r>
      <w:r>
        <w:rPr>
          <w:rFonts w:ascii="Times New Roman" w:hAnsi="Times New Roman"/>
          <w:sz w:val="24"/>
          <w:szCs w:val="24"/>
        </w:rPr>
        <w:t>-</w:t>
      </w:r>
      <w:r w:rsidRPr="00667D28">
        <w:rPr>
          <w:rFonts w:ascii="Times New Roman" w:hAnsi="Times New Roman"/>
          <w:sz w:val="24"/>
          <w:szCs w:val="24"/>
        </w:rPr>
        <w:t>бриллиантовой промышленности основывается на использовании алмазного сырья. Российская компания АЛРОСА занимает перв</w:t>
      </w:r>
      <w:r>
        <w:rPr>
          <w:rFonts w:ascii="Times New Roman" w:hAnsi="Times New Roman"/>
          <w:sz w:val="24"/>
          <w:szCs w:val="24"/>
        </w:rPr>
        <w:t>ое место в мире по алмазодобыче;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- Вышеперечисленные условия особого правового режима ТОСЭР создадут благоприятный климат для начала организации мирового алмазогранильного и впоследствии ювелирного центра</w:t>
      </w:r>
      <w:r>
        <w:rPr>
          <w:rFonts w:ascii="Times New Roman" w:hAnsi="Times New Roman"/>
          <w:sz w:val="24"/>
          <w:szCs w:val="24"/>
        </w:rPr>
        <w:t>;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- Совместный опыт огранщиков и ювелиров и стран БРИКС, послужит основой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667D28">
        <w:rPr>
          <w:rFonts w:ascii="Times New Roman" w:hAnsi="Times New Roman"/>
          <w:sz w:val="24"/>
          <w:szCs w:val="24"/>
        </w:rPr>
        <w:t>налаживания высококачественного производства бриллиантов и ювелирных изделий</w:t>
      </w:r>
      <w:r>
        <w:rPr>
          <w:rFonts w:ascii="Times New Roman" w:hAnsi="Times New Roman"/>
          <w:sz w:val="24"/>
          <w:szCs w:val="24"/>
        </w:rPr>
        <w:t>;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 xml:space="preserve">- Опыт китайских производителей оборудования для алмазогранильной и ювелирной отрасли, позволит наладить высокотехнологичное производство на предприятиях «Бриллиантовой долины». </w:t>
      </w:r>
      <w:r>
        <w:rPr>
          <w:rFonts w:ascii="Times New Roman" w:hAnsi="Times New Roman"/>
          <w:sz w:val="24"/>
          <w:szCs w:val="24"/>
        </w:rPr>
        <w:t>О</w:t>
      </w:r>
      <w:r w:rsidRPr="00667D28">
        <w:rPr>
          <w:rFonts w:ascii="Times New Roman" w:hAnsi="Times New Roman"/>
          <w:sz w:val="24"/>
          <w:szCs w:val="24"/>
        </w:rPr>
        <w:t>ткрытие совместного завода в дальнейшем позволит сократить издержки по основным материальным фондам</w:t>
      </w:r>
      <w:r>
        <w:rPr>
          <w:rFonts w:ascii="Times New Roman" w:hAnsi="Times New Roman"/>
          <w:sz w:val="24"/>
          <w:szCs w:val="24"/>
        </w:rPr>
        <w:t>;</w:t>
      </w:r>
      <w:r w:rsidRPr="00667D28">
        <w:rPr>
          <w:rFonts w:ascii="Times New Roman" w:hAnsi="Times New Roman"/>
          <w:sz w:val="24"/>
          <w:szCs w:val="24"/>
        </w:rPr>
        <w:t xml:space="preserve"> 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- Торговое представительство бриллиантового союза БРИКС в крупнейших торговых центрах посредством многолетнего опыта компаний-диамантеров Индии и КНР откроет возможность эффективного продвижения и продаж конечного продукта сертифицированных бриллиантов и изделий с бриллиантами.</w: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637C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11" o:spid="_x0000_i1029" type="#_x0000_t75" style="width:299.5pt;height:162pt;visibility:visible">
            <v:imagedata r:id="rId11" o:title=""/>
          </v:shape>
        </w:pict>
      </w:r>
    </w:p>
    <w:p w:rsidR="00B92B54" w:rsidRPr="00667D28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67D28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4. Варианты сотрудничества стран БРИКС.</w:t>
      </w:r>
    </w:p>
    <w:p w:rsidR="00B92B54" w:rsidRPr="0000331A" w:rsidRDefault="00B92B54" w:rsidP="00667D28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  <w:r w:rsidRPr="00667D28">
        <w:rPr>
          <w:rFonts w:ascii="Times New Roman" w:hAnsi="Times New Roman"/>
          <w:sz w:val="24"/>
          <w:szCs w:val="24"/>
        </w:rPr>
        <w:t>В заключении можно отметить следующее: эффективное сотрудничество стран БРИКС по проекту «Бриллиантовая долина» приведёт к созданию мирового алмазно-бриллиантового кластера на территории Республики Якутия</w:t>
      </w:r>
      <w:r>
        <w:rPr>
          <w:rFonts w:ascii="Times New Roman" w:hAnsi="Times New Roman"/>
          <w:sz w:val="24"/>
          <w:szCs w:val="24"/>
        </w:rPr>
        <w:t>.</w:t>
      </w:r>
      <w:r w:rsidRPr="00667D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67D28">
        <w:rPr>
          <w:rFonts w:ascii="Times New Roman" w:hAnsi="Times New Roman"/>
          <w:sz w:val="24"/>
          <w:szCs w:val="24"/>
        </w:rPr>
        <w:t xml:space="preserve">омимо положительного </w:t>
      </w:r>
      <w:r>
        <w:rPr>
          <w:rFonts w:ascii="Times New Roman" w:hAnsi="Times New Roman"/>
          <w:sz w:val="24"/>
          <w:szCs w:val="24"/>
        </w:rPr>
        <w:t xml:space="preserve">воздействия на </w:t>
      </w:r>
      <w:r w:rsidRPr="00667D28">
        <w:rPr>
          <w:rFonts w:ascii="Times New Roman" w:hAnsi="Times New Roman"/>
          <w:sz w:val="24"/>
          <w:szCs w:val="24"/>
        </w:rPr>
        <w:t>социально-экономическо</w:t>
      </w:r>
      <w:r>
        <w:rPr>
          <w:rFonts w:ascii="Times New Roman" w:hAnsi="Times New Roman"/>
          <w:sz w:val="24"/>
          <w:szCs w:val="24"/>
        </w:rPr>
        <w:t>е</w:t>
      </w:r>
      <w:r w:rsidRPr="00667D28">
        <w:rPr>
          <w:rFonts w:ascii="Times New Roman" w:hAnsi="Times New Roman"/>
          <w:sz w:val="24"/>
          <w:szCs w:val="24"/>
        </w:rPr>
        <w:t xml:space="preserve"> развити</w:t>
      </w:r>
      <w:r>
        <w:rPr>
          <w:rFonts w:ascii="Times New Roman" w:hAnsi="Times New Roman"/>
          <w:sz w:val="24"/>
          <w:szCs w:val="24"/>
        </w:rPr>
        <w:t>е</w:t>
      </w:r>
      <w:r w:rsidRPr="00667D28">
        <w:rPr>
          <w:rFonts w:ascii="Times New Roman" w:hAnsi="Times New Roman"/>
          <w:sz w:val="24"/>
          <w:szCs w:val="24"/>
        </w:rPr>
        <w:t xml:space="preserve"> стран-участни</w:t>
      </w:r>
      <w:r>
        <w:rPr>
          <w:rFonts w:ascii="Times New Roman" w:hAnsi="Times New Roman"/>
          <w:sz w:val="24"/>
          <w:szCs w:val="24"/>
        </w:rPr>
        <w:t>ц</w:t>
      </w:r>
      <w:r w:rsidRPr="00667D28">
        <w:rPr>
          <w:rFonts w:ascii="Times New Roman" w:hAnsi="Times New Roman"/>
          <w:sz w:val="24"/>
          <w:szCs w:val="24"/>
        </w:rPr>
        <w:t xml:space="preserve"> это также отразится на укреплении политического положения союза БРИКС на мировом олимпе. В своё время англо-американская компания Де Бирс ввела коммерческий слоган «Бриллианты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7D28">
        <w:rPr>
          <w:rFonts w:ascii="Times New Roman" w:hAnsi="Times New Roman"/>
          <w:sz w:val="24"/>
          <w:szCs w:val="24"/>
        </w:rPr>
        <w:t>навсегда»</w:t>
      </w:r>
      <w:r>
        <w:rPr>
          <w:rFonts w:ascii="Times New Roman" w:hAnsi="Times New Roman"/>
          <w:sz w:val="24"/>
          <w:szCs w:val="24"/>
        </w:rPr>
        <w:t>. Б</w:t>
      </w:r>
      <w:r w:rsidRPr="00667D2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</w:t>
      </w:r>
      <w:r w:rsidRPr="00667D28">
        <w:rPr>
          <w:rFonts w:ascii="Times New Roman" w:hAnsi="Times New Roman"/>
          <w:sz w:val="24"/>
          <w:szCs w:val="24"/>
        </w:rPr>
        <w:t xml:space="preserve">нд «Бриллиантовый союз БРИКС» может стать не просто рекламным слоганом, </w:t>
      </w:r>
      <w:r>
        <w:rPr>
          <w:rFonts w:ascii="Times New Roman" w:hAnsi="Times New Roman"/>
          <w:sz w:val="24"/>
          <w:szCs w:val="24"/>
        </w:rPr>
        <w:t xml:space="preserve">но и </w:t>
      </w:r>
      <w:r w:rsidRPr="00667D28">
        <w:rPr>
          <w:rFonts w:ascii="Times New Roman" w:hAnsi="Times New Roman"/>
          <w:sz w:val="24"/>
          <w:szCs w:val="24"/>
        </w:rPr>
        <w:t xml:space="preserve">символом становления многополярного мира. </w:t>
      </w:r>
    </w:p>
    <w:sectPr w:rsidR="00B92B54" w:rsidRPr="0000331A" w:rsidSect="00667D28">
      <w:footerReference w:type="even" r:id="rId12"/>
      <w:footerReference w:type="default" r:id="rId13"/>
      <w:footnotePr>
        <w:numRestart w:val="eachPage"/>
      </w:footnotePr>
      <w:pgSz w:w="11906" w:h="16838" w:code="9"/>
      <w:pgMar w:top="1134" w:right="1418" w:bottom="1134" w:left="1418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54" w:rsidRDefault="00B92B54" w:rsidP="0000331A">
      <w:pPr>
        <w:spacing w:after="0" w:line="240" w:lineRule="auto"/>
      </w:pPr>
      <w:r>
        <w:separator/>
      </w:r>
    </w:p>
  </w:endnote>
  <w:endnote w:type="continuationSeparator" w:id="0">
    <w:p w:rsidR="00B92B54" w:rsidRDefault="00B92B54" w:rsidP="0000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54" w:rsidRDefault="00B92B54" w:rsidP="009A045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92B54" w:rsidRDefault="00B92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B54" w:rsidRPr="005808E4" w:rsidRDefault="00B92B54" w:rsidP="005808E4">
    <w:pPr>
      <w:pStyle w:val="Footer"/>
      <w:framePr w:wrap="around" w:vAnchor="text" w:hAnchor="margin" w:xAlign="center" w:y="1"/>
      <w:spacing w:after="0" w:line="240" w:lineRule="auto"/>
      <w:rPr>
        <w:rStyle w:val="PageNumber"/>
        <w:rFonts w:ascii="Times New Roman" w:hAnsi="Times New Roman"/>
        <w:sz w:val="24"/>
        <w:szCs w:val="24"/>
      </w:rPr>
    </w:pPr>
    <w:r w:rsidRPr="005808E4">
      <w:rPr>
        <w:rStyle w:val="PageNumber"/>
        <w:rFonts w:ascii="Times New Roman" w:hAnsi="Times New Roman"/>
        <w:sz w:val="24"/>
        <w:szCs w:val="24"/>
      </w:rPr>
      <w:fldChar w:fldCharType="begin"/>
    </w:r>
    <w:r w:rsidRPr="005808E4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5808E4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1</w:t>
    </w:r>
    <w:r w:rsidRPr="005808E4">
      <w:rPr>
        <w:rStyle w:val="PageNumber"/>
        <w:rFonts w:ascii="Times New Roman" w:hAnsi="Times New Roman"/>
        <w:sz w:val="24"/>
        <w:szCs w:val="24"/>
      </w:rPr>
      <w:fldChar w:fldCharType="end"/>
    </w:r>
  </w:p>
  <w:p w:rsidR="00B92B54" w:rsidRPr="005808E4" w:rsidRDefault="00B92B54" w:rsidP="005808E4">
    <w:pPr>
      <w:pStyle w:val="Footer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54" w:rsidRDefault="00B92B54" w:rsidP="0000331A">
      <w:pPr>
        <w:spacing w:after="0" w:line="240" w:lineRule="auto"/>
      </w:pPr>
      <w:r>
        <w:separator/>
      </w:r>
    </w:p>
  </w:footnote>
  <w:footnote w:type="continuationSeparator" w:id="0">
    <w:p w:rsidR="00B92B54" w:rsidRDefault="00B92B54" w:rsidP="0000331A">
      <w:pPr>
        <w:spacing w:after="0" w:line="240" w:lineRule="auto"/>
      </w:pPr>
      <w:r>
        <w:continuationSeparator/>
      </w:r>
    </w:p>
  </w:footnote>
  <w:footnote w:id="1">
    <w:p w:rsidR="00B92B54" w:rsidRDefault="00B92B54" w:rsidP="00117743">
      <w:pPr>
        <w:pStyle w:val="FootnoteText"/>
        <w:ind w:firstLine="709"/>
        <w:jc w:val="both"/>
      </w:pPr>
      <w:r w:rsidRPr="00117743">
        <w:rPr>
          <w:rStyle w:val="FootnoteReference"/>
          <w:rFonts w:ascii="Times New Roman" w:hAnsi="Times New Roman"/>
        </w:rPr>
        <w:footnoteRef/>
      </w:r>
      <w:r w:rsidRPr="00117743">
        <w:rPr>
          <w:rFonts w:ascii="Times New Roman" w:hAnsi="Times New Roman"/>
        </w:rPr>
        <w:t xml:space="preserve"> Сводные данные по ежегодным отчётам ведущих алмазодобывающих компаний.</w:t>
      </w:r>
    </w:p>
  </w:footnote>
  <w:footnote w:id="2">
    <w:p w:rsidR="00B92B54" w:rsidRDefault="00B92B54" w:rsidP="00117743">
      <w:pPr>
        <w:pStyle w:val="FootnoteText"/>
        <w:ind w:firstLine="709"/>
        <w:jc w:val="both"/>
      </w:pPr>
      <w:r w:rsidRPr="00117743">
        <w:rPr>
          <w:rStyle w:val="FootnoteReference"/>
          <w:rFonts w:ascii="Times New Roman" w:hAnsi="Times New Roman"/>
        </w:rPr>
        <w:footnoteRef/>
      </w:r>
      <w:r w:rsidRPr="00117743">
        <w:rPr>
          <w:rFonts w:ascii="Times New Roman" w:hAnsi="Times New Roman"/>
        </w:rPr>
        <w:t xml:space="preserve"> Данные Кимберлийского процесса</w:t>
      </w:r>
      <w:r>
        <w:rPr>
          <w:rFonts w:ascii="Times New Roman" w:hAnsi="Times New Roman"/>
        </w:rPr>
        <w:t>. -</w:t>
      </w:r>
      <w:r w:rsidRPr="00117743">
        <w:rPr>
          <w:rFonts w:ascii="Times New Roman" w:hAnsi="Times New Roman"/>
        </w:rPr>
        <w:t xml:space="preserve"> </w:t>
      </w:r>
      <w:r w:rsidRPr="00117743">
        <w:rPr>
          <w:rFonts w:ascii="Times New Roman" w:hAnsi="Times New Roman"/>
          <w:u w:val="single"/>
        </w:rPr>
        <w:t>kimberleyprocess.com</w:t>
      </w:r>
    </w:p>
  </w:footnote>
  <w:footnote w:id="3">
    <w:p w:rsidR="00B92B54" w:rsidRDefault="00B92B54" w:rsidP="006D5D17">
      <w:pPr>
        <w:pStyle w:val="FootnoteText"/>
        <w:ind w:firstLine="709"/>
        <w:jc w:val="both"/>
      </w:pPr>
      <w:r w:rsidRPr="00117743">
        <w:rPr>
          <w:rStyle w:val="FootnoteReference"/>
          <w:rFonts w:ascii="Times New Roman" w:hAnsi="Times New Roman"/>
        </w:rPr>
        <w:footnoteRef/>
      </w:r>
      <w:r w:rsidRPr="00117743">
        <w:rPr>
          <w:rFonts w:ascii="Times New Roman" w:hAnsi="Times New Roman"/>
        </w:rPr>
        <w:t xml:space="preserve"> </w:t>
      </w:r>
      <w:r w:rsidRPr="00117743">
        <w:rPr>
          <w:rFonts w:ascii="Times New Roman" w:hAnsi="Times New Roman"/>
          <w:bCs/>
        </w:rPr>
        <w:t>Потоцкая</w:t>
      </w:r>
      <w:r w:rsidRPr="00117743">
        <w:rPr>
          <w:rFonts w:ascii="Times New Roman" w:hAnsi="Times New Roman"/>
        </w:rPr>
        <w:t xml:space="preserve"> </w:t>
      </w:r>
      <w:r w:rsidRPr="00117743">
        <w:rPr>
          <w:rFonts w:ascii="Times New Roman" w:hAnsi="Times New Roman"/>
          <w:bCs/>
        </w:rPr>
        <w:t>Т</w:t>
      </w:r>
      <w:r>
        <w:rPr>
          <w:rFonts w:ascii="Times New Roman" w:hAnsi="Times New Roman"/>
          <w:bCs/>
        </w:rPr>
        <w:t>. (</w:t>
      </w:r>
      <w:r w:rsidRPr="00117743">
        <w:rPr>
          <w:rFonts w:ascii="Times New Roman" w:hAnsi="Times New Roman"/>
        </w:rPr>
        <w:t xml:space="preserve">к. г. н., </w:t>
      </w:r>
      <w:r>
        <w:rPr>
          <w:rFonts w:ascii="Times New Roman" w:hAnsi="Times New Roman"/>
        </w:rPr>
        <w:t xml:space="preserve">доцент) </w:t>
      </w:r>
      <w:r w:rsidRPr="00117743">
        <w:rPr>
          <w:rFonts w:ascii="Times New Roman" w:hAnsi="Times New Roman"/>
          <w:bCs/>
        </w:rPr>
        <w:t>Сегментация мирового рынка бриллиантов: проблемы и реалии</w:t>
      </w:r>
      <w:r>
        <w:rPr>
          <w:rFonts w:ascii="Times New Roman" w:hAnsi="Times New Roman"/>
          <w:bCs/>
        </w:rPr>
        <w:t>.</w:t>
      </w:r>
    </w:p>
  </w:footnote>
  <w:footnote w:id="4">
    <w:p w:rsidR="00B92B54" w:rsidRDefault="00B92B54" w:rsidP="00117743">
      <w:pPr>
        <w:pStyle w:val="FootnoteText"/>
        <w:ind w:firstLine="709"/>
        <w:jc w:val="both"/>
      </w:pPr>
      <w:r w:rsidRPr="00117743">
        <w:rPr>
          <w:rStyle w:val="FootnoteReference"/>
          <w:rFonts w:ascii="Times New Roman" w:hAnsi="Times New Roman"/>
        </w:rPr>
        <w:footnoteRef/>
      </w:r>
      <w:r w:rsidRPr="00117743">
        <w:rPr>
          <w:rFonts w:ascii="Times New Roman" w:hAnsi="Times New Roman"/>
        </w:rPr>
        <w:t xml:space="preserve"> Федеральный закон от 29.12.2014 N 473-ФЗ (ред. от 13.07.2015) "О территориях опережающего социально-экономического развития в Российской Федерации"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00B94"/>
    <w:multiLevelType w:val="hybridMultilevel"/>
    <w:tmpl w:val="0A8E3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D27787"/>
    <w:multiLevelType w:val="multilevel"/>
    <w:tmpl w:val="9A10DB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31A"/>
    <w:rsid w:val="00002AC0"/>
    <w:rsid w:val="0000331A"/>
    <w:rsid w:val="000A1449"/>
    <w:rsid w:val="000A6AED"/>
    <w:rsid w:val="000E0086"/>
    <w:rsid w:val="000E6C7D"/>
    <w:rsid w:val="00115450"/>
    <w:rsid w:val="00117743"/>
    <w:rsid w:val="00147015"/>
    <w:rsid w:val="00190E09"/>
    <w:rsid w:val="001F564C"/>
    <w:rsid w:val="00230479"/>
    <w:rsid w:val="002A780C"/>
    <w:rsid w:val="002D4BCD"/>
    <w:rsid w:val="0030514A"/>
    <w:rsid w:val="003349E5"/>
    <w:rsid w:val="003410D2"/>
    <w:rsid w:val="003808AA"/>
    <w:rsid w:val="00380CA0"/>
    <w:rsid w:val="004042E9"/>
    <w:rsid w:val="004274C6"/>
    <w:rsid w:val="00436768"/>
    <w:rsid w:val="004C07F6"/>
    <w:rsid w:val="00516B89"/>
    <w:rsid w:val="00542A28"/>
    <w:rsid w:val="0056497B"/>
    <w:rsid w:val="005808E4"/>
    <w:rsid w:val="005D6CDC"/>
    <w:rsid w:val="005D78A1"/>
    <w:rsid w:val="00630A75"/>
    <w:rsid w:val="00663449"/>
    <w:rsid w:val="00667D28"/>
    <w:rsid w:val="006A028C"/>
    <w:rsid w:val="006D5D17"/>
    <w:rsid w:val="006E2EDD"/>
    <w:rsid w:val="007221A3"/>
    <w:rsid w:val="00796259"/>
    <w:rsid w:val="0083695F"/>
    <w:rsid w:val="0089030F"/>
    <w:rsid w:val="008A2B8A"/>
    <w:rsid w:val="008C13F6"/>
    <w:rsid w:val="00933E25"/>
    <w:rsid w:val="009637C0"/>
    <w:rsid w:val="009A0459"/>
    <w:rsid w:val="009B3756"/>
    <w:rsid w:val="00A36FF3"/>
    <w:rsid w:val="00A65E8A"/>
    <w:rsid w:val="00A66945"/>
    <w:rsid w:val="00A71BFE"/>
    <w:rsid w:val="00AC0C5D"/>
    <w:rsid w:val="00AE3765"/>
    <w:rsid w:val="00B21F7B"/>
    <w:rsid w:val="00B228D7"/>
    <w:rsid w:val="00B33287"/>
    <w:rsid w:val="00B43C87"/>
    <w:rsid w:val="00B65157"/>
    <w:rsid w:val="00B92B54"/>
    <w:rsid w:val="00C74E66"/>
    <w:rsid w:val="00D21771"/>
    <w:rsid w:val="00D23A77"/>
    <w:rsid w:val="00D43F54"/>
    <w:rsid w:val="00D9081F"/>
    <w:rsid w:val="00DB5902"/>
    <w:rsid w:val="00DC72C0"/>
    <w:rsid w:val="00DE30B2"/>
    <w:rsid w:val="00E167B9"/>
    <w:rsid w:val="00E61BF8"/>
    <w:rsid w:val="00E66AF1"/>
    <w:rsid w:val="00EC3010"/>
    <w:rsid w:val="00F24216"/>
    <w:rsid w:val="00F37E53"/>
    <w:rsid w:val="00F4609E"/>
    <w:rsid w:val="00F86679"/>
    <w:rsid w:val="00F91222"/>
    <w:rsid w:val="00F95ED6"/>
    <w:rsid w:val="00FC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31A"/>
    <w:pPr>
      <w:suppressAutoHyphens/>
      <w:autoSpaceDN w:val="0"/>
      <w:spacing w:after="200" w:line="276" w:lineRule="auto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7E5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7E53"/>
    <w:rPr>
      <w:rFonts w:ascii="Cambria" w:hAnsi="Cambria" w:cs="Times New Roman"/>
      <w:b/>
      <w:bCs/>
      <w:color w:val="365F91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rsid w:val="000033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0331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0331A"/>
    <w:rPr>
      <w:rFonts w:cs="Times New Roman"/>
      <w:position w:val="0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003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33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331A"/>
    <w:pPr>
      <w:ind w:left="720"/>
    </w:pPr>
  </w:style>
  <w:style w:type="paragraph" w:styleId="Footer">
    <w:name w:val="footer"/>
    <w:basedOn w:val="Normal"/>
    <w:link w:val="FooterChar"/>
    <w:uiPriority w:val="99"/>
    <w:rsid w:val="005808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4B5D"/>
    <w:rPr>
      <w:lang w:eastAsia="en-US"/>
    </w:rPr>
  </w:style>
  <w:style w:type="character" w:styleId="PageNumber">
    <w:name w:val="page number"/>
    <w:basedOn w:val="DefaultParagraphFont"/>
    <w:uiPriority w:val="99"/>
    <w:rsid w:val="005808E4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808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4B5D"/>
    <w:rPr>
      <w:lang w:eastAsia="en-US"/>
    </w:rPr>
  </w:style>
  <w:style w:type="paragraph" w:styleId="Caption">
    <w:name w:val="caption"/>
    <w:basedOn w:val="Normal"/>
    <w:next w:val="Normal"/>
    <w:uiPriority w:val="99"/>
    <w:qFormat/>
    <w:locked/>
    <w:rsid w:val="0011774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10</Pages>
  <Words>2677</Words>
  <Characters>15260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</dc:title>
  <dc:subject/>
  <dc:creator>Admin</dc:creator>
  <cp:keywords/>
  <dc:description/>
  <cp:lastModifiedBy>1</cp:lastModifiedBy>
  <cp:revision>6</cp:revision>
  <cp:lastPrinted>2015-12-25T06:57:00Z</cp:lastPrinted>
  <dcterms:created xsi:type="dcterms:W3CDTF">2015-12-25T11:26:00Z</dcterms:created>
  <dcterms:modified xsi:type="dcterms:W3CDTF">2015-12-26T12:16:00Z</dcterms:modified>
</cp:coreProperties>
</file>