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E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Горбунова</w:t>
      </w:r>
      <w:r w:rsidR="00C747EE"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М</w:t>
      </w:r>
      <w:r w:rsidR="00C747EE"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.Л.</w:t>
      </w:r>
    </w:p>
    <w:p w:rsid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д.э.н.,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профессор,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="00C747EE" w:rsidRPr="00C747EE">
        <w:rPr>
          <w:rFonts w:ascii="Times New Roman" w:hAnsi="Times New Roman"/>
          <w:sz w:val="24"/>
          <w:szCs w:val="24"/>
        </w:rPr>
        <w:t xml:space="preserve">и.о. зав. кафедрой </w:t>
      </w:r>
      <w:r w:rsidRPr="00C747EE">
        <w:rPr>
          <w:rFonts w:ascii="Times New Roman" w:hAnsi="Times New Roman"/>
          <w:sz w:val="24"/>
          <w:szCs w:val="24"/>
        </w:rPr>
        <w:t>Институт</w:t>
      </w:r>
      <w:r w:rsid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предпринимательства</w:t>
      </w:r>
      <w:r w:rsidR="00C747EE">
        <w:rPr>
          <w:rFonts w:ascii="Times New Roman" w:hAnsi="Times New Roman"/>
          <w:sz w:val="24"/>
          <w:szCs w:val="24"/>
        </w:rPr>
        <w:t xml:space="preserve"> ННГУ</w:t>
      </w:r>
    </w:p>
    <w:p w:rsidR="00C747EE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Комар</w:t>
      </w:r>
      <w:bookmarkStart w:id="0" w:name="_GoBack"/>
      <w:bookmarkEnd w:id="0"/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ов</w:t>
      </w:r>
      <w:r w:rsidR="00C747EE"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И</w:t>
      </w:r>
      <w:r w:rsidR="00C747EE"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.Д.</w:t>
      </w:r>
    </w:p>
    <w:p w:rsid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инженер-лаборант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Институт</w:t>
      </w:r>
      <w:r w:rsidR="00C747EE">
        <w:rPr>
          <w:rFonts w:ascii="Times New Roman" w:hAnsi="Times New Roman"/>
          <w:sz w:val="24"/>
          <w:szCs w:val="24"/>
          <w:shd w:val="clear" w:color="auto" w:fill="F6F6F6"/>
        </w:rPr>
        <w:t>а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отношений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мировой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истории</w:t>
      </w:r>
      <w:r w:rsid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ННГУ</w:t>
      </w:r>
    </w:p>
    <w:p w:rsidR="00C747EE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Овчинников</w:t>
      </w:r>
      <w:r w:rsidR="00C747EE"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В</w:t>
      </w:r>
      <w:r w:rsidR="00C747EE" w:rsidRPr="00C747EE">
        <w:rPr>
          <w:rFonts w:ascii="Times New Roman" w:hAnsi="Times New Roman"/>
          <w:b/>
          <w:i/>
          <w:sz w:val="24"/>
          <w:szCs w:val="24"/>
          <w:shd w:val="clear" w:color="auto" w:fill="F6F6F6"/>
        </w:rPr>
        <w:t>.Н.</w:t>
      </w:r>
    </w:p>
    <w:p w:rsidR="005F231C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аспирант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Институт</w:t>
      </w:r>
      <w:r w:rsidR="00C747EE">
        <w:rPr>
          <w:rFonts w:ascii="Times New Roman" w:hAnsi="Times New Roman"/>
          <w:sz w:val="24"/>
          <w:szCs w:val="24"/>
          <w:shd w:val="clear" w:color="auto" w:fill="F6F6F6"/>
        </w:rPr>
        <w:t>а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экономики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предпринимательства</w:t>
      </w:r>
      <w:r w:rsid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ННГУ</w:t>
      </w:r>
    </w:p>
    <w:p w:rsidR="005F231C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6F6F6"/>
        </w:rPr>
      </w:pPr>
    </w:p>
    <w:p w:rsidR="005F231C" w:rsidRPr="00C747EE" w:rsidRDefault="00C747EE" w:rsidP="00C747EE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b/>
          <w:sz w:val="24"/>
          <w:szCs w:val="24"/>
          <w:shd w:val="clear" w:color="auto" w:fill="F6F6F6"/>
        </w:rPr>
        <w:t>БАНК РАЗВИТИЯ И ПУЛ ВАЛЮТНЫХ РЕЗЕРВОВ БРИКС В АРХИТЕКТУРЕ СОВРЕМЕННОЙ МИРОВОЙ ФИНАНСОВОЙ СИСТЕМЫ</w:t>
      </w:r>
    </w:p>
    <w:p w:rsidR="005F231C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b/>
          <w:i/>
          <w:sz w:val="24"/>
          <w:szCs w:val="24"/>
        </w:rPr>
        <w:t>Ключевые</w:t>
      </w:r>
      <w:r w:rsidR="00C747EE" w:rsidRPr="00C747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47EE">
        <w:rPr>
          <w:rFonts w:ascii="Times New Roman" w:hAnsi="Times New Roman"/>
          <w:b/>
          <w:i/>
          <w:sz w:val="24"/>
          <w:szCs w:val="24"/>
        </w:rPr>
        <w:t>слова: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МБРР,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система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747EE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BRICS,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New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Development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Bank,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Contingency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Reserve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Arrangements,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IMF,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World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Bank,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International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Monetary</w:t>
      </w:r>
      <w:r w:rsidR="00C747EE" w:rsidRPr="00C74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47EE">
        <w:rPr>
          <w:rFonts w:ascii="Times New Roman" w:hAnsi="Times New Roman"/>
          <w:sz w:val="24"/>
          <w:szCs w:val="24"/>
          <w:lang w:val="en-US"/>
        </w:rPr>
        <w:t>System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7EE">
        <w:rPr>
          <w:rFonts w:ascii="Times New Roman" w:hAnsi="Times New Roman"/>
          <w:b/>
          <w:sz w:val="24"/>
          <w:szCs w:val="24"/>
        </w:rPr>
        <w:t>Введение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началом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функционирования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денежно-кредитной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приобрело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определенную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завершенность.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Вызов,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бросаемый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лидерами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развивающегося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ключевым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Бреттон-Вудской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Всемирному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очевиден,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хотя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мощь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институциональный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потенциал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группы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развивающихся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отстают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лидеров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ряду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причин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неустойчивы.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исследования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оценить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управления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контексте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формирующейся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системы.</w:t>
      </w:r>
    </w:p>
    <w:p w:rsidR="005F231C" w:rsidRPr="003645A5" w:rsidRDefault="005F231C" w:rsidP="00C747EE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45A5">
        <w:rPr>
          <w:rFonts w:ascii="Times New Roman" w:hAnsi="Times New Roman"/>
          <w:b/>
          <w:sz w:val="24"/>
          <w:szCs w:val="24"/>
        </w:rPr>
        <w:t>Обзор</w:t>
      </w:r>
      <w:r w:rsidR="00C747EE" w:rsidRPr="003645A5">
        <w:rPr>
          <w:rFonts w:ascii="Times New Roman" w:hAnsi="Times New Roman"/>
          <w:b/>
          <w:sz w:val="24"/>
          <w:szCs w:val="24"/>
        </w:rPr>
        <w:t xml:space="preserve"> </w:t>
      </w:r>
      <w:r w:rsidRPr="003645A5">
        <w:rPr>
          <w:rFonts w:ascii="Times New Roman" w:hAnsi="Times New Roman"/>
          <w:b/>
          <w:sz w:val="24"/>
          <w:szCs w:val="24"/>
        </w:rPr>
        <w:t>литературы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Развитие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интеграции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лидеров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развивающегося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важнейшее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явление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влияющее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структуру,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взаимосвязи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перспективы.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Несмотря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определенную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случайность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возникновения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объединения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разнородность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состава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участников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C747EE">
        <w:rPr>
          <w:rFonts w:ascii="Times New Roman" w:hAnsi="Times New Roman"/>
          <w:sz w:val="24"/>
          <w:szCs w:val="24"/>
        </w:rPr>
        <w:t xml:space="preserve">в </w:t>
      </w:r>
      <w:r w:rsidRPr="00C747EE">
        <w:rPr>
          <w:rFonts w:ascii="Times New Roman" w:hAnsi="Times New Roman"/>
          <w:sz w:val="24"/>
          <w:szCs w:val="24"/>
        </w:rPr>
        <w:t>цивилизационном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смысле,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предпочтений,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данную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группировку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возлагаются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значительные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надежды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отстаивании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интересов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развивающихся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противостояниях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lastRenderedPageBreak/>
        <w:t>Севером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Югом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все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большему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кругу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возникающих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вопросов.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Существование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функционирование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является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вызовом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развивающегося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глобальному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капитализму,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сосредоточением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власти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является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триада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США-ЕС-Япония.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Общее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взаимодействие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группы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ведущими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осуществляться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двумя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путями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C747EE">
        <w:rPr>
          <w:rFonts w:ascii="Times New Roman" w:hAnsi="Times New Roman"/>
          <w:sz w:val="24"/>
          <w:szCs w:val="24"/>
        </w:rPr>
        <w:t>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интегрироваться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существующую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миропорядка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толка;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будут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осуществляться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рамках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вызова,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бросаемого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прозападному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(проамериканскому)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мироустройству,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будут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сопровождаться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системными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конфликтами.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Робинсон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3"/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полагает,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рассматриваемое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многостороннее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взаимодействие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Южно-Африканской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республики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отражает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тренд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интеграцию,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облегчая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транснационального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бизнеса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способствуя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сглаживанию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неравномерности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другой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стороны,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сталкиваясь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вызовами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финансово-экономической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нарастания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противоречий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КНР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Россией,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одной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стороны,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США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другой,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представляется,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все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больше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склоняется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второму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варианту.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Рамещ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Такур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4"/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отмечает,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имеют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интерес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уравновешивании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первую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очередь,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США,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сделать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только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сообща,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хотя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они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являются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типичными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представителями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Третьего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они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могут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отстаивать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интересы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дискуссии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Севером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Югом.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Официальная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повестка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концентрируется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ряде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интересов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стратегического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среди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которых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5"/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1)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стремление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реформе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финансово-экономической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архитектуры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мира;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2)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укрепление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права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против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односторонних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силовых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действий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сохранением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центральной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ООН;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3)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осуществление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модернизации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экономической</w:t>
      </w:r>
      <w:r w:rsidR="00C747EE">
        <w:rPr>
          <w:rFonts w:ascii="Times New Roman" w:hAnsi="Times New Roman"/>
          <w:sz w:val="24"/>
          <w:szCs w:val="24"/>
        </w:rPr>
        <w:t xml:space="preserve"> 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социальной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сферах;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4)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многостороннего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М.Ю.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Головнин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Л.Е.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Гришаева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6"/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подчеркивают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приоритетность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финансово-экономических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проявляются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необходимости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lastRenderedPageBreak/>
        <w:t>совместными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усилиями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решать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проблемы,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обострившиеся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результате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кризиса,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стремлении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усилению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веса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развивающихся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профильных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организациях.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тренд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изменения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продвигаемый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связан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возрастанием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формирующими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рынками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развивающихся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архитектуре.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первоначально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пытались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действовать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рамках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существующих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речь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шла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изменении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веса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этих</w:t>
      </w:r>
      <w:r w:rsidR="00C747EE">
        <w:rPr>
          <w:rFonts w:ascii="Times New Roman" w:hAnsi="Times New Roman"/>
          <w:sz w:val="24"/>
          <w:szCs w:val="24"/>
        </w:rPr>
        <w:t xml:space="preserve"> 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квот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голосов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фонда,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наибольшей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степени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заинтересован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Институционализация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денежно-кредитной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формате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создаваемых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(прямых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аналогов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Бреттон-Вудских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планировалась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заранее.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М.Ю.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Головнина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C747EE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связано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неудачей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Азиатского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фонда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после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кризиса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1997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г.,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неудовлетворенностью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ходом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реформы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логику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была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заложена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дополняющая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существующим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институтам: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«такой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1F6332" w:rsidRPr="00C747EE">
        <w:rPr>
          <w:rFonts w:ascii="Times New Roman" w:hAnsi="Times New Roman"/>
          <w:sz w:val="24"/>
          <w:szCs w:val="24"/>
        </w:rPr>
        <w:t xml:space="preserve">банк </w:t>
      </w:r>
      <w:r w:rsidRPr="00C747EE">
        <w:rPr>
          <w:rFonts w:ascii="Times New Roman" w:hAnsi="Times New Roman"/>
          <w:sz w:val="24"/>
          <w:szCs w:val="24"/>
        </w:rPr>
        <w:t>[Банк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авторов]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дополнил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прилагаемые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усилия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региональных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нацеленные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развитие»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C747EE">
        <w:rPr>
          <w:rFonts w:ascii="Times New Roman" w:hAnsi="Times New Roman"/>
          <w:sz w:val="24"/>
          <w:szCs w:val="24"/>
        </w:rPr>
        <w:t>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Джу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Ксяочюань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9"/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раннем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исследовании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обращает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внимание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определяется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столько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позициями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рынке,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сколько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значением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качестве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держателей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активов,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где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лидирует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большим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отрывом.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Однако,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данного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автора,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однозначного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видения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попыток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построения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нет.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итогам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обзора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литературы</w:t>
      </w:r>
      <w:r w:rsidR="001F6332">
        <w:rPr>
          <w:rFonts w:ascii="Times New Roman" w:hAnsi="Times New Roman"/>
          <w:sz w:val="24"/>
          <w:szCs w:val="24"/>
        </w:rPr>
        <w:t xml:space="preserve"> в отношении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1F6332">
        <w:rPr>
          <w:rFonts w:ascii="Times New Roman" w:hAnsi="Times New Roman"/>
          <w:sz w:val="24"/>
          <w:szCs w:val="24"/>
        </w:rPr>
        <w:t>будущего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активную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институционализацию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наблюдаем,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1F6332">
        <w:rPr>
          <w:rFonts w:ascii="Times New Roman" w:hAnsi="Times New Roman"/>
          <w:sz w:val="24"/>
          <w:szCs w:val="24"/>
        </w:rPr>
        <w:t>можно сказать следующее</w:t>
      </w:r>
      <w:r w:rsidRPr="00C747EE">
        <w:rPr>
          <w:rFonts w:ascii="Times New Roman" w:hAnsi="Times New Roman"/>
          <w:sz w:val="24"/>
          <w:szCs w:val="24"/>
        </w:rPr>
        <w:t>:</w:t>
      </w:r>
    </w:p>
    <w:p w:rsidR="005F231C" w:rsidRPr="00C747EE" w:rsidRDefault="001F6332" w:rsidP="00C747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вполне вероятно</w:t>
      </w:r>
      <w:r w:rsidR="005F231C" w:rsidRPr="00C747EE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базовой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мотивацией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является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обеспечение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стратегической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самостоятельности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стран-участниц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отношению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развитому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миру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(в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первую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очередь,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США),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время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как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валютно-финансовое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сотрудничество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драйвер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БРИКС;</w:t>
      </w:r>
    </w:p>
    <w:p w:rsidR="005F231C" w:rsidRPr="00C747EE" w:rsidRDefault="005F231C" w:rsidP="00C747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реализация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инициатив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осуществляться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учетом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двойственности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траектории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1F6332">
        <w:rPr>
          <w:rFonts w:ascii="Times New Roman" w:hAnsi="Times New Roman"/>
          <w:sz w:val="24"/>
          <w:szCs w:val="24"/>
        </w:rPr>
        <w:t xml:space="preserve">в </w:t>
      </w:r>
      <w:r w:rsidRPr="00C747EE">
        <w:rPr>
          <w:rFonts w:ascii="Times New Roman" w:hAnsi="Times New Roman"/>
          <w:sz w:val="24"/>
          <w:szCs w:val="24"/>
        </w:rPr>
        <w:t>режим</w:t>
      </w:r>
      <w:r w:rsidR="001F6332">
        <w:rPr>
          <w:rFonts w:ascii="Times New Roman" w:hAnsi="Times New Roman"/>
          <w:sz w:val="24"/>
          <w:szCs w:val="24"/>
        </w:rPr>
        <w:t>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кооперации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режим</w:t>
      </w:r>
      <w:r w:rsidR="001F6332">
        <w:rPr>
          <w:rFonts w:ascii="Times New Roman" w:hAnsi="Times New Roman"/>
          <w:sz w:val="24"/>
          <w:szCs w:val="24"/>
        </w:rPr>
        <w:t>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вызова,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поскольку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своей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природе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глобальный,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региональный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многосторонний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формат,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одной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стороны,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отвечает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целям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прозрачности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взаимодействия,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санкционированным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другой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слишком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амбициозен,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чтобы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конкуренции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передела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влияния;</w:t>
      </w:r>
    </w:p>
    <w:p w:rsidR="005F231C" w:rsidRPr="00C747EE" w:rsidRDefault="005F231C" w:rsidP="00C747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положени</w:t>
      </w:r>
      <w:r w:rsidR="001F6332">
        <w:rPr>
          <w:rFonts w:ascii="Times New Roman" w:hAnsi="Times New Roman"/>
          <w:sz w:val="24"/>
          <w:szCs w:val="24"/>
        </w:rPr>
        <w:t>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сфере</w:t>
      </w:r>
      <w:r w:rsidR="001F6332">
        <w:rPr>
          <w:rFonts w:ascii="Times New Roman" w:hAnsi="Times New Roman"/>
          <w:sz w:val="24"/>
          <w:szCs w:val="24"/>
        </w:rPr>
        <w:t xml:space="preserve"> не соответствует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хозяйстве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(наиболее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чувствительные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моменты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расчетах,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представительство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организациях),</w:t>
      </w:r>
    </w:p>
    <w:p w:rsidR="005F231C" w:rsidRPr="00C747EE" w:rsidRDefault="005F231C" w:rsidP="00C747E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трансформация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повестки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3645A5">
        <w:rPr>
          <w:rFonts w:ascii="Times New Roman" w:hAnsi="Times New Roman"/>
          <w:sz w:val="24"/>
          <w:szCs w:val="24"/>
        </w:rPr>
        <w:t xml:space="preserve">направлена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пересмотра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квот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голосов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прямых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аналогов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Бреттон-Вудских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3645A5">
        <w:rPr>
          <w:rFonts w:ascii="Times New Roman" w:hAnsi="Times New Roman"/>
          <w:sz w:val="24"/>
          <w:szCs w:val="24"/>
        </w:rPr>
        <w:t xml:space="preserve"> 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обусловлен</w:t>
      </w:r>
      <w:r w:rsidR="003645A5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текущими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геополитическими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геоэкономическими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событиями.</w:t>
      </w:r>
    </w:p>
    <w:p w:rsidR="005F231C" w:rsidRPr="003645A5" w:rsidRDefault="005F231C" w:rsidP="00C747EE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45A5">
        <w:rPr>
          <w:rFonts w:ascii="Times New Roman" w:hAnsi="Times New Roman"/>
          <w:b/>
          <w:sz w:val="24"/>
          <w:szCs w:val="24"/>
        </w:rPr>
        <w:t>Предпосылки</w:t>
      </w:r>
      <w:r w:rsidR="00C747EE" w:rsidRPr="003645A5">
        <w:rPr>
          <w:rFonts w:ascii="Times New Roman" w:hAnsi="Times New Roman"/>
          <w:b/>
          <w:sz w:val="24"/>
          <w:szCs w:val="24"/>
        </w:rPr>
        <w:t xml:space="preserve"> </w:t>
      </w:r>
      <w:r w:rsidRPr="003645A5">
        <w:rPr>
          <w:rFonts w:ascii="Times New Roman" w:hAnsi="Times New Roman"/>
          <w:b/>
          <w:sz w:val="24"/>
          <w:szCs w:val="24"/>
        </w:rPr>
        <w:t>валютно-финансовой</w:t>
      </w:r>
      <w:r w:rsidR="00C747EE" w:rsidRPr="003645A5">
        <w:rPr>
          <w:rFonts w:ascii="Times New Roman" w:hAnsi="Times New Roman"/>
          <w:b/>
          <w:sz w:val="24"/>
          <w:szCs w:val="24"/>
        </w:rPr>
        <w:t xml:space="preserve"> </w:t>
      </w:r>
      <w:r w:rsidRPr="003645A5">
        <w:rPr>
          <w:rFonts w:ascii="Times New Roman" w:hAnsi="Times New Roman"/>
          <w:b/>
          <w:sz w:val="24"/>
          <w:szCs w:val="24"/>
        </w:rPr>
        <w:t>интеграции</w:t>
      </w:r>
      <w:r w:rsidR="00C747EE" w:rsidRPr="003645A5">
        <w:rPr>
          <w:rFonts w:ascii="Times New Roman" w:hAnsi="Times New Roman"/>
          <w:b/>
          <w:sz w:val="24"/>
          <w:szCs w:val="24"/>
        </w:rPr>
        <w:t xml:space="preserve"> </w:t>
      </w:r>
      <w:r w:rsidRPr="003645A5">
        <w:rPr>
          <w:rFonts w:ascii="Times New Roman" w:hAnsi="Times New Roman"/>
          <w:b/>
          <w:sz w:val="24"/>
          <w:szCs w:val="24"/>
        </w:rPr>
        <w:t>БРИКС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Разделяя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идеи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Джу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Ксяочюаня,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3645A5">
        <w:rPr>
          <w:rFonts w:ascii="Times New Roman" w:hAnsi="Times New Roman"/>
          <w:sz w:val="24"/>
          <w:szCs w:val="24"/>
        </w:rPr>
        <w:t>мы предполагаем,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</w:t>
      </w:r>
      <w:r w:rsidR="003645A5">
        <w:rPr>
          <w:rFonts w:ascii="Times New Roman" w:hAnsi="Times New Roman"/>
          <w:sz w:val="24"/>
          <w:szCs w:val="24"/>
        </w:rPr>
        <w:t>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напрямую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связан</w:t>
      </w:r>
      <w:r w:rsidR="003645A5">
        <w:rPr>
          <w:rFonts w:ascii="Times New Roman" w:hAnsi="Times New Roman"/>
          <w:sz w:val="24"/>
          <w:szCs w:val="24"/>
        </w:rPr>
        <w:t>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финансово-экономическими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возможностями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участников.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Совокупные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золотовалютные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велики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$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5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трлн</w:t>
      </w:r>
      <w:r w:rsidR="003645A5">
        <w:rPr>
          <w:rFonts w:ascii="Times New Roman" w:hAnsi="Times New Roman"/>
          <w:sz w:val="24"/>
          <w:szCs w:val="24"/>
        </w:rPr>
        <w:t>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конец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2013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г.,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табл.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1),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практически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превышает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показатели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«Большой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семерки»,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значимо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условиях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обострения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кризиса,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когда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испытывают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острый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дефицит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преодоления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оттягивают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себя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развивающихся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экономик.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Кроме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того,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сопоставление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совокупных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свидетельствует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масштабах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проблемы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«порчи»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существующих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денег.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3645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Таблица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Динамика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официальных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млрд.</w:t>
      </w:r>
      <w:r w:rsidR="003645A5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долл.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2"/>
        <w:gridCol w:w="1099"/>
        <w:gridCol w:w="1100"/>
        <w:gridCol w:w="1102"/>
        <w:gridCol w:w="1100"/>
        <w:gridCol w:w="1102"/>
        <w:gridCol w:w="1100"/>
        <w:gridCol w:w="1102"/>
      </w:tblGrid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363,6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1966,2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2453,2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2914,2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3255,8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3387,9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3880,4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3899,3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320,3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385,5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БРИКС,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2876,3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3454,3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4023,3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4452,0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4645,0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5092,3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5017,7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Канада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238,9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142,2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1024,6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1051,2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1293,3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1264,7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1268,1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1252,3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Соединенное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Королевство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403,8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572,4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434,3</w:t>
            </w:r>
          </w:p>
        </w:tc>
      </w:tr>
      <w:tr w:rsidR="005F231C" w:rsidRPr="00C747EE" w:rsidTr="007D310B">
        <w:trPr>
          <w:trHeight w:val="300"/>
        </w:trPr>
        <w:tc>
          <w:tcPr>
            <w:tcW w:w="81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G7,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1761,1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2261,8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2568,0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2618,1</w:t>
            </w:r>
          </w:p>
        </w:tc>
        <w:tc>
          <w:tcPr>
            <w:tcW w:w="597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2378,1</w:t>
            </w:r>
          </w:p>
        </w:tc>
        <w:tc>
          <w:tcPr>
            <w:tcW w:w="598" w:type="pct"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2345,4</w:t>
            </w:r>
          </w:p>
        </w:tc>
      </w:tr>
    </w:tbl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Источник: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статистика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расчеты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авторов.</w:t>
      </w:r>
    </w:p>
    <w:p w:rsidR="005F231C" w:rsidRPr="00C747EE" w:rsidRDefault="005F231C" w:rsidP="003645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Таблица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Состояние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млрд.</w:t>
      </w:r>
      <w:r w:rsidR="003645A5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291"/>
        <w:gridCol w:w="1291"/>
        <w:gridCol w:w="1291"/>
        <w:gridCol w:w="1291"/>
        <w:gridCol w:w="1291"/>
        <w:gridCol w:w="1291"/>
      </w:tblGrid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-28,2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-24,3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-47,3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-52,5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-54,2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-81,1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215,4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-31,0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-26,2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-54,5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-62,5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-91,5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-49,2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-16,4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-7,9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-9,1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-19,7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-21,2</w:t>
            </w:r>
          </w:p>
        </w:tc>
      </w:tr>
    </w:tbl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Источник: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статистика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расчеты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авторов.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формирование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влияет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состояние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других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разделов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платежного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баланса: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текущих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операций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(СТО)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(ФС).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анализ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сальдо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текущих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операций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(табл.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показал,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только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КНР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сохраняют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положительное,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хотя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стремительно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сокращающееся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сальдо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ЮАР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ситуация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ухудшается,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негативна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волатильна.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Детальный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анализ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сальдо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текущих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операций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ранний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период),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проведенный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Е.М.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Петриковой,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показал,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C747EE">
        <w:rPr>
          <w:rFonts w:ascii="Times New Roman" w:hAnsi="Times New Roman"/>
          <w:sz w:val="24"/>
          <w:szCs w:val="24"/>
        </w:rPr>
        <w:t>: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наблюдается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повышение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импорта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сравнению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экспортом;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имеет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место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отрицательное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сальдо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баланса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услуг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положительное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Индии;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выявлен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отток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исключением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Китая)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виде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процентов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использованный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Динамика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движения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странах-участницах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соответствии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3645A5">
        <w:rPr>
          <w:rFonts w:ascii="Times New Roman" w:hAnsi="Times New Roman"/>
          <w:sz w:val="24"/>
          <w:szCs w:val="24"/>
        </w:rPr>
        <w:t xml:space="preserve">результатами </w:t>
      </w:r>
      <w:r w:rsidRPr="00C747EE">
        <w:rPr>
          <w:rFonts w:ascii="Times New Roman" w:hAnsi="Times New Roman"/>
          <w:sz w:val="24"/>
          <w:szCs w:val="24"/>
        </w:rPr>
        <w:t>исследовани</w:t>
      </w:r>
      <w:r w:rsidR="003645A5">
        <w:rPr>
          <w:rFonts w:ascii="Times New Roman" w:hAnsi="Times New Roman"/>
          <w:sz w:val="24"/>
          <w:szCs w:val="24"/>
        </w:rPr>
        <w:t>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В.Г.Кандалинцева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относящегося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lastRenderedPageBreak/>
        <w:t>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раннему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периоду)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11"/>
      </w:r>
      <w:r w:rsidRPr="00C747EE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характеризуется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являются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нетто-получателями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инвестиций;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инвестиционная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привлекательность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растет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из-за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присутствия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факторов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емких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внутренних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рынков,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недорогой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квалифицированной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рабочей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силы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значительных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3)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секторная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структура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поступающих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различна: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приток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проектов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прямых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иностранных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(ПИИ)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носит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индустриальный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Индию,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ЮАР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постиндустриальный;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4)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отраслевая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структура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исходящих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неоднородна: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преобладание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сырьевые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отрасли,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обрабатывающие;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5)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оттоках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средств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преобладает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инвестирование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соседние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регионы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привлечением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оф</w:t>
      </w:r>
      <w:r w:rsidR="003645A5">
        <w:rPr>
          <w:rFonts w:ascii="Times New Roman" w:hAnsi="Times New Roman"/>
          <w:sz w:val="24"/>
          <w:szCs w:val="24"/>
        </w:rPr>
        <w:t>ф</w:t>
      </w:r>
      <w:r w:rsidRPr="00C747EE">
        <w:rPr>
          <w:rFonts w:ascii="Times New Roman" w:hAnsi="Times New Roman"/>
          <w:sz w:val="24"/>
          <w:szCs w:val="24"/>
        </w:rPr>
        <w:t>шорных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механизмов;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качество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бизнес-среды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соответствии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рейтингом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ведения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бизнеса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неудовлетворительно,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исключением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ЮАР.</w:t>
      </w:r>
    </w:p>
    <w:p w:rsidR="005F231C" w:rsidRPr="00C747EE" w:rsidRDefault="005F231C" w:rsidP="003645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Таблица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3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Состояние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(СДК)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млн.</w:t>
      </w:r>
      <w:r w:rsidR="003645A5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291"/>
        <w:gridCol w:w="1291"/>
        <w:gridCol w:w="1291"/>
        <w:gridCol w:w="1291"/>
        <w:gridCol w:w="1291"/>
        <w:gridCol w:w="1291"/>
      </w:tblGrid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26,12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-4,55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56,74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43,89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57,95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48,42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64,96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72,97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19,26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15,97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55,66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52,62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66,85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48,82</w:t>
            </w:r>
          </w:p>
        </w:tc>
        <w:tc>
          <w:tcPr>
            <w:tcW w:w="695" w:type="pct"/>
            <w:noWrap/>
            <w:vAlign w:val="center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</w:tr>
      <w:tr w:rsidR="005F231C" w:rsidRPr="00C747EE" w:rsidTr="0042086D">
        <w:trPr>
          <w:trHeight w:val="315"/>
        </w:trPr>
        <w:tc>
          <w:tcPr>
            <w:tcW w:w="829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695" w:type="pct"/>
            <w:noWrap/>
            <w:vAlign w:val="bottom"/>
          </w:tcPr>
          <w:p w:rsidR="005F231C" w:rsidRPr="00C747EE" w:rsidRDefault="005F231C" w:rsidP="003645A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C747EE">
              <w:rPr>
                <w:rFonts w:ascii="Times New Roman" w:hAnsi="Times New Roman"/>
                <w:bCs/>
                <w:spacing w:val="-8"/>
                <w:sz w:val="24"/>
                <w:szCs w:val="24"/>
                <w:lang w:eastAsia="ru-RU"/>
              </w:rPr>
              <w:t>25,24</w:t>
            </w:r>
          </w:p>
        </w:tc>
      </w:tr>
    </w:tbl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Источник: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статистика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расчеты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авторов.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Желуденко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Е.П.</w:t>
      </w:r>
      <w:r w:rsidRPr="00C747EE">
        <w:rPr>
          <w:rFonts w:ascii="Times New Roman" w:hAnsi="Times New Roman"/>
          <w:sz w:val="24"/>
          <w:szCs w:val="24"/>
          <w:vertAlign w:val="superscript"/>
        </w:rPr>
        <w:footnoteReference w:id="12"/>
      </w:r>
      <w:r w:rsidRPr="00C747EE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рассматривая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задолженность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выделяет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ряд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черт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стран-участниц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объединения: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начиная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середины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2000-х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гг.,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внешний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долг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всех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странах,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главным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образом,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увеличения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долгов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частного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сектора;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негосударственного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внешнего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долга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максимальны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среди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(84%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92%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соответственно),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ЮАР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еще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значительны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государственные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заимствования.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Таким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образом,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предпосылки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институционализации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организаций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фонда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подобию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Бреттон-Вудских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(МВФ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Всемирного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существуют.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первую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очередь,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институционализации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зависят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КНР,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чьи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превосходят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вместе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взятые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«Большой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семерки».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Положительную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роль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формировании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помимо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lastRenderedPageBreak/>
        <w:t>внешней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торговли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КНР,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играют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положительное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сальдо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текущих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операций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РФ,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продолжающийся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приток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КНР,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Бразилию.</w:t>
      </w:r>
    </w:p>
    <w:p w:rsidR="005F231C" w:rsidRPr="00571F8C" w:rsidRDefault="005F231C" w:rsidP="00C747EE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1F8C">
        <w:rPr>
          <w:rFonts w:ascii="Times New Roman" w:hAnsi="Times New Roman"/>
          <w:b/>
          <w:sz w:val="24"/>
          <w:szCs w:val="24"/>
        </w:rPr>
        <w:t>Сравнительный</w:t>
      </w:r>
      <w:r w:rsidR="00C747EE" w:rsidRPr="00571F8C">
        <w:rPr>
          <w:rFonts w:ascii="Times New Roman" w:hAnsi="Times New Roman"/>
          <w:b/>
          <w:sz w:val="24"/>
          <w:szCs w:val="24"/>
        </w:rPr>
        <w:t xml:space="preserve"> </w:t>
      </w:r>
      <w:r w:rsidRPr="00571F8C">
        <w:rPr>
          <w:rFonts w:ascii="Times New Roman" w:hAnsi="Times New Roman"/>
          <w:b/>
          <w:sz w:val="24"/>
          <w:szCs w:val="24"/>
        </w:rPr>
        <w:t>анализ</w:t>
      </w:r>
      <w:r w:rsidR="00C747EE" w:rsidRPr="00571F8C">
        <w:rPr>
          <w:rFonts w:ascii="Times New Roman" w:hAnsi="Times New Roman"/>
          <w:b/>
          <w:sz w:val="24"/>
          <w:szCs w:val="24"/>
        </w:rPr>
        <w:t xml:space="preserve"> </w:t>
      </w:r>
      <w:r w:rsidRPr="00571F8C">
        <w:rPr>
          <w:rFonts w:ascii="Times New Roman" w:hAnsi="Times New Roman"/>
          <w:b/>
          <w:sz w:val="24"/>
          <w:szCs w:val="24"/>
        </w:rPr>
        <w:t>институтов</w:t>
      </w:r>
      <w:r w:rsidR="00C747EE" w:rsidRPr="00571F8C">
        <w:rPr>
          <w:rFonts w:ascii="Times New Roman" w:hAnsi="Times New Roman"/>
          <w:b/>
          <w:sz w:val="24"/>
          <w:szCs w:val="24"/>
        </w:rPr>
        <w:t xml:space="preserve"> </w:t>
      </w:r>
      <w:r w:rsidRPr="00571F8C">
        <w:rPr>
          <w:rFonts w:ascii="Times New Roman" w:hAnsi="Times New Roman"/>
          <w:b/>
          <w:sz w:val="24"/>
          <w:szCs w:val="24"/>
        </w:rPr>
        <w:t>БРИКС</w:t>
      </w:r>
      <w:r w:rsidR="00C747EE" w:rsidRPr="00571F8C">
        <w:rPr>
          <w:rFonts w:ascii="Times New Roman" w:hAnsi="Times New Roman"/>
          <w:b/>
          <w:sz w:val="24"/>
          <w:szCs w:val="24"/>
        </w:rPr>
        <w:t xml:space="preserve"> </w:t>
      </w:r>
      <w:r w:rsidRPr="00571F8C">
        <w:rPr>
          <w:rFonts w:ascii="Times New Roman" w:hAnsi="Times New Roman"/>
          <w:b/>
          <w:sz w:val="24"/>
          <w:szCs w:val="24"/>
        </w:rPr>
        <w:t>и</w:t>
      </w:r>
      <w:r w:rsidR="00C747EE" w:rsidRPr="00571F8C">
        <w:rPr>
          <w:rFonts w:ascii="Times New Roman" w:hAnsi="Times New Roman"/>
          <w:b/>
          <w:sz w:val="24"/>
          <w:szCs w:val="24"/>
        </w:rPr>
        <w:t xml:space="preserve"> </w:t>
      </w:r>
      <w:r w:rsidRPr="00571F8C">
        <w:rPr>
          <w:rFonts w:ascii="Times New Roman" w:hAnsi="Times New Roman"/>
          <w:b/>
          <w:sz w:val="24"/>
          <w:szCs w:val="24"/>
        </w:rPr>
        <w:t>Бреттон-Вудской</w:t>
      </w:r>
      <w:r w:rsidR="00C747EE" w:rsidRPr="00571F8C">
        <w:rPr>
          <w:rFonts w:ascii="Times New Roman" w:hAnsi="Times New Roman"/>
          <w:b/>
          <w:sz w:val="24"/>
          <w:szCs w:val="24"/>
        </w:rPr>
        <w:t xml:space="preserve"> </w:t>
      </w:r>
      <w:r w:rsidRPr="00571F8C">
        <w:rPr>
          <w:rFonts w:ascii="Times New Roman" w:hAnsi="Times New Roman"/>
          <w:b/>
          <w:sz w:val="24"/>
          <w:szCs w:val="24"/>
        </w:rPr>
        <w:t>системы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итогам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саммита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Форталезе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(2014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г.)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было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подписано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соглашение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13"/>
      </w:r>
      <w:r w:rsidRPr="00C747EE">
        <w:rPr>
          <w:rFonts w:ascii="Times New Roman" w:hAnsi="Times New Roman"/>
          <w:sz w:val="24"/>
          <w:szCs w:val="24"/>
        </w:rPr>
        <w:t>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располагать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уставным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50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миллиардов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долларов.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Первоочередная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задача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финансирование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инфраструктурных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проектов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странах-участницах,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дальнейшем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займы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будут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предоставляться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другим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развивающимся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участвуют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группе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Договор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условных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C747EE">
          <w:rPr>
            <w:rFonts w:ascii="Times New Roman" w:hAnsi="Times New Roman"/>
            <w:sz w:val="24"/>
            <w:szCs w:val="24"/>
          </w:rPr>
          <w:t>вступил</w:t>
        </w:r>
        <w:r w:rsidR="00C747EE" w:rsidRPr="00C747EE">
          <w:rPr>
            <w:rFonts w:ascii="Times New Roman" w:hAnsi="Times New Roman"/>
            <w:sz w:val="24"/>
            <w:szCs w:val="24"/>
          </w:rPr>
          <w:t xml:space="preserve"> </w:t>
        </w:r>
        <w:r w:rsidRPr="00C747EE">
          <w:rPr>
            <w:rFonts w:ascii="Times New Roman" w:hAnsi="Times New Roman"/>
            <w:sz w:val="24"/>
            <w:szCs w:val="24"/>
          </w:rPr>
          <w:t>в</w:t>
        </w:r>
        <w:r w:rsidR="00C747EE" w:rsidRPr="00C747EE">
          <w:rPr>
            <w:rFonts w:ascii="Times New Roman" w:hAnsi="Times New Roman"/>
            <w:sz w:val="24"/>
            <w:szCs w:val="24"/>
          </w:rPr>
          <w:t xml:space="preserve"> </w:t>
        </w:r>
        <w:r w:rsidRPr="00C747EE">
          <w:rPr>
            <w:rFonts w:ascii="Times New Roman" w:hAnsi="Times New Roman"/>
            <w:sz w:val="24"/>
            <w:szCs w:val="24"/>
          </w:rPr>
          <w:t>силу</w:t>
        </w:r>
      </w:hyperlink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30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июля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2015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г.,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7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июля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2015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Москве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главы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центральных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заключили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соответствующее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операционное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соглашение.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предоставлять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своим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членам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стабилизационные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кредиты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(через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свопы)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выравнивания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торговых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балансов,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отражения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атак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спекулянтов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национальные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валюты.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Капитал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составлять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100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миллиардов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долларов,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41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миллиард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внесет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18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миллиардов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оставшиеся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5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миллиардов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предоставит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Южно-Африканская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Республика.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необходимости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сможет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рассчитывать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помощь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размере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половины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своего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взноса,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ЮАР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вдвое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больше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своего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взноса,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остальные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получат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больше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суммы,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они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внесли.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Первоначальный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предоставит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эффективную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защиту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странам-участницам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кризисов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рынке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14"/>
      </w:r>
      <w:r w:rsidRPr="00C747EE">
        <w:rPr>
          <w:rFonts w:ascii="Times New Roman" w:hAnsi="Times New Roman"/>
          <w:sz w:val="24"/>
          <w:szCs w:val="24"/>
        </w:rPr>
        <w:t>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30%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располагаемой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суммы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распределяется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независимым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решением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управляющих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Пулом,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70%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только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наличии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занимающей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помощи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образом,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имеет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комплементарный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прозападным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институциям.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Попытаемся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сравнить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точки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зрения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целей.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Несмотря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сходность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(стабилизация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курса),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учреждения,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скорее,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несопоставимы.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Перед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учредители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изначально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ставили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широкий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круг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задач,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числе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стратегических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C747EE">
        <w:rPr>
          <w:rFonts w:ascii="Times New Roman" w:hAnsi="Times New Roman"/>
          <w:sz w:val="24"/>
          <w:szCs w:val="24"/>
        </w:rPr>
        <w:t>:</w:t>
      </w:r>
    </w:p>
    <w:p w:rsidR="005F231C" w:rsidRPr="00C747EE" w:rsidRDefault="005F231C" w:rsidP="00C747EE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lastRenderedPageBreak/>
        <w:t>способствовать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рамках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постоянного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учреждения,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обеспечивающего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механизм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консультаций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совместной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работы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проблемами;</w:t>
      </w:r>
    </w:p>
    <w:p w:rsidR="005F231C" w:rsidRPr="00C747EE" w:rsidRDefault="005F231C" w:rsidP="00C747EE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содействовать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расширению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сбалансированному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росту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торговли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благоприятствовать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достижению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поддержанию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высокого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уровня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занятости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реальных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доходов,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производительных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всех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государств-членов,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рассматривая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первоочередные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задачи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политики;</w:t>
      </w:r>
    </w:p>
    <w:p w:rsidR="005F231C" w:rsidRPr="00C747EE" w:rsidRDefault="005F231C" w:rsidP="00C747EE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способствовать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стабильности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поддерживать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упорядоченный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режим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среди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государств-членов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избегать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девальвации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целях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получения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преимущества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конкуренции;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p w:rsidR="005F231C" w:rsidRPr="00C747EE" w:rsidRDefault="005F231C" w:rsidP="00C747EE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оказывать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помощь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многосторонней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расчетов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текущим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операциям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государствами-членами,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устранении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ограничений,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препятствующих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росту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торговли;</w:t>
      </w:r>
    </w:p>
    <w:p w:rsidR="005F231C" w:rsidRPr="00C747EE" w:rsidRDefault="005F231C" w:rsidP="00C747EE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временного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предоставления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Фонда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государствам-членам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соблюдении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адекватных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гарантий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состояние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уверенности,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обеспечивая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самым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возможность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исправления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диспропорций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платежных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балансах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без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применения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мер,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могут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нанести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ущерб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благосостоянию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национальном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уровне;</w:t>
      </w:r>
    </w:p>
    <w:p w:rsidR="005F231C" w:rsidRPr="00C747EE" w:rsidRDefault="005F231C" w:rsidP="00C747EE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соответствии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вышеизложенным,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сокращать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продолжительность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нарушений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равновесия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внешних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платежных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балансов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государств-членов,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уменьшать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масштабы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нарушений.</w:t>
      </w:r>
    </w:p>
    <w:p w:rsidR="005F231C" w:rsidRPr="00C747EE" w:rsidRDefault="005F231C" w:rsidP="00571F8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Таблица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4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Финансовые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параметры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деятельности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МВФ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2177"/>
        <w:gridCol w:w="3649"/>
        <w:gridCol w:w="3532"/>
      </w:tblGrid>
      <w:tr w:rsidR="005F231C" w:rsidRPr="00C747EE" w:rsidTr="008761B4">
        <w:trPr>
          <w:trHeight w:val="349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МВФ</w:t>
            </w:r>
            <w:r w:rsidRPr="00C747EE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footnoteReference w:id="16"/>
            </w:r>
          </w:p>
        </w:tc>
        <w:tc>
          <w:tcPr>
            <w:tcW w:w="3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Пул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валютных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резервов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БРИКС</w:t>
            </w:r>
            <w:r w:rsidRPr="00C747E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5F231C" w:rsidRPr="00C747EE" w:rsidTr="00CA463A">
        <w:trPr>
          <w:trHeight w:val="887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pStyle w:val="af0"/>
              <w:spacing w:before="0" w:beforeAutospacing="0" w:after="0" w:afterAutospacing="0"/>
              <w:jc w:val="both"/>
            </w:pPr>
            <w:r w:rsidRPr="00C747EE">
              <w:rPr>
                <w:bCs/>
                <w:kern w:val="24"/>
              </w:rPr>
              <w:t>Собственные</w:t>
            </w:r>
            <w:r w:rsidR="00C747EE" w:rsidRPr="00C747EE">
              <w:rPr>
                <w:bCs/>
                <w:kern w:val="24"/>
              </w:rPr>
              <w:t xml:space="preserve"> </w:t>
            </w:r>
            <w:r w:rsidRPr="00C747EE">
              <w:rPr>
                <w:bCs/>
                <w:kern w:val="24"/>
              </w:rPr>
              <w:t>средства,</w:t>
            </w:r>
            <w:r w:rsidR="00C747EE" w:rsidRPr="00C747EE">
              <w:rPr>
                <w:bCs/>
                <w:kern w:val="24"/>
              </w:rPr>
              <w:t xml:space="preserve"> </w:t>
            </w:r>
            <w:r w:rsidRPr="00C747EE">
              <w:rPr>
                <w:bCs/>
                <w:kern w:val="24"/>
              </w:rPr>
              <w:t>млрд.</w:t>
            </w:r>
            <w:r w:rsidR="00C747EE" w:rsidRPr="00C747EE">
              <w:rPr>
                <w:bCs/>
                <w:kern w:val="24"/>
              </w:rPr>
              <w:t xml:space="preserve"> </w:t>
            </w:r>
            <w:r w:rsidRPr="00C747EE">
              <w:rPr>
                <w:bCs/>
                <w:kern w:val="24"/>
              </w:rPr>
              <w:t>долл.</w:t>
            </w:r>
          </w:p>
        </w:tc>
        <w:tc>
          <w:tcPr>
            <w:tcW w:w="36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pStyle w:val="af0"/>
              <w:spacing w:before="0" w:beforeAutospacing="0" w:after="0" w:afterAutospacing="0"/>
              <w:jc w:val="both"/>
            </w:pPr>
            <w:r w:rsidRPr="00C747EE">
              <w:rPr>
                <w:bCs/>
                <w:kern w:val="24"/>
                <w:lang w:val="en-US"/>
              </w:rPr>
              <w:t>327</w:t>
            </w:r>
            <w:r w:rsidR="00C747EE" w:rsidRPr="00C747EE">
              <w:rPr>
                <w:bCs/>
                <w:kern w:val="24"/>
              </w:rPr>
              <w:t xml:space="preserve"> </w:t>
            </w:r>
            <w:r w:rsidRPr="00C747EE">
              <w:rPr>
                <w:bCs/>
                <w:kern w:val="24"/>
              </w:rPr>
              <w:t>(</w:t>
            </w:r>
            <w:r w:rsidRPr="00C747EE">
              <w:rPr>
                <w:bCs/>
                <w:kern w:val="24"/>
                <w:lang w:val="en-US"/>
              </w:rPr>
              <w:t>13</w:t>
            </w:r>
            <w:r w:rsidRPr="00C747EE">
              <w:rPr>
                <w:bCs/>
                <w:kern w:val="24"/>
              </w:rPr>
              <w:t>.0</w:t>
            </w:r>
            <w:r w:rsidRPr="00C747EE">
              <w:rPr>
                <w:bCs/>
                <w:kern w:val="24"/>
                <w:lang w:val="en-US"/>
              </w:rPr>
              <w:t>3</w:t>
            </w:r>
            <w:r w:rsidRPr="00C747EE">
              <w:rPr>
                <w:bCs/>
                <w:kern w:val="24"/>
              </w:rPr>
              <w:t>.2015)</w:t>
            </w:r>
          </w:p>
        </w:tc>
        <w:tc>
          <w:tcPr>
            <w:tcW w:w="3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pStyle w:val="af0"/>
              <w:spacing w:before="0" w:beforeAutospacing="0" w:after="0" w:afterAutospacing="0"/>
              <w:jc w:val="both"/>
            </w:pPr>
            <w:r w:rsidRPr="00C747EE">
              <w:rPr>
                <w:bCs/>
                <w:kern w:val="24"/>
              </w:rPr>
              <w:t>100</w:t>
            </w:r>
            <w:r w:rsidR="00C747EE" w:rsidRPr="00C747EE">
              <w:rPr>
                <w:bCs/>
                <w:kern w:val="24"/>
              </w:rPr>
              <w:t xml:space="preserve"> </w:t>
            </w:r>
          </w:p>
        </w:tc>
      </w:tr>
      <w:tr w:rsidR="005F231C" w:rsidRPr="00C747EE" w:rsidTr="008761B4">
        <w:trPr>
          <w:trHeight w:val="682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pStyle w:val="af0"/>
              <w:spacing w:before="0" w:beforeAutospacing="0" w:after="0" w:afterAutospacing="0"/>
              <w:jc w:val="both"/>
            </w:pPr>
            <w:r w:rsidRPr="00C747EE">
              <w:rPr>
                <w:kern w:val="24"/>
              </w:rPr>
              <w:t>Распределение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квот,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текущее</w:t>
            </w:r>
          </w:p>
        </w:tc>
        <w:tc>
          <w:tcPr>
            <w:tcW w:w="36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pStyle w:val="af0"/>
              <w:spacing w:before="0" w:beforeAutospacing="0" w:after="0" w:afterAutospacing="0"/>
              <w:jc w:val="both"/>
            </w:pPr>
            <w:r w:rsidRPr="00C747EE">
              <w:rPr>
                <w:kern w:val="24"/>
              </w:rPr>
              <w:t>США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-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17,68%,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Япония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-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6,56%,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Германия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-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6,12%,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Китай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–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4%,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Индия-2,44%,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Россия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–2,5%</w:t>
            </w:r>
          </w:p>
        </w:tc>
        <w:tc>
          <w:tcPr>
            <w:tcW w:w="3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pStyle w:val="af0"/>
              <w:spacing w:before="0" w:beforeAutospacing="0" w:after="0" w:afterAutospacing="0"/>
              <w:jc w:val="both"/>
            </w:pPr>
            <w:r w:rsidRPr="00C747EE">
              <w:rPr>
                <w:kern w:val="24"/>
              </w:rPr>
              <w:t>Китай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–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41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млрд.</w:t>
            </w:r>
            <w:r w:rsidR="00D41184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$,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Россия,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Бразилия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и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Индия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–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по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18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млрд.</w:t>
            </w:r>
            <w:r w:rsidR="00D41184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$,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ЮАР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–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5</w:t>
            </w:r>
            <w:r w:rsidR="00C747EE" w:rsidRPr="00C747EE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млрд.</w:t>
            </w:r>
            <w:r w:rsidR="00D41184">
              <w:rPr>
                <w:kern w:val="24"/>
              </w:rPr>
              <w:t xml:space="preserve"> </w:t>
            </w:r>
            <w:r w:rsidRPr="00C747EE">
              <w:rPr>
                <w:kern w:val="24"/>
              </w:rPr>
              <w:t>$</w:t>
            </w:r>
            <w:r w:rsidR="00C747EE" w:rsidRPr="00C747EE">
              <w:rPr>
                <w:kern w:val="24"/>
              </w:rPr>
              <w:t xml:space="preserve"> </w:t>
            </w:r>
          </w:p>
        </w:tc>
      </w:tr>
      <w:tr w:rsidR="005F231C" w:rsidRPr="00C747EE" w:rsidTr="00CA463A">
        <w:trPr>
          <w:trHeight w:val="1127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квот,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kern w:val="24"/>
                <w:sz w:val="24"/>
                <w:szCs w:val="24"/>
              </w:rPr>
              <w:t>текущее</w:t>
            </w:r>
          </w:p>
        </w:tc>
        <w:tc>
          <w:tcPr>
            <w:tcW w:w="36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США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16,74%;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Япония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6,23%;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5,81%;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Китай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3,81%;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4,13%;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Индия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2,34%;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по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2,39%</w:t>
            </w:r>
          </w:p>
        </w:tc>
        <w:tc>
          <w:tcPr>
            <w:tcW w:w="35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5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31C" w:rsidRPr="00C747EE" w:rsidRDefault="00D41184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Ц</w:t>
      </w:r>
      <w:r w:rsidR="005F231C" w:rsidRPr="00C747EE">
        <w:rPr>
          <w:rFonts w:ascii="Times New Roman" w:hAnsi="Times New Roman"/>
          <w:sz w:val="24"/>
          <w:szCs w:val="24"/>
        </w:rPr>
        <w:t>ели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имеют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выраженный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тактический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характер.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Южноафриканские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исследователи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М.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Бизивик,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Н.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Каттанео,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Д.Фрайер</w:t>
      </w:r>
      <w:r w:rsidR="005F231C" w:rsidRPr="00C747EE">
        <w:rPr>
          <w:rStyle w:val="a5"/>
          <w:rFonts w:ascii="Times New Roman" w:hAnsi="Times New Roman"/>
          <w:sz w:val="24"/>
          <w:szCs w:val="24"/>
        </w:rPr>
        <w:footnoteReference w:id="18"/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прямо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указывают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сходство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Пула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Многосторонней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валютной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инициативы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Чиангмай</w:t>
      </w:r>
      <w:r w:rsidR="00C747EE" w:rsidRPr="00C747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2000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bCs/>
          <w:sz w:val="24"/>
          <w:szCs w:val="24"/>
          <w:shd w:val="clear" w:color="auto" w:fill="FFFFFF"/>
        </w:rPr>
        <w:t>(Chiang</w:t>
      </w:r>
      <w:r w:rsidR="00C747EE" w:rsidRPr="00C747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bCs/>
          <w:sz w:val="24"/>
          <w:szCs w:val="24"/>
          <w:shd w:val="clear" w:color="auto" w:fill="FFFFFF"/>
        </w:rPr>
        <w:t>Mai</w:t>
      </w:r>
      <w:r w:rsidR="00C747EE" w:rsidRPr="00C747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bCs/>
          <w:sz w:val="24"/>
          <w:szCs w:val="24"/>
          <w:shd w:val="clear" w:color="auto" w:fill="FFFFFF"/>
        </w:rPr>
        <w:t>Initiative</w:t>
      </w:r>
      <w:r w:rsidR="005F231C" w:rsidRPr="00C747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которая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представляет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</w:rPr>
        <w:t>собой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соглашение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свопах,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котором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участвуют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АСЕАН,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КНР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(включая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Гонконг),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Япония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Южная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Корея.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Данная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инициатива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возникла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после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Азиатского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финансового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кризиса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1997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решения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региональных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краткосрочных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ликвидностью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содействия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работе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других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финансовых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механизмов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организаций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помощи,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первую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очередь,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МВФ.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Таблица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показывает,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собственные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средства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образований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различаются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незначительно,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МВФ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может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мобилизовать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существенно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больше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ресурсов,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средства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Пула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ограничены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взносами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БРИКС.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Таким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образом,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Пул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резервов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масштабам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пока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сопоставим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МВФ,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однако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учитывая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торможение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реформы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МВФ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можно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ожидать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трансформации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целей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валютно-финансового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БРИКС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сторону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решения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большего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круга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решаемых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проблем,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так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смысле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вовлечения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231C" w:rsidRPr="00C747EE">
        <w:rPr>
          <w:rFonts w:ascii="Times New Roman" w:hAnsi="Times New Roman"/>
          <w:sz w:val="24"/>
          <w:szCs w:val="24"/>
          <w:shd w:val="clear" w:color="auto" w:fill="FFFFFF"/>
        </w:rPr>
        <w:t>участников.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Перейдем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сравнению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параметров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смысле,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И.З.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Ярыгиной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19"/>
      </w:r>
      <w:r w:rsidRPr="00C747EE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межгосударственные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занимаются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формированием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финансовых,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страховых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фондов,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финансированием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инфраструктуры,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обеспечением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потребностей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клиентов-участников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мирохозяйственных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связей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расширением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контрагентами.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Сравним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инструменты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реконструкции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БРИКС.</w:t>
      </w:r>
    </w:p>
    <w:p w:rsidR="005F231C" w:rsidRPr="00C747EE" w:rsidRDefault="005F231C" w:rsidP="00D4118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Таблица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5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Финансовые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параметры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деятельности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МБРР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49"/>
        <w:gridCol w:w="3052"/>
        <w:gridCol w:w="4357"/>
      </w:tblGrid>
      <w:tr w:rsidR="005F231C" w:rsidRPr="00C747EE" w:rsidTr="001D3D03">
        <w:trPr>
          <w:trHeight w:val="349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МБРР</w:t>
            </w:r>
            <w:r w:rsidRPr="00C747E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0"/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БРИКС</w:t>
            </w:r>
          </w:p>
        </w:tc>
      </w:tr>
      <w:tr w:rsidR="005F231C" w:rsidRPr="00C747EE" w:rsidTr="001D3D03">
        <w:trPr>
          <w:trHeight w:val="349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средства,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млрд.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38,637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(30.06.2015)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увеличением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млрд.</w:t>
            </w:r>
            <w:r w:rsidR="00D41184" w:rsidRPr="00D411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долл.,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оплаченные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акции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сумму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млрд.</w:t>
            </w:r>
            <w:r w:rsidR="00D41184" w:rsidRPr="00D411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долл.</w:t>
            </w:r>
          </w:p>
        </w:tc>
      </w:tr>
      <w:tr w:rsidR="005F231C" w:rsidRPr="00C747EE" w:rsidTr="001D3D03">
        <w:trPr>
          <w:trHeight w:val="349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Баланс,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млрд.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343,225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(30.06.2015)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231C" w:rsidRPr="00C747EE" w:rsidTr="001D3D03">
        <w:trPr>
          <w:trHeight w:val="349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квот,</w:t>
            </w:r>
            <w:r w:rsidR="00C747EE" w:rsidRPr="00C7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США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16,39%,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Япония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7,86%,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Германия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4,49%,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Китай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3,81%,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Индия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2,34%,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2,78%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каждую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страну-участницу</w:t>
            </w:r>
          </w:p>
        </w:tc>
      </w:tr>
      <w:tr w:rsidR="005F231C" w:rsidRPr="00C747EE" w:rsidTr="001D3D03">
        <w:trPr>
          <w:trHeight w:val="349"/>
          <w:jc w:val="center"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EE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pStyle w:val="a9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Займы,</w:t>
            </w:r>
          </w:p>
          <w:p w:rsidR="005F231C" w:rsidRPr="00C747EE" w:rsidRDefault="005F231C" w:rsidP="00D41184">
            <w:pPr>
              <w:pStyle w:val="a9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Гарантии,</w:t>
            </w:r>
          </w:p>
          <w:p w:rsidR="005F231C" w:rsidRPr="00C747EE" w:rsidRDefault="005F231C" w:rsidP="00D41184">
            <w:pPr>
              <w:pStyle w:val="a9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Операционная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деятельность: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содействие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займам,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валютные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операции</w:t>
            </w:r>
          </w:p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Валюта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соответствует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цели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месту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займа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231C" w:rsidRPr="00C747EE" w:rsidRDefault="005F231C" w:rsidP="00D41184">
            <w:pPr>
              <w:pStyle w:val="a9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Гарантии,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участие,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кредиты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поддержка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государственных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частных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проектов,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числе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смешанных,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приобретение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ценных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бумаг,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облегчение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мировым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рынкам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капитала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любого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вида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деятельности;</w:t>
            </w:r>
          </w:p>
          <w:p w:rsidR="005F231C" w:rsidRPr="00C747EE" w:rsidRDefault="005F231C" w:rsidP="00D41184">
            <w:pPr>
              <w:pStyle w:val="a9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согарантии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проектам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других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международных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организаций;</w:t>
            </w:r>
          </w:p>
          <w:p w:rsidR="005F231C" w:rsidRPr="00C747EE" w:rsidRDefault="005F231C" w:rsidP="00D41184">
            <w:pPr>
              <w:pStyle w:val="a9"/>
              <w:numPr>
                <w:ilvl w:val="0"/>
                <w:numId w:val="1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Техническая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помощь</w:t>
            </w:r>
          </w:p>
          <w:p w:rsidR="005F231C" w:rsidRPr="00C747EE" w:rsidRDefault="005F231C" w:rsidP="00D41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Финансирование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местной</w:t>
            </w:r>
            <w:r w:rsidR="00C747EE" w:rsidRPr="00C7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7EE">
              <w:rPr>
                <w:rFonts w:ascii="Times New Roman" w:hAnsi="Times New Roman"/>
                <w:bCs/>
                <w:sz w:val="24"/>
                <w:szCs w:val="24"/>
              </w:rPr>
              <w:t>валюте</w:t>
            </w:r>
          </w:p>
        </w:tc>
      </w:tr>
    </w:tbl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Первоначальные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МБРР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21"/>
      </w:r>
      <w:r w:rsidRPr="00C747EE">
        <w:rPr>
          <w:rFonts w:ascii="Times New Roman" w:hAnsi="Times New Roman"/>
          <w:sz w:val="24"/>
          <w:szCs w:val="24"/>
        </w:rPr>
        <w:t>: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содействие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реконструкции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развитию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стран-участниц,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пострадавших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от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войны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путем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облегчения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производственный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капитал;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продвижение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частных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производственные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мощности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путем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гарантий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или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замещения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случае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отсутствия;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поддержка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инвестиций,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способствующих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росту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сбалансированности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внешней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торговли;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ведение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операций,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направленных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на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привлечение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зарубежных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инвестиций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восстановления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делового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климата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после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войны.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В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настоящее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время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на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группу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Всемирного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банка,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органичной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частью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которого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является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Международный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банк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реконструкции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развития,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возложено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выполнение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Целей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тысячелетия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(</w:t>
      </w:r>
      <w:r w:rsidRPr="00C747EE">
        <w:rPr>
          <w:rFonts w:ascii="Times New Roman" w:hAnsi="Times New Roman"/>
          <w:bCs/>
          <w:sz w:val="24"/>
          <w:szCs w:val="24"/>
          <w:lang w:val="en-US"/>
        </w:rPr>
        <w:t>Millennium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  <w:lang w:val="en-US"/>
        </w:rPr>
        <w:t>development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  <w:lang w:val="en-US"/>
        </w:rPr>
        <w:t>goals</w:t>
      </w:r>
      <w:r w:rsidRPr="00C747EE">
        <w:rPr>
          <w:rFonts w:ascii="Times New Roman" w:hAnsi="Times New Roman"/>
          <w:bCs/>
          <w:sz w:val="24"/>
          <w:szCs w:val="24"/>
        </w:rPr>
        <w:t>)</w:t>
      </w:r>
      <w:r w:rsidRPr="00C747EE">
        <w:rPr>
          <w:rStyle w:val="a5"/>
          <w:rFonts w:ascii="Times New Roman" w:hAnsi="Times New Roman"/>
          <w:bCs/>
          <w:sz w:val="24"/>
          <w:szCs w:val="24"/>
          <w:lang w:val="en-US"/>
        </w:rPr>
        <w:footnoteReference w:id="22"/>
      </w:r>
      <w:r w:rsidRPr="00C747EE">
        <w:rPr>
          <w:rFonts w:ascii="Times New Roman" w:hAnsi="Times New Roman"/>
          <w:bCs/>
          <w:sz w:val="24"/>
          <w:szCs w:val="24"/>
        </w:rPr>
        <w:t>: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ликвидация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нищеты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голода;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обеспечение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всеобщего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начального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образования;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поощрение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равенства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мужчин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женщин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расширение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прав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возможностей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женщин;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lastRenderedPageBreak/>
        <w:t>сокращение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детской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смертности;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улучшение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охраны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материнства;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борьба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ВИЧ/СПИДом,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малярией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другими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заболеваниями;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обеспечение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устойчивого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окружающей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среды;</w:t>
      </w:r>
    </w:p>
    <w:p w:rsidR="005F231C" w:rsidRPr="00C747EE" w:rsidRDefault="005F231C" w:rsidP="00C747E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47EE">
        <w:rPr>
          <w:rFonts w:ascii="Times New Roman" w:hAnsi="Times New Roman"/>
          <w:bCs/>
          <w:sz w:val="24"/>
          <w:szCs w:val="24"/>
        </w:rPr>
        <w:t>формирование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глобального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партнерства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в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целях</w:t>
      </w:r>
      <w:r w:rsidR="00C747EE" w:rsidRPr="00C747EE">
        <w:rPr>
          <w:rFonts w:ascii="Times New Roman" w:hAnsi="Times New Roman"/>
          <w:bCs/>
          <w:sz w:val="24"/>
          <w:szCs w:val="24"/>
        </w:rPr>
        <w:t xml:space="preserve"> </w:t>
      </w:r>
      <w:r w:rsidRPr="00C747EE">
        <w:rPr>
          <w:rFonts w:ascii="Times New Roman" w:hAnsi="Times New Roman"/>
          <w:bCs/>
          <w:sz w:val="24"/>
          <w:szCs w:val="24"/>
        </w:rPr>
        <w:t>развития.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Цель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23"/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намного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более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узкая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мобилизация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финансирования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инфраструктурных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проектов,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направленных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поддержание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устойчивого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других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развивающихся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экономиках.</w:t>
      </w:r>
    </w:p>
    <w:p w:rsidR="005F231C" w:rsidRPr="00C747EE" w:rsidRDefault="005F231C" w:rsidP="00C747EE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Таким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образом,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МБРР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сопоставимы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точки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зрения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механизмов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кредитования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содействия.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Однако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функциям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МБРР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определенном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смысле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перешел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проблематики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реального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сектора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</w:t>
      </w:r>
      <w:r w:rsidR="00D41184">
        <w:rPr>
          <w:rFonts w:ascii="Times New Roman" w:hAnsi="Times New Roman"/>
          <w:sz w:val="24"/>
          <w:szCs w:val="24"/>
        </w:rPr>
        <w:t>а</w:t>
      </w:r>
      <w:r w:rsidRPr="00C747EE">
        <w:rPr>
          <w:rFonts w:ascii="Times New Roman" w:hAnsi="Times New Roman"/>
          <w:sz w:val="24"/>
          <w:szCs w:val="24"/>
        </w:rPr>
        <w:t>звитию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человеческого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потенциала,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социальной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сфере,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время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как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Банк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еще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находится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индустриальной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парадигме,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создание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инфраструктуры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наибольшей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степени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интересует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КНР.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Некоторые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исследователи,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частности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Ю.Н.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Харитонова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24"/>
      </w:r>
      <w:r w:rsidRPr="00C747EE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отмечают,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вопрос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переходе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расчеты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кредитные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линии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национальных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валютах,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могли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способствовать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снижению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рисков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сокращению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издержек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торговле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долгосрочных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инвестициях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D41184">
        <w:rPr>
          <w:rFonts w:ascii="Times New Roman" w:hAnsi="Times New Roman"/>
          <w:sz w:val="24"/>
          <w:szCs w:val="24"/>
        </w:rPr>
        <w:t xml:space="preserve">, </w:t>
      </w:r>
      <w:r w:rsidRPr="00C747EE">
        <w:rPr>
          <w:rFonts w:ascii="Times New Roman" w:hAnsi="Times New Roman"/>
          <w:sz w:val="24"/>
          <w:szCs w:val="24"/>
        </w:rPr>
        <w:t>пока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остается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пределами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повестки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стран.</w:t>
      </w:r>
    </w:p>
    <w:p w:rsidR="005F231C" w:rsidRPr="00D41184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184">
        <w:rPr>
          <w:rFonts w:ascii="Times New Roman" w:hAnsi="Times New Roman"/>
          <w:b/>
          <w:sz w:val="24"/>
          <w:szCs w:val="24"/>
        </w:rPr>
        <w:t>Выводы</w:t>
      </w:r>
    </w:p>
    <w:p w:rsidR="005F231C" w:rsidRPr="00C747EE" w:rsidRDefault="005F231C" w:rsidP="00C74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Подводя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итоги,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отметить,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основная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идея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инициатив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предложений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направлена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придание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многополярного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характера.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будут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зависеть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ряда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позитивных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негативных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факторов</w:t>
      </w:r>
      <w:r w:rsidRPr="00C747EE">
        <w:rPr>
          <w:rStyle w:val="a5"/>
          <w:rFonts w:ascii="Times New Roman" w:hAnsi="Times New Roman"/>
          <w:sz w:val="24"/>
          <w:szCs w:val="24"/>
        </w:rPr>
        <w:footnoteReference w:id="25"/>
      </w:r>
      <w:r w:rsidRPr="00C747EE">
        <w:rPr>
          <w:rFonts w:ascii="Times New Roman" w:hAnsi="Times New Roman"/>
          <w:sz w:val="24"/>
          <w:szCs w:val="24"/>
        </w:rPr>
        <w:t>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Среди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факторов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положительного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влияния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выделить:</w:t>
      </w:r>
    </w:p>
    <w:p w:rsidR="005F231C" w:rsidRPr="00C747EE" w:rsidRDefault="005F231C" w:rsidP="00C747EE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объективные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потребности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роста,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модернизации,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сближающие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страны;</w:t>
      </w:r>
    </w:p>
    <w:p w:rsidR="005F231C" w:rsidRPr="00C747EE" w:rsidRDefault="005F231C" w:rsidP="00C747EE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положительный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опыт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самостоятельного,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без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вмешательства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диктата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промышленно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взаимовыгодного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БРИКС;</w:t>
      </w:r>
    </w:p>
    <w:p w:rsidR="005F231C" w:rsidRPr="00C747EE" w:rsidRDefault="005F231C" w:rsidP="00C747EE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lastRenderedPageBreak/>
        <w:t>хорошая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обеспеченность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ключевыми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ресурсами: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богата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сельскохозяйственной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продукцией,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имеет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крупнейшие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запасы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природно-минеральных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обладает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дешевыми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интеллектуальными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ресурсами,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обладает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дешевыми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трудовыми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ресурсами;</w:t>
      </w:r>
    </w:p>
    <w:p w:rsidR="005F231C" w:rsidRPr="00C747EE" w:rsidRDefault="005F231C" w:rsidP="00C747EE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отражение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методов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реализации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многосторонней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дипломатии,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отношениях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преобладает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типологическая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сопоставимость,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сходство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позиций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основным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пунктам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повестки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дня,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стремление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показать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пример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ответственного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лидерства.</w:t>
      </w:r>
    </w:p>
    <w:p w:rsidR="005F231C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негативным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аспектам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отнести:</w:t>
      </w:r>
    </w:p>
    <w:p w:rsidR="005F231C" w:rsidRPr="00C747EE" w:rsidRDefault="005F231C" w:rsidP="00C747E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наблюдаемую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разнородность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цивилизационных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основ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государства-участники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объединения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находятся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фазах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цивилизационного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развития: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Бразилия,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Инди</w:t>
      </w:r>
      <w:r w:rsidR="00EB62A2">
        <w:rPr>
          <w:rFonts w:ascii="Times New Roman" w:hAnsi="Times New Roman"/>
          <w:sz w:val="24"/>
          <w:szCs w:val="24"/>
        </w:rPr>
        <w:t>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Кита</w:t>
      </w:r>
      <w:r w:rsidR="00EB62A2">
        <w:rPr>
          <w:rFonts w:ascii="Times New Roman" w:hAnsi="Times New Roman"/>
          <w:sz w:val="24"/>
          <w:szCs w:val="24"/>
        </w:rPr>
        <w:t>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восходящей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фазе,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Россия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–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нисходящей;</w:t>
      </w:r>
    </w:p>
    <w:p w:rsidR="005F231C" w:rsidRPr="00C747EE" w:rsidRDefault="005F231C" w:rsidP="00C747E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наличие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конкуренции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соперничества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внутри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БРИКС;</w:t>
      </w:r>
    </w:p>
    <w:p w:rsidR="005F231C" w:rsidRPr="00C747EE" w:rsidRDefault="005F231C" w:rsidP="00C747E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отсутствие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доверия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стороны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обществ,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считающих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объединение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конъюнктурным</w:t>
      </w:r>
      <w:r w:rsidR="00EB62A2">
        <w:rPr>
          <w:rFonts w:ascii="Times New Roman" w:hAnsi="Times New Roman"/>
          <w:sz w:val="24"/>
          <w:szCs w:val="24"/>
        </w:rPr>
        <w:t>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EB62A2">
        <w:rPr>
          <w:rFonts w:ascii="Times New Roman" w:hAnsi="Times New Roman"/>
          <w:sz w:val="24"/>
          <w:szCs w:val="24"/>
        </w:rPr>
        <w:t>несмотря 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необходимость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совместных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усилий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для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противодействия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проблемам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выхода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финансово-экономического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кризиса;</w:t>
      </w:r>
    </w:p>
    <w:p w:rsidR="005F231C" w:rsidRPr="00C747EE" w:rsidRDefault="005F231C" w:rsidP="00C747E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r w:rsidRPr="00C747EE">
        <w:rPr>
          <w:rFonts w:ascii="Times New Roman" w:hAnsi="Times New Roman"/>
          <w:sz w:val="24"/>
          <w:szCs w:val="24"/>
        </w:rPr>
        <w:t>слабость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обусловленная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зависимостью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конъюнктуры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цен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EB62A2">
        <w:rPr>
          <w:rFonts w:ascii="Times New Roman" w:hAnsi="Times New Roman"/>
          <w:sz w:val="24"/>
          <w:szCs w:val="24"/>
        </w:rPr>
        <w:t xml:space="preserve">на </w:t>
      </w:r>
      <w:r w:rsidRPr="00C747EE">
        <w:rPr>
          <w:rFonts w:ascii="Times New Roman" w:hAnsi="Times New Roman"/>
          <w:sz w:val="24"/>
          <w:szCs w:val="24"/>
        </w:rPr>
        <w:t>сырье,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изким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внутренним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спросом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неспособностью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национальной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промышленности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его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обеспечить,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слабостью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финансовых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систем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и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отсутствием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в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экономике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«длинных»</w:t>
      </w:r>
      <w:r w:rsidR="00C747EE" w:rsidRPr="00C747EE">
        <w:rPr>
          <w:rFonts w:ascii="Times New Roman" w:hAnsi="Times New Roman"/>
          <w:sz w:val="24"/>
          <w:szCs w:val="24"/>
          <w:shd w:val="clear" w:color="auto" w:fill="F6F6F6"/>
        </w:rPr>
        <w:t xml:space="preserve"> </w:t>
      </w:r>
      <w:r w:rsidRPr="00C747EE">
        <w:rPr>
          <w:rFonts w:ascii="Times New Roman" w:hAnsi="Times New Roman"/>
          <w:sz w:val="24"/>
          <w:szCs w:val="24"/>
          <w:shd w:val="clear" w:color="auto" w:fill="F6F6F6"/>
        </w:rPr>
        <w:t>денег.</w:t>
      </w:r>
    </w:p>
    <w:p w:rsidR="005F231C" w:rsidRPr="00C747EE" w:rsidRDefault="005F231C" w:rsidP="00C747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7EE">
        <w:rPr>
          <w:rFonts w:ascii="Times New Roman" w:hAnsi="Times New Roman"/>
          <w:sz w:val="24"/>
          <w:szCs w:val="24"/>
        </w:rPr>
        <w:t>Представляется,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долгосрочной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перспективе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формирование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будет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способствовать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выстраиванию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глобальной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парадигмы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системы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международных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отношений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измененным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центром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силы,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рамках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которой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рассматриваемые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страны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становятся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лидерами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и/или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инициаторами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реализации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важных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общемировых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процессов.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время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политика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ведущих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государств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институтов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под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эгидой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уже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отвеча</w:t>
      </w:r>
      <w:r w:rsidR="00EB62A2">
        <w:rPr>
          <w:rFonts w:ascii="Times New Roman" w:hAnsi="Times New Roman"/>
          <w:sz w:val="24"/>
          <w:szCs w:val="24"/>
        </w:rPr>
        <w:t>е</w:t>
      </w:r>
      <w:r w:rsidRPr="00C747EE">
        <w:rPr>
          <w:rFonts w:ascii="Times New Roman" w:hAnsi="Times New Roman"/>
          <w:sz w:val="24"/>
          <w:szCs w:val="24"/>
        </w:rPr>
        <w:t>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потребностям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хозяйства,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промедление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интеграцией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сверхдержав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эти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образования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равных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правах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приводит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к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поиску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альтернативных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решений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рамках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новых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форматов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многостороннего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сотрудничества.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Таким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образом,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валютно-финансовое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сотрудничество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БРИКС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показывает,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что,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несмотря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организационную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гибкость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неформальный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характер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объединения,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объединение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может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успешно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решать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задачи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продвижения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общих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внешнеполитических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интересов,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развития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стратегического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партнерства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между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входящими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него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странами,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="00EB62A2">
        <w:rPr>
          <w:rFonts w:ascii="Times New Roman" w:hAnsi="Times New Roman"/>
          <w:sz w:val="24"/>
          <w:szCs w:val="24"/>
        </w:rPr>
        <w:t>противостояния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западно</w:t>
      </w:r>
      <w:r w:rsidR="00EB62A2">
        <w:rPr>
          <w:rFonts w:ascii="Times New Roman" w:hAnsi="Times New Roman"/>
          <w:sz w:val="24"/>
          <w:szCs w:val="24"/>
        </w:rPr>
        <w:t>му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влияни</w:t>
      </w:r>
      <w:r w:rsidR="00EB62A2">
        <w:rPr>
          <w:rFonts w:ascii="Times New Roman" w:hAnsi="Times New Roman"/>
          <w:sz w:val="24"/>
          <w:szCs w:val="24"/>
        </w:rPr>
        <w:t>ю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в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мировой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политике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и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  <w:r w:rsidRPr="00C747EE">
        <w:rPr>
          <w:rFonts w:ascii="Times New Roman" w:hAnsi="Times New Roman"/>
          <w:sz w:val="24"/>
          <w:szCs w:val="24"/>
        </w:rPr>
        <w:t>экономике.</w:t>
      </w:r>
      <w:r w:rsidR="00C747EE" w:rsidRPr="00C747EE">
        <w:rPr>
          <w:rFonts w:ascii="Times New Roman" w:hAnsi="Times New Roman"/>
          <w:sz w:val="24"/>
          <w:szCs w:val="24"/>
        </w:rPr>
        <w:t xml:space="preserve"> </w:t>
      </w:r>
    </w:p>
    <w:sectPr w:rsidR="005F231C" w:rsidRPr="00C747EE" w:rsidSect="00C747EE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EE" w:rsidRDefault="00C747EE" w:rsidP="008B0CE5">
      <w:pPr>
        <w:spacing w:after="0" w:line="240" w:lineRule="auto"/>
      </w:pPr>
      <w:r>
        <w:separator/>
      </w:r>
    </w:p>
  </w:endnote>
  <w:endnote w:type="continuationSeparator" w:id="1">
    <w:p w:rsidR="00C747EE" w:rsidRDefault="00C747EE" w:rsidP="008B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EE" w:rsidRPr="00C747EE" w:rsidRDefault="00C747EE" w:rsidP="00C747EE">
    <w:pPr>
      <w:pStyle w:val="ac"/>
      <w:jc w:val="center"/>
      <w:rPr>
        <w:rFonts w:ascii="Times New Roman" w:hAnsi="Times New Roman"/>
        <w:sz w:val="24"/>
        <w:szCs w:val="24"/>
      </w:rPr>
    </w:pPr>
    <w:r w:rsidRPr="00C747EE">
      <w:rPr>
        <w:rFonts w:ascii="Times New Roman" w:hAnsi="Times New Roman"/>
        <w:sz w:val="24"/>
        <w:szCs w:val="24"/>
      </w:rPr>
      <w:fldChar w:fldCharType="begin"/>
    </w:r>
    <w:r w:rsidRPr="00C747EE">
      <w:rPr>
        <w:rFonts w:ascii="Times New Roman" w:hAnsi="Times New Roman"/>
        <w:sz w:val="24"/>
        <w:szCs w:val="24"/>
      </w:rPr>
      <w:instrText xml:space="preserve"> PAGE   \* MERGEFORMAT </w:instrText>
    </w:r>
    <w:r w:rsidRPr="00C747EE">
      <w:rPr>
        <w:rFonts w:ascii="Times New Roman" w:hAnsi="Times New Roman"/>
        <w:sz w:val="24"/>
        <w:szCs w:val="24"/>
      </w:rPr>
      <w:fldChar w:fldCharType="separate"/>
    </w:r>
    <w:r w:rsidR="00F969AE">
      <w:rPr>
        <w:rFonts w:ascii="Times New Roman" w:hAnsi="Times New Roman"/>
        <w:noProof/>
        <w:sz w:val="24"/>
        <w:szCs w:val="24"/>
      </w:rPr>
      <w:t>1</w:t>
    </w:r>
    <w:r w:rsidRPr="00C747E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EE" w:rsidRDefault="00C747EE" w:rsidP="008B0CE5">
      <w:pPr>
        <w:spacing w:after="0" w:line="240" w:lineRule="auto"/>
      </w:pPr>
      <w:r>
        <w:separator/>
      </w:r>
    </w:p>
  </w:footnote>
  <w:footnote w:type="continuationSeparator" w:id="1">
    <w:p w:rsidR="00C747EE" w:rsidRDefault="00C747EE" w:rsidP="008B0CE5">
      <w:pPr>
        <w:spacing w:after="0" w:line="240" w:lineRule="auto"/>
      </w:pPr>
      <w:r>
        <w:continuationSeparator/>
      </w:r>
    </w:p>
  </w:footnote>
  <w:footnote w:id="2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  <w:r w:rsidRPr="00C747EE">
        <w:rPr>
          <w:rStyle w:val="a5"/>
          <w:b w:val="0"/>
          <w:sz w:val="20"/>
          <w:szCs w:val="20"/>
        </w:rPr>
        <w:footnoteRef/>
      </w:r>
      <w:r w:rsidRPr="00C747EE">
        <w:rPr>
          <w:b w:val="0"/>
          <w:sz w:val="20"/>
          <w:szCs w:val="20"/>
          <w:lang w:val="en-US"/>
        </w:rPr>
        <w:t xml:space="preserve"> Injoo S</w:t>
      </w:r>
      <w:r>
        <w:rPr>
          <w:b w:val="0"/>
          <w:sz w:val="20"/>
          <w:szCs w:val="20"/>
          <w:lang w:val="en-US"/>
        </w:rPr>
        <w:t>.</w:t>
      </w:r>
      <w:r w:rsidRPr="00C747EE">
        <w:rPr>
          <w:b w:val="0"/>
          <w:sz w:val="20"/>
          <w:szCs w:val="20"/>
          <w:lang w:val="en-US"/>
        </w:rPr>
        <w:t xml:space="preserve"> Between Confrontation and Assimilation: China and the fragmentation of global financial governance</w:t>
      </w:r>
      <w:r>
        <w:rPr>
          <w:b w:val="0"/>
          <w:sz w:val="20"/>
          <w:szCs w:val="20"/>
          <w:lang w:val="en-US"/>
        </w:rPr>
        <w:t xml:space="preserve"> //</w:t>
      </w:r>
      <w:r w:rsidRPr="00C747EE">
        <w:rPr>
          <w:b w:val="0"/>
          <w:sz w:val="20"/>
          <w:szCs w:val="20"/>
          <w:lang w:val="en-US"/>
        </w:rPr>
        <w:t xml:space="preserve"> Journal of Contemporary China</w:t>
      </w:r>
      <w:r>
        <w:rPr>
          <w:b w:val="0"/>
          <w:sz w:val="20"/>
          <w:szCs w:val="20"/>
          <w:lang w:val="en-US"/>
        </w:rPr>
        <w:t>.</w:t>
      </w:r>
      <w:r w:rsidRPr="00C747EE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en-US"/>
        </w:rPr>
        <w:t>2013. – Vol.</w:t>
      </w:r>
      <w:r w:rsidRPr="00C747EE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en-US"/>
        </w:rPr>
        <w:t>22:82. – P.</w:t>
      </w:r>
      <w:r w:rsidRPr="00C747EE">
        <w:rPr>
          <w:b w:val="0"/>
          <w:sz w:val="20"/>
          <w:szCs w:val="20"/>
          <w:lang w:val="en-US"/>
        </w:rPr>
        <w:t xml:space="preserve"> 630-648.</w:t>
      </w:r>
    </w:p>
  </w:footnote>
  <w:footnote w:id="3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  <w:lang w:val="en-US"/>
        </w:rPr>
        <w:t xml:space="preserve"> </w:t>
      </w:r>
      <w:r w:rsidRPr="00C747EE">
        <w:rPr>
          <w:b w:val="0"/>
          <w:sz w:val="20"/>
          <w:szCs w:val="20"/>
          <w:lang w:val="en-US"/>
        </w:rPr>
        <w:t>Robinson W</w:t>
      </w:r>
      <w:r>
        <w:rPr>
          <w:b w:val="0"/>
          <w:sz w:val="20"/>
          <w:szCs w:val="20"/>
          <w:lang w:val="en-US"/>
        </w:rPr>
        <w:t>.</w:t>
      </w:r>
      <w:r w:rsidRPr="00C747EE">
        <w:rPr>
          <w:b w:val="0"/>
          <w:sz w:val="20"/>
          <w:szCs w:val="20"/>
          <w:lang w:val="en-US"/>
        </w:rPr>
        <w:t>I. The transnational state and the BRICS: a global capitalism perspective</w:t>
      </w:r>
      <w:r>
        <w:rPr>
          <w:b w:val="0"/>
          <w:sz w:val="20"/>
          <w:szCs w:val="20"/>
          <w:lang w:val="en-US"/>
        </w:rPr>
        <w:t xml:space="preserve"> //</w:t>
      </w:r>
      <w:r w:rsidRPr="00C747EE">
        <w:rPr>
          <w:b w:val="0"/>
          <w:sz w:val="20"/>
          <w:szCs w:val="20"/>
          <w:lang w:val="en-US"/>
        </w:rPr>
        <w:t xml:space="preserve"> Third World Quarterly</w:t>
      </w:r>
      <w:r>
        <w:rPr>
          <w:b w:val="0"/>
          <w:sz w:val="20"/>
          <w:szCs w:val="20"/>
          <w:lang w:val="en-US"/>
        </w:rPr>
        <w:t>.</w:t>
      </w:r>
      <w:r w:rsidRPr="00C747EE">
        <w:rPr>
          <w:b w:val="0"/>
          <w:sz w:val="20"/>
          <w:szCs w:val="20"/>
          <w:lang w:val="en-US"/>
        </w:rPr>
        <w:t xml:space="preserve"> 2015</w:t>
      </w:r>
      <w:r>
        <w:rPr>
          <w:b w:val="0"/>
          <w:sz w:val="20"/>
          <w:szCs w:val="20"/>
          <w:lang w:val="en-US"/>
        </w:rPr>
        <w:t>. – Vol.</w:t>
      </w:r>
      <w:r w:rsidRPr="00C747EE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en-US"/>
        </w:rPr>
        <w:t>36, N 1. – P.</w:t>
      </w:r>
      <w:r w:rsidRPr="00C747EE">
        <w:rPr>
          <w:b w:val="0"/>
          <w:sz w:val="20"/>
          <w:szCs w:val="20"/>
          <w:lang w:val="en-US"/>
        </w:rPr>
        <w:t xml:space="preserve"> 1-21.</w:t>
      </w:r>
    </w:p>
  </w:footnote>
  <w:footnote w:id="4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  <w:lang w:val="en-US"/>
        </w:rPr>
        <w:t xml:space="preserve"> </w:t>
      </w:r>
      <w:r w:rsidRPr="00C747EE">
        <w:rPr>
          <w:b w:val="0"/>
          <w:sz w:val="20"/>
          <w:szCs w:val="20"/>
          <w:lang w:val="en-US"/>
        </w:rPr>
        <w:t>Thakur R</w:t>
      </w:r>
      <w:r>
        <w:rPr>
          <w:b w:val="0"/>
          <w:sz w:val="20"/>
          <w:szCs w:val="20"/>
          <w:lang w:val="en-US"/>
        </w:rPr>
        <w:t>.</w:t>
      </w:r>
      <w:r w:rsidRPr="00C747EE">
        <w:rPr>
          <w:b w:val="0"/>
          <w:sz w:val="20"/>
          <w:szCs w:val="20"/>
          <w:lang w:val="en-US"/>
        </w:rPr>
        <w:t xml:space="preserve"> How representative are brics?</w:t>
      </w:r>
      <w:r>
        <w:rPr>
          <w:b w:val="0"/>
          <w:sz w:val="20"/>
          <w:szCs w:val="20"/>
          <w:lang w:val="en-US"/>
        </w:rPr>
        <w:t xml:space="preserve"> //</w:t>
      </w:r>
      <w:r w:rsidRPr="00C747EE">
        <w:rPr>
          <w:b w:val="0"/>
          <w:sz w:val="20"/>
          <w:szCs w:val="20"/>
          <w:lang w:val="en-US"/>
        </w:rPr>
        <w:t xml:space="preserve"> Third World Quarterly</w:t>
      </w:r>
      <w:r>
        <w:rPr>
          <w:b w:val="0"/>
          <w:sz w:val="20"/>
          <w:szCs w:val="20"/>
          <w:lang w:val="en-US"/>
        </w:rPr>
        <w:t>.</w:t>
      </w:r>
      <w:r w:rsidRPr="00C747EE">
        <w:rPr>
          <w:b w:val="0"/>
          <w:sz w:val="20"/>
          <w:szCs w:val="20"/>
          <w:lang w:val="en-US"/>
        </w:rPr>
        <w:t xml:space="preserve"> </w:t>
      </w:r>
      <w:r w:rsidRPr="00C747EE">
        <w:rPr>
          <w:b w:val="0"/>
          <w:sz w:val="20"/>
          <w:szCs w:val="20"/>
        </w:rPr>
        <w:t xml:space="preserve">2014. – </w:t>
      </w:r>
      <w:r>
        <w:rPr>
          <w:b w:val="0"/>
          <w:sz w:val="20"/>
          <w:szCs w:val="20"/>
          <w:lang w:val="en-US"/>
        </w:rPr>
        <w:t>Vol</w:t>
      </w:r>
      <w:r w:rsidRPr="00C747EE">
        <w:rPr>
          <w:b w:val="0"/>
          <w:sz w:val="20"/>
          <w:szCs w:val="20"/>
        </w:rPr>
        <w:t xml:space="preserve">. 35, </w:t>
      </w:r>
      <w:r>
        <w:rPr>
          <w:b w:val="0"/>
          <w:sz w:val="20"/>
          <w:szCs w:val="20"/>
          <w:lang w:val="en-US"/>
        </w:rPr>
        <w:t>N</w:t>
      </w:r>
      <w:r w:rsidRPr="00C747E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10</w:t>
      </w:r>
      <w:r w:rsidRPr="00C747EE">
        <w:rPr>
          <w:b w:val="0"/>
          <w:sz w:val="20"/>
          <w:szCs w:val="20"/>
        </w:rPr>
        <w:t xml:space="preserve">. – </w:t>
      </w:r>
      <w:r>
        <w:rPr>
          <w:b w:val="0"/>
          <w:sz w:val="20"/>
          <w:szCs w:val="20"/>
          <w:lang w:val="en-US"/>
        </w:rPr>
        <w:t>P</w:t>
      </w:r>
      <w:r w:rsidRPr="00C747EE">
        <w:rPr>
          <w:b w:val="0"/>
          <w:sz w:val="20"/>
          <w:szCs w:val="20"/>
        </w:rPr>
        <w:t>. 1791–1808</w:t>
      </w:r>
      <w:r w:rsidRPr="00C747EE">
        <w:rPr>
          <w:color w:val="545454"/>
          <w:sz w:val="20"/>
          <w:szCs w:val="20"/>
          <w:shd w:val="clear" w:color="auto" w:fill="FFFFFF"/>
        </w:rPr>
        <w:t>.</w:t>
      </w:r>
    </w:p>
  </w:footnote>
  <w:footnote w:id="5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b w:val="0"/>
          <w:sz w:val="20"/>
          <w:szCs w:val="20"/>
        </w:rPr>
        <w:footnoteRef/>
      </w:r>
      <w:r w:rsidRPr="00C747EE">
        <w:rPr>
          <w:b w:val="0"/>
          <w:sz w:val="20"/>
          <w:szCs w:val="20"/>
        </w:rPr>
        <w:t xml:space="preserve"> Луков В.Б. Экономики БРИКС взаимодополняют друг друга, и это дает хорошую базу для развития многостороннего экономического сотрудничества // Индекс безопасности. 2012. </w:t>
      </w:r>
      <w:r w:rsidRPr="001F6332">
        <w:rPr>
          <w:b w:val="0"/>
          <w:sz w:val="20"/>
          <w:szCs w:val="20"/>
        </w:rPr>
        <w:t xml:space="preserve">- </w:t>
      </w:r>
      <w:r w:rsidRPr="00C747EE">
        <w:rPr>
          <w:b w:val="0"/>
          <w:sz w:val="20"/>
          <w:szCs w:val="20"/>
        </w:rPr>
        <w:t xml:space="preserve">Т. </w:t>
      </w:r>
      <w:r>
        <w:rPr>
          <w:b w:val="0"/>
          <w:sz w:val="20"/>
          <w:szCs w:val="20"/>
        </w:rPr>
        <w:t>18,</w:t>
      </w:r>
      <w:r w:rsidRPr="00C747EE">
        <w:rPr>
          <w:b w:val="0"/>
          <w:sz w:val="20"/>
          <w:szCs w:val="20"/>
        </w:rPr>
        <w:t xml:space="preserve"> № 2 (101). </w:t>
      </w:r>
      <w:r>
        <w:rPr>
          <w:b w:val="0"/>
          <w:sz w:val="20"/>
          <w:szCs w:val="20"/>
        </w:rPr>
        <w:t xml:space="preserve">- </w:t>
      </w:r>
      <w:r w:rsidRPr="00C747EE">
        <w:rPr>
          <w:b w:val="0"/>
          <w:sz w:val="20"/>
          <w:szCs w:val="20"/>
        </w:rPr>
        <w:t>С. 11-16.</w:t>
      </w:r>
    </w:p>
  </w:footnote>
  <w:footnote w:id="6">
    <w:p w:rsidR="00C747EE" w:rsidRPr="00C747EE" w:rsidRDefault="00C747EE" w:rsidP="00C7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7EE">
        <w:rPr>
          <w:rStyle w:val="a5"/>
          <w:rFonts w:ascii="Times New Roman" w:hAnsi="Times New Roman"/>
          <w:sz w:val="20"/>
          <w:szCs w:val="20"/>
        </w:rPr>
        <w:footnoteRef/>
      </w:r>
      <w:r w:rsidRPr="00C747EE">
        <w:rPr>
          <w:rStyle w:val="a5"/>
          <w:rFonts w:ascii="Times New Roman" w:hAnsi="Times New Roman"/>
          <w:sz w:val="20"/>
          <w:szCs w:val="20"/>
        </w:rPr>
        <w:t xml:space="preserve"> </w:t>
      </w:r>
      <w:r w:rsidRPr="00C747EE">
        <w:rPr>
          <w:rFonts w:ascii="Times New Roman" w:hAnsi="Times New Roman"/>
          <w:sz w:val="20"/>
          <w:szCs w:val="20"/>
        </w:rPr>
        <w:t xml:space="preserve">Головнин М.Ю. Страны БРИКС и реформирование мировой валютно-финансовой системы // </w:t>
      </w:r>
      <w:hyperlink r:id="rId1" w:history="1">
        <w:r w:rsidRPr="00C747EE">
          <w:rPr>
            <w:rFonts w:ascii="Times New Roman" w:hAnsi="Times New Roman"/>
            <w:sz w:val="20"/>
            <w:szCs w:val="20"/>
          </w:rPr>
          <w:t>Мир перемен</w:t>
        </w:r>
      </w:hyperlink>
      <w:r w:rsidRPr="00C747EE">
        <w:rPr>
          <w:rFonts w:ascii="Times New Roman" w:hAnsi="Times New Roman"/>
          <w:sz w:val="20"/>
          <w:szCs w:val="20"/>
        </w:rPr>
        <w:t xml:space="preserve">. </w:t>
      </w:r>
      <w:r w:rsidR="001F6332">
        <w:rPr>
          <w:rFonts w:ascii="Times New Roman" w:hAnsi="Times New Roman"/>
          <w:sz w:val="20"/>
          <w:szCs w:val="20"/>
        </w:rPr>
        <w:t xml:space="preserve">– М., </w:t>
      </w:r>
      <w:r w:rsidRPr="00C747EE">
        <w:rPr>
          <w:rFonts w:ascii="Times New Roman" w:hAnsi="Times New Roman"/>
          <w:sz w:val="20"/>
          <w:szCs w:val="20"/>
        </w:rPr>
        <w:t xml:space="preserve">2012. </w:t>
      </w:r>
      <w:r w:rsidR="001F6332">
        <w:rPr>
          <w:rFonts w:ascii="Times New Roman" w:hAnsi="Times New Roman"/>
          <w:sz w:val="20"/>
          <w:szCs w:val="20"/>
        </w:rPr>
        <w:t xml:space="preserve">- </w:t>
      </w:r>
      <w:hyperlink r:id="rId2" w:history="1">
        <w:r w:rsidRPr="00C747EE">
          <w:rPr>
            <w:rFonts w:ascii="Times New Roman" w:hAnsi="Times New Roman"/>
            <w:sz w:val="20"/>
            <w:szCs w:val="20"/>
          </w:rPr>
          <w:t>№ 4</w:t>
        </w:r>
      </w:hyperlink>
      <w:r w:rsidRPr="00C747EE">
        <w:rPr>
          <w:rFonts w:ascii="Times New Roman" w:hAnsi="Times New Roman"/>
          <w:sz w:val="20"/>
          <w:szCs w:val="20"/>
        </w:rPr>
        <w:t xml:space="preserve">. </w:t>
      </w:r>
      <w:r w:rsidR="001F6332">
        <w:rPr>
          <w:rFonts w:ascii="Times New Roman" w:hAnsi="Times New Roman"/>
          <w:sz w:val="20"/>
          <w:szCs w:val="20"/>
        </w:rPr>
        <w:t xml:space="preserve">- </w:t>
      </w:r>
      <w:r w:rsidRPr="00C747EE">
        <w:rPr>
          <w:rFonts w:ascii="Times New Roman" w:hAnsi="Times New Roman"/>
          <w:sz w:val="20"/>
          <w:szCs w:val="20"/>
        </w:rPr>
        <w:t xml:space="preserve">С. 42-56; </w:t>
      </w:r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 xml:space="preserve">Гришаева Л.Е. БРИКС и новая роль России в глобальном партнёрстве // </w:t>
      </w:r>
      <w:hyperlink r:id="rId3" w:history="1">
        <w:r w:rsidRPr="00C747EE">
          <w:rPr>
            <w:rStyle w:val="a5"/>
            <w:rFonts w:ascii="Times New Roman" w:hAnsi="Times New Roman"/>
            <w:sz w:val="20"/>
            <w:szCs w:val="20"/>
            <w:vertAlign w:val="baseline"/>
          </w:rPr>
          <w:t>Экономический журнал</w:t>
        </w:r>
      </w:hyperlink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 xml:space="preserve">. </w:t>
      </w:r>
      <w:r w:rsidR="001F6332">
        <w:rPr>
          <w:rFonts w:ascii="Times New Roman" w:hAnsi="Times New Roman"/>
          <w:sz w:val="20"/>
          <w:szCs w:val="20"/>
        </w:rPr>
        <w:t xml:space="preserve">– М., </w:t>
      </w:r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 xml:space="preserve">2012. </w:t>
      </w:r>
      <w:r w:rsidR="001F6332">
        <w:rPr>
          <w:rFonts w:ascii="Times New Roman" w:hAnsi="Times New Roman"/>
          <w:sz w:val="20"/>
          <w:szCs w:val="20"/>
        </w:rPr>
        <w:t xml:space="preserve">- </w:t>
      </w:r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>Т. 27</w:t>
      </w:r>
      <w:r w:rsidR="001F6332">
        <w:rPr>
          <w:rFonts w:ascii="Times New Roman" w:hAnsi="Times New Roman"/>
          <w:sz w:val="20"/>
          <w:szCs w:val="20"/>
        </w:rPr>
        <w:t>,</w:t>
      </w:r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 xml:space="preserve"> </w:t>
      </w:r>
      <w:hyperlink r:id="rId4" w:history="1">
        <w:r w:rsidRPr="00C747EE">
          <w:rPr>
            <w:rStyle w:val="a5"/>
            <w:rFonts w:ascii="Times New Roman" w:hAnsi="Times New Roman"/>
            <w:sz w:val="20"/>
            <w:szCs w:val="20"/>
            <w:vertAlign w:val="baseline"/>
          </w:rPr>
          <w:t>№ 3</w:t>
        </w:r>
      </w:hyperlink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 xml:space="preserve">. </w:t>
      </w:r>
      <w:r w:rsidR="001F6332">
        <w:rPr>
          <w:rFonts w:ascii="Times New Roman" w:hAnsi="Times New Roman"/>
          <w:sz w:val="20"/>
          <w:szCs w:val="20"/>
        </w:rPr>
        <w:t xml:space="preserve">- </w:t>
      </w:r>
      <w:r w:rsidRPr="00C747EE">
        <w:rPr>
          <w:rStyle w:val="a5"/>
          <w:rFonts w:ascii="Times New Roman" w:hAnsi="Times New Roman"/>
          <w:sz w:val="20"/>
          <w:szCs w:val="20"/>
          <w:vertAlign w:val="baseline"/>
        </w:rPr>
        <w:t>С. 6-28.</w:t>
      </w:r>
    </w:p>
  </w:footnote>
  <w:footnote w:id="7">
    <w:p w:rsidR="00C747EE" w:rsidRPr="00C747EE" w:rsidRDefault="00C747EE" w:rsidP="00C747EE">
      <w:pPr>
        <w:pStyle w:val="a3"/>
        <w:ind w:firstLine="709"/>
        <w:jc w:val="both"/>
        <w:rPr>
          <w:rFonts w:ascii="Times New Roman" w:hAnsi="Times New Roman"/>
        </w:rPr>
      </w:pPr>
      <w:r w:rsidRPr="00C747EE">
        <w:rPr>
          <w:rStyle w:val="a5"/>
          <w:rFonts w:ascii="Times New Roman" w:hAnsi="Times New Roman"/>
        </w:rPr>
        <w:footnoteRef/>
      </w:r>
      <w:r w:rsidRPr="00C747EE">
        <w:rPr>
          <w:rFonts w:ascii="Times New Roman" w:hAnsi="Times New Roman"/>
        </w:rPr>
        <w:t xml:space="preserve"> Головнин М.Ю. – Цит. соч.</w:t>
      </w:r>
    </w:p>
  </w:footnote>
  <w:footnote w:id="8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</w:rPr>
        <w:t xml:space="preserve"> </w:t>
      </w:r>
      <w:r w:rsidRPr="00C747EE">
        <w:rPr>
          <w:b w:val="0"/>
          <w:sz w:val="20"/>
          <w:szCs w:val="20"/>
        </w:rPr>
        <w:t xml:space="preserve">Делийская декларация </w:t>
      </w:r>
      <w:r w:rsidR="001F6332">
        <w:rPr>
          <w:b w:val="0"/>
          <w:sz w:val="20"/>
          <w:szCs w:val="20"/>
        </w:rPr>
        <w:t xml:space="preserve">на </w:t>
      </w:r>
      <w:r w:rsidRPr="00C747EE">
        <w:rPr>
          <w:b w:val="0"/>
          <w:sz w:val="20"/>
          <w:szCs w:val="20"/>
        </w:rPr>
        <w:t xml:space="preserve">саммите объединения в Нью-Дели (Индия) 29 марта 2012 г. </w:t>
      </w:r>
      <w:r w:rsidR="001F6332">
        <w:rPr>
          <w:b w:val="0"/>
          <w:sz w:val="20"/>
          <w:szCs w:val="20"/>
        </w:rPr>
        <w:t>-</w:t>
      </w:r>
      <w:r w:rsidRPr="00C747EE">
        <w:rPr>
          <w:b w:val="0"/>
          <w:sz w:val="20"/>
          <w:szCs w:val="20"/>
        </w:rPr>
        <w:t xml:space="preserve"> http://www.kremlin.ru/ref_notes/1189</w:t>
      </w:r>
    </w:p>
  </w:footnote>
  <w:footnote w:id="9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  <w:lang w:val="en-US"/>
        </w:rPr>
        <w:t xml:space="preserve"> </w:t>
      </w:r>
      <w:r w:rsidRPr="00C747EE">
        <w:rPr>
          <w:b w:val="0"/>
          <w:sz w:val="20"/>
          <w:szCs w:val="20"/>
          <w:lang w:val="en-US"/>
        </w:rPr>
        <w:t xml:space="preserve">Xiaochuan Zhou. Reform </w:t>
      </w:r>
      <w:r w:rsidR="001F6332">
        <w:rPr>
          <w:b w:val="0"/>
          <w:sz w:val="20"/>
          <w:szCs w:val="20"/>
          <w:lang w:val="en-US"/>
        </w:rPr>
        <w:t xml:space="preserve">of </w:t>
      </w:r>
      <w:r w:rsidRPr="00C747EE">
        <w:rPr>
          <w:b w:val="0"/>
          <w:sz w:val="20"/>
          <w:szCs w:val="20"/>
          <w:lang w:val="en-US"/>
        </w:rPr>
        <w:t xml:space="preserve">the International Monetary System // BIS Review. </w:t>
      </w:r>
      <w:r w:rsidRPr="00C747EE">
        <w:rPr>
          <w:b w:val="0"/>
          <w:sz w:val="20"/>
          <w:szCs w:val="20"/>
        </w:rPr>
        <w:t>2009.</w:t>
      </w:r>
      <w:r w:rsidR="001F6332">
        <w:rPr>
          <w:b w:val="0"/>
          <w:sz w:val="20"/>
          <w:szCs w:val="20"/>
          <w:lang w:val="en-US"/>
        </w:rPr>
        <w:t xml:space="preserve"> -</w:t>
      </w:r>
      <w:r w:rsidRPr="00C747EE">
        <w:rPr>
          <w:b w:val="0"/>
          <w:sz w:val="20"/>
          <w:szCs w:val="20"/>
        </w:rPr>
        <w:t xml:space="preserve"> </w:t>
      </w:r>
      <w:r w:rsidRPr="00C747EE">
        <w:rPr>
          <w:b w:val="0"/>
          <w:sz w:val="20"/>
          <w:szCs w:val="20"/>
          <w:lang w:val="en-US"/>
        </w:rPr>
        <w:t>N</w:t>
      </w:r>
      <w:r w:rsidRPr="00C747EE">
        <w:rPr>
          <w:b w:val="0"/>
          <w:sz w:val="20"/>
          <w:szCs w:val="20"/>
        </w:rPr>
        <w:t xml:space="preserve"> 41.</w:t>
      </w:r>
    </w:p>
  </w:footnote>
  <w:footnote w:id="10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</w:rPr>
        <w:t xml:space="preserve"> </w:t>
      </w:r>
      <w:r w:rsidRPr="00C747EE">
        <w:rPr>
          <w:b w:val="0"/>
          <w:sz w:val="20"/>
          <w:szCs w:val="20"/>
        </w:rPr>
        <w:t>Петрикова Е.М. Указ соч.</w:t>
      </w:r>
    </w:p>
  </w:footnote>
  <w:footnote w:id="11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</w:rPr>
        <w:t xml:space="preserve"> </w:t>
      </w:r>
      <w:r w:rsidRPr="00C747EE">
        <w:rPr>
          <w:b w:val="0"/>
          <w:sz w:val="20"/>
          <w:szCs w:val="20"/>
        </w:rPr>
        <w:t>Кандалинцев В.Г. Страны БРИКС в потоках прямых иностранных инвестиций // Восточная аналитика. 2012.</w:t>
      </w:r>
      <w:r w:rsidR="00571F8C">
        <w:rPr>
          <w:b w:val="0"/>
          <w:sz w:val="20"/>
          <w:szCs w:val="20"/>
        </w:rPr>
        <w:t xml:space="preserve"> -</w:t>
      </w:r>
      <w:r w:rsidRPr="00C747EE">
        <w:rPr>
          <w:b w:val="0"/>
          <w:sz w:val="20"/>
          <w:szCs w:val="20"/>
        </w:rPr>
        <w:t xml:space="preserve"> № 3. </w:t>
      </w:r>
      <w:r w:rsidR="00571F8C">
        <w:rPr>
          <w:b w:val="0"/>
          <w:sz w:val="20"/>
          <w:szCs w:val="20"/>
        </w:rPr>
        <w:t xml:space="preserve">- </w:t>
      </w:r>
      <w:r w:rsidRPr="00C747EE">
        <w:rPr>
          <w:b w:val="0"/>
          <w:sz w:val="20"/>
          <w:szCs w:val="20"/>
        </w:rPr>
        <w:t>С. 85-95.</w:t>
      </w:r>
      <w:r w:rsidRPr="00C747EE">
        <w:rPr>
          <w:sz w:val="20"/>
          <w:szCs w:val="20"/>
        </w:rPr>
        <w:t xml:space="preserve"> </w:t>
      </w:r>
    </w:p>
  </w:footnote>
  <w:footnote w:id="12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spacing w:val="-4"/>
          <w:sz w:val="20"/>
          <w:szCs w:val="20"/>
        </w:rPr>
        <w:footnoteRef/>
      </w:r>
      <w:r w:rsidRPr="00C747EE">
        <w:rPr>
          <w:spacing w:val="-4"/>
          <w:sz w:val="20"/>
          <w:szCs w:val="20"/>
        </w:rPr>
        <w:t xml:space="preserve"> </w:t>
      </w:r>
      <w:r w:rsidRPr="00C747EE">
        <w:rPr>
          <w:b w:val="0"/>
          <w:spacing w:val="-4"/>
          <w:sz w:val="20"/>
          <w:szCs w:val="20"/>
        </w:rPr>
        <w:t xml:space="preserve">Желуденко Е.П. Внешняя задолженность стран БРИКС // Научные исследования экономического факультета. Электронный журнал. 2012. </w:t>
      </w:r>
      <w:r w:rsidR="00571F8C">
        <w:rPr>
          <w:b w:val="0"/>
          <w:spacing w:val="-4"/>
          <w:sz w:val="20"/>
          <w:szCs w:val="20"/>
        </w:rPr>
        <w:t xml:space="preserve">- </w:t>
      </w:r>
      <w:r w:rsidRPr="00C747EE">
        <w:rPr>
          <w:b w:val="0"/>
          <w:spacing w:val="-4"/>
          <w:sz w:val="20"/>
          <w:szCs w:val="20"/>
        </w:rPr>
        <w:t>Т. 4</w:t>
      </w:r>
      <w:r w:rsidR="00571F8C">
        <w:rPr>
          <w:b w:val="0"/>
          <w:spacing w:val="-4"/>
          <w:sz w:val="20"/>
          <w:szCs w:val="20"/>
        </w:rPr>
        <w:t>,</w:t>
      </w:r>
      <w:r w:rsidRPr="00C747EE">
        <w:rPr>
          <w:b w:val="0"/>
          <w:spacing w:val="-4"/>
          <w:sz w:val="20"/>
          <w:szCs w:val="20"/>
        </w:rPr>
        <w:t xml:space="preserve"> № 1 (7). </w:t>
      </w:r>
      <w:r w:rsidR="00571F8C">
        <w:rPr>
          <w:b w:val="0"/>
          <w:spacing w:val="-4"/>
          <w:sz w:val="20"/>
          <w:szCs w:val="20"/>
        </w:rPr>
        <w:t xml:space="preserve">- </w:t>
      </w:r>
      <w:r w:rsidRPr="00C747EE">
        <w:rPr>
          <w:b w:val="0"/>
          <w:spacing w:val="-4"/>
          <w:sz w:val="20"/>
          <w:szCs w:val="20"/>
        </w:rPr>
        <w:t>С. 72-92.</w:t>
      </w:r>
    </w:p>
  </w:footnote>
  <w:footnote w:id="13">
    <w:p w:rsidR="00C747EE" w:rsidRPr="00C747EE" w:rsidRDefault="00C747EE" w:rsidP="00C7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47EE">
        <w:rPr>
          <w:rStyle w:val="a5"/>
          <w:rFonts w:ascii="Times New Roman" w:hAnsi="Times New Roman"/>
          <w:sz w:val="20"/>
          <w:szCs w:val="20"/>
        </w:rPr>
        <w:footnoteRef/>
      </w:r>
      <w:r w:rsidRPr="00C747EE">
        <w:rPr>
          <w:rFonts w:ascii="Times New Roman" w:hAnsi="Times New Roman"/>
          <w:sz w:val="20"/>
          <w:szCs w:val="20"/>
        </w:rPr>
        <w:t xml:space="preserve"> Форталезская декларация (принята по итогам шестого саммита БРИКС)</w:t>
      </w:r>
      <w:r w:rsidR="00571F8C">
        <w:rPr>
          <w:rFonts w:ascii="Times New Roman" w:hAnsi="Times New Roman"/>
          <w:sz w:val="20"/>
          <w:szCs w:val="20"/>
        </w:rPr>
        <w:t>. -</w:t>
      </w:r>
      <w:r w:rsidRPr="00C747EE">
        <w:rPr>
          <w:rFonts w:ascii="Times New Roman" w:hAnsi="Times New Roman"/>
          <w:sz w:val="20"/>
          <w:szCs w:val="20"/>
        </w:rPr>
        <w:t xml:space="preserve"> http://www.kremlin.ru/media/events/files/41d4f1dd6741763252a8.pdf</w:t>
      </w:r>
    </w:p>
  </w:footnote>
  <w:footnote w:id="14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b w:val="0"/>
          <w:sz w:val="20"/>
          <w:szCs w:val="20"/>
        </w:rPr>
        <w:footnoteRef/>
      </w:r>
      <w:r w:rsidRPr="00C747EE">
        <w:rPr>
          <w:b w:val="0"/>
          <w:sz w:val="20"/>
          <w:szCs w:val="20"/>
        </w:rPr>
        <w:t xml:space="preserve"> Форталезская декларация</w:t>
      </w:r>
      <w:r w:rsidR="00571F8C">
        <w:rPr>
          <w:b w:val="0"/>
          <w:sz w:val="20"/>
          <w:szCs w:val="20"/>
        </w:rPr>
        <w:t>;</w:t>
      </w:r>
      <w:r w:rsidRPr="00C747EE">
        <w:rPr>
          <w:b w:val="0"/>
          <w:sz w:val="20"/>
          <w:szCs w:val="20"/>
        </w:rPr>
        <w:t xml:space="preserve"> Чебан А.В. Создание Банка развития и Пула валютных резервов БРИКС // </w:t>
      </w:r>
      <w:hyperlink r:id="rId5" w:history="1">
        <w:r w:rsidRPr="00C747EE">
          <w:rPr>
            <w:b w:val="0"/>
            <w:sz w:val="20"/>
            <w:szCs w:val="20"/>
          </w:rPr>
          <w:t>Альманах современной науки и образования</w:t>
        </w:r>
      </w:hyperlink>
      <w:r w:rsidRPr="00C747EE">
        <w:rPr>
          <w:b w:val="0"/>
          <w:sz w:val="20"/>
          <w:szCs w:val="20"/>
        </w:rPr>
        <w:t>. 2015.</w:t>
      </w:r>
      <w:r w:rsidRPr="00571F8C">
        <w:rPr>
          <w:b w:val="0"/>
          <w:sz w:val="20"/>
          <w:szCs w:val="20"/>
        </w:rPr>
        <w:t xml:space="preserve"> </w:t>
      </w:r>
      <w:r w:rsidR="00571F8C">
        <w:rPr>
          <w:b w:val="0"/>
          <w:sz w:val="20"/>
          <w:szCs w:val="20"/>
        </w:rPr>
        <w:t xml:space="preserve">- </w:t>
      </w:r>
      <w:hyperlink r:id="rId6" w:history="1">
        <w:r w:rsidRPr="00C747EE">
          <w:rPr>
            <w:b w:val="0"/>
            <w:sz w:val="20"/>
            <w:szCs w:val="20"/>
          </w:rPr>
          <w:t>№</w:t>
        </w:r>
        <w:r w:rsidRPr="00571F8C">
          <w:rPr>
            <w:b w:val="0"/>
            <w:sz w:val="20"/>
            <w:szCs w:val="20"/>
          </w:rPr>
          <w:t xml:space="preserve"> </w:t>
        </w:r>
        <w:r w:rsidRPr="00C747EE">
          <w:rPr>
            <w:b w:val="0"/>
            <w:sz w:val="20"/>
            <w:szCs w:val="20"/>
          </w:rPr>
          <w:t>3</w:t>
        </w:r>
        <w:r w:rsidRPr="00571F8C">
          <w:rPr>
            <w:b w:val="0"/>
            <w:sz w:val="20"/>
            <w:szCs w:val="20"/>
          </w:rPr>
          <w:t xml:space="preserve"> </w:t>
        </w:r>
        <w:r w:rsidRPr="00C747EE">
          <w:rPr>
            <w:b w:val="0"/>
            <w:sz w:val="20"/>
            <w:szCs w:val="20"/>
          </w:rPr>
          <w:t>(93)</w:t>
        </w:r>
      </w:hyperlink>
      <w:r w:rsidRPr="00C747EE">
        <w:rPr>
          <w:b w:val="0"/>
          <w:sz w:val="20"/>
          <w:szCs w:val="20"/>
        </w:rPr>
        <w:t xml:space="preserve">. </w:t>
      </w:r>
      <w:r w:rsidR="00571F8C">
        <w:rPr>
          <w:b w:val="0"/>
          <w:sz w:val="20"/>
          <w:szCs w:val="20"/>
        </w:rPr>
        <w:t xml:space="preserve">- </w:t>
      </w:r>
      <w:r w:rsidRPr="00C747EE">
        <w:rPr>
          <w:b w:val="0"/>
          <w:sz w:val="20"/>
          <w:szCs w:val="20"/>
        </w:rPr>
        <w:t>С. 127-129.</w:t>
      </w:r>
    </w:p>
  </w:footnote>
  <w:footnote w:id="15">
    <w:p w:rsidR="00C747EE" w:rsidRPr="00C747EE" w:rsidRDefault="00C747EE" w:rsidP="00C747EE">
      <w:pPr>
        <w:pStyle w:val="a3"/>
        <w:ind w:firstLine="709"/>
        <w:jc w:val="both"/>
        <w:rPr>
          <w:rFonts w:ascii="Times New Roman" w:hAnsi="Times New Roman"/>
        </w:rPr>
      </w:pPr>
      <w:r w:rsidRPr="00C747EE">
        <w:rPr>
          <w:rStyle w:val="a5"/>
          <w:rFonts w:ascii="Times New Roman" w:hAnsi="Times New Roman"/>
        </w:rPr>
        <w:footnoteRef/>
      </w:r>
      <w:r w:rsidRPr="00C747EE">
        <w:rPr>
          <w:rFonts w:ascii="Times New Roman" w:hAnsi="Times New Roman"/>
        </w:rPr>
        <w:t xml:space="preserve"> </w:t>
      </w:r>
      <w:r w:rsidRPr="00C747EE">
        <w:rPr>
          <w:rStyle w:val="af"/>
          <w:rFonts w:ascii="Times New Roman" w:hAnsi="Times New Roman"/>
          <w:bCs/>
          <w:i w:val="0"/>
          <w:iCs w:val="0"/>
          <w:shd w:val="clear" w:color="auto" w:fill="FFFFFF"/>
        </w:rPr>
        <w:t>Статьи соглашения Международного Валютного Фонда</w:t>
      </w:r>
      <w:r w:rsidR="00571F8C">
        <w:rPr>
          <w:rStyle w:val="af"/>
          <w:rFonts w:ascii="Times New Roman" w:hAnsi="Times New Roman"/>
          <w:bCs/>
          <w:i w:val="0"/>
          <w:iCs w:val="0"/>
          <w:shd w:val="clear" w:color="auto" w:fill="FFFFFF"/>
        </w:rPr>
        <w:t>- -</w:t>
      </w:r>
      <w:r w:rsidRPr="00C747EE">
        <w:rPr>
          <w:rFonts w:ascii="Times New Roman" w:hAnsi="Times New Roman"/>
        </w:rPr>
        <w:t xml:space="preserve"> </w:t>
      </w:r>
      <w:r w:rsidRPr="00C747EE">
        <w:rPr>
          <w:rFonts w:ascii="Times New Roman" w:hAnsi="Times New Roman"/>
          <w:lang w:val="en-US"/>
        </w:rPr>
        <w:t>https</w:t>
      </w:r>
      <w:r w:rsidRPr="00C747EE">
        <w:rPr>
          <w:rFonts w:ascii="Times New Roman" w:hAnsi="Times New Roman"/>
        </w:rPr>
        <w:t>://</w:t>
      </w:r>
      <w:r w:rsidRPr="00C747EE">
        <w:rPr>
          <w:rFonts w:ascii="Times New Roman" w:hAnsi="Times New Roman"/>
          <w:lang w:val="en-US"/>
        </w:rPr>
        <w:t>www</w:t>
      </w:r>
      <w:r w:rsidRPr="00C747EE">
        <w:rPr>
          <w:rFonts w:ascii="Times New Roman" w:hAnsi="Times New Roman"/>
        </w:rPr>
        <w:t>.</w:t>
      </w:r>
      <w:r w:rsidRPr="00C747EE">
        <w:rPr>
          <w:rFonts w:ascii="Times New Roman" w:hAnsi="Times New Roman"/>
          <w:lang w:val="en-US"/>
        </w:rPr>
        <w:t>imf</w:t>
      </w:r>
      <w:r w:rsidRPr="00C747EE">
        <w:rPr>
          <w:rFonts w:ascii="Times New Roman" w:hAnsi="Times New Roman"/>
        </w:rPr>
        <w:t>.</w:t>
      </w:r>
      <w:r w:rsidRPr="00C747EE">
        <w:rPr>
          <w:rFonts w:ascii="Times New Roman" w:hAnsi="Times New Roman"/>
          <w:lang w:val="en-US"/>
        </w:rPr>
        <w:t>org</w:t>
      </w:r>
      <w:r w:rsidRPr="00C747EE">
        <w:rPr>
          <w:rFonts w:ascii="Times New Roman" w:hAnsi="Times New Roman"/>
        </w:rPr>
        <w:t>/</w:t>
      </w:r>
      <w:r w:rsidRPr="00C747EE">
        <w:rPr>
          <w:rFonts w:ascii="Times New Roman" w:hAnsi="Times New Roman"/>
          <w:lang w:val="en-US"/>
        </w:rPr>
        <w:t>external</w:t>
      </w:r>
      <w:r w:rsidRPr="00C747EE">
        <w:rPr>
          <w:rFonts w:ascii="Times New Roman" w:hAnsi="Times New Roman"/>
        </w:rPr>
        <w:t>/</w:t>
      </w:r>
      <w:r w:rsidRPr="00C747EE">
        <w:rPr>
          <w:rFonts w:ascii="Times New Roman" w:hAnsi="Times New Roman"/>
          <w:lang w:val="en-US"/>
        </w:rPr>
        <w:t>pubs</w:t>
      </w:r>
      <w:r w:rsidRPr="00C747EE">
        <w:rPr>
          <w:rFonts w:ascii="Times New Roman" w:hAnsi="Times New Roman"/>
        </w:rPr>
        <w:t>/</w:t>
      </w:r>
      <w:r w:rsidRPr="00C747EE">
        <w:rPr>
          <w:rFonts w:ascii="Times New Roman" w:hAnsi="Times New Roman"/>
          <w:lang w:val="en-US"/>
        </w:rPr>
        <w:t>ft</w:t>
      </w:r>
      <w:r w:rsidRPr="00C747EE">
        <w:rPr>
          <w:rFonts w:ascii="Times New Roman" w:hAnsi="Times New Roman"/>
        </w:rPr>
        <w:t>/</w:t>
      </w:r>
      <w:r w:rsidRPr="00C747EE">
        <w:rPr>
          <w:rFonts w:ascii="Times New Roman" w:hAnsi="Times New Roman"/>
          <w:lang w:val="en-US"/>
        </w:rPr>
        <w:t>aa</w:t>
      </w:r>
      <w:r w:rsidRPr="00C747EE">
        <w:rPr>
          <w:rFonts w:ascii="Times New Roman" w:hAnsi="Times New Roman"/>
        </w:rPr>
        <w:t>/</w:t>
      </w:r>
      <w:r w:rsidRPr="00C747EE">
        <w:rPr>
          <w:rFonts w:ascii="Times New Roman" w:hAnsi="Times New Roman"/>
          <w:lang w:val="en-US"/>
        </w:rPr>
        <w:t>rus</w:t>
      </w:r>
      <w:r w:rsidRPr="00C747EE">
        <w:rPr>
          <w:rFonts w:ascii="Times New Roman" w:hAnsi="Times New Roman"/>
        </w:rPr>
        <w:t>/</w:t>
      </w:r>
      <w:r w:rsidRPr="00C747EE">
        <w:rPr>
          <w:rFonts w:ascii="Times New Roman" w:hAnsi="Times New Roman"/>
          <w:lang w:val="en-US"/>
        </w:rPr>
        <w:t>index</w:t>
      </w:r>
      <w:r w:rsidRPr="00C747EE">
        <w:rPr>
          <w:rFonts w:ascii="Times New Roman" w:hAnsi="Times New Roman"/>
        </w:rPr>
        <w:t>.</w:t>
      </w:r>
      <w:r w:rsidRPr="00C747EE">
        <w:rPr>
          <w:rFonts w:ascii="Times New Roman" w:hAnsi="Times New Roman"/>
          <w:lang w:val="en-US"/>
        </w:rPr>
        <w:t>pdf</w:t>
      </w:r>
    </w:p>
  </w:footnote>
  <w:footnote w:id="16">
    <w:p w:rsidR="00C747EE" w:rsidRPr="00C747EE" w:rsidRDefault="00C747EE" w:rsidP="00C747EE">
      <w:pPr>
        <w:pStyle w:val="a3"/>
        <w:ind w:firstLine="709"/>
        <w:jc w:val="both"/>
        <w:rPr>
          <w:rFonts w:ascii="Times New Roman" w:hAnsi="Times New Roman"/>
        </w:rPr>
      </w:pPr>
      <w:r w:rsidRPr="00C747EE">
        <w:rPr>
          <w:rStyle w:val="a5"/>
          <w:rFonts w:ascii="Times New Roman" w:hAnsi="Times New Roman"/>
        </w:rPr>
        <w:footnoteRef/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IMF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Members</w:t>
      </w:r>
      <w:r w:rsidRPr="00C747EE">
        <w:rPr>
          <w:rStyle w:val="a5"/>
          <w:rFonts w:ascii="Times New Roman" w:hAnsi="Times New Roman"/>
          <w:vertAlign w:val="baseline"/>
        </w:rPr>
        <w:t xml:space="preserve">'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Quotas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and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Voting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Power</w:t>
      </w:r>
      <w:r w:rsidRPr="00C747EE">
        <w:rPr>
          <w:rStyle w:val="a5"/>
          <w:rFonts w:ascii="Times New Roman" w:hAnsi="Times New Roman"/>
          <w:vertAlign w:val="baseline"/>
        </w:rPr>
        <w:t xml:space="preserve">,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and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IMF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Board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of</w:t>
      </w:r>
      <w:r w:rsidRPr="00C747EE">
        <w:rPr>
          <w:rStyle w:val="a5"/>
          <w:rFonts w:ascii="Times New Roman" w:hAnsi="Times New Roman"/>
          <w:vertAlign w:val="baseline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Governors</w:t>
      </w:r>
      <w:r w:rsidR="00D41184">
        <w:rPr>
          <w:rFonts w:ascii="Times New Roman" w:hAnsi="Times New Roman"/>
        </w:rPr>
        <w:t>. -</w:t>
      </w:r>
      <w:r w:rsidRPr="00C747EE">
        <w:rPr>
          <w:rFonts w:ascii="Times New Roman" w:hAnsi="Times New Roman"/>
        </w:rPr>
        <w:t xml:space="preserve"> 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https</w:t>
      </w:r>
      <w:r w:rsidRPr="00C747EE">
        <w:rPr>
          <w:rStyle w:val="a5"/>
          <w:rFonts w:ascii="Times New Roman" w:hAnsi="Times New Roman"/>
          <w:vertAlign w:val="baseline"/>
        </w:rPr>
        <w:t>://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www</w:t>
      </w:r>
      <w:r w:rsidRPr="00C747EE">
        <w:rPr>
          <w:rStyle w:val="a5"/>
          <w:rFonts w:ascii="Times New Roman" w:hAnsi="Times New Roman"/>
          <w:vertAlign w:val="baseline"/>
        </w:rPr>
        <w:t>.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imf</w:t>
      </w:r>
      <w:r w:rsidRPr="00C747EE">
        <w:rPr>
          <w:rStyle w:val="a5"/>
          <w:rFonts w:ascii="Times New Roman" w:hAnsi="Times New Roman"/>
          <w:vertAlign w:val="baseline"/>
        </w:rPr>
        <w:t>.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org</w:t>
      </w:r>
      <w:r w:rsidRPr="00C747EE">
        <w:rPr>
          <w:rStyle w:val="a5"/>
          <w:rFonts w:ascii="Times New Roman" w:hAnsi="Times New Roman"/>
          <w:vertAlign w:val="baseline"/>
        </w:rPr>
        <w:t>/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external</w:t>
      </w:r>
      <w:r w:rsidRPr="00C747EE">
        <w:rPr>
          <w:rStyle w:val="a5"/>
          <w:rFonts w:ascii="Times New Roman" w:hAnsi="Times New Roman"/>
          <w:vertAlign w:val="baseline"/>
        </w:rPr>
        <w:t>/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np</w:t>
      </w:r>
      <w:r w:rsidRPr="00C747EE">
        <w:rPr>
          <w:rStyle w:val="a5"/>
          <w:rFonts w:ascii="Times New Roman" w:hAnsi="Times New Roman"/>
          <w:vertAlign w:val="baseline"/>
        </w:rPr>
        <w:t>/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sec</w:t>
      </w:r>
      <w:r w:rsidRPr="00C747EE">
        <w:rPr>
          <w:rStyle w:val="a5"/>
          <w:rFonts w:ascii="Times New Roman" w:hAnsi="Times New Roman"/>
          <w:vertAlign w:val="baseline"/>
        </w:rPr>
        <w:t>/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memdir</w:t>
      </w:r>
      <w:r w:rsidRPr="00C747EE">
        <w:rPr>
          <w:rStyle w:val="a5"/>
          <w:rFonts w:ascii="Times New Roman" w:hAnsi="Times New Roman"/>
          <w:vertAlign w:val="baseline"/>
        </w:rPr>
        <w:t>/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members</w:t>
      </w:r>
      <w:r w:rsidRPr="00C747EE">
        <w:rPr>
          <w:rStyle w:val="a5"/>
          <w:rFonts w:ascii="Times New Roman" w:hAnsi="Times New Roman"/>
          <w:vertAlign w:val="baseline"/>
        </w:rPr>
        <w:t>.</w:t>
      </w:r>
      <w:r w:rsidRPr="00C747EE">
        <w:rPr>
          <w:rStyle w:val="a5"/>
          <w:rFonts w:ascii="Times New Roman" w:hAnsi="Times New Roman"/>
          <w:vertAlign w:val="baseline"/>
          <w:lang w:val="en-US"/>
        </w:rPr>
        <w:t>aspx</w:t>
      </w:r>
    </w:p>
  </w:footnote>
  <w:footnote w:id="17">
    <w:p w:rsidR="00C747EE" w:rsidRPr="00C747EE" w:rsidRDefault="00C747EE" w:rsidP="00C747EE">
      <w:pPr>
        <w:pStyle w:val="a3"/>
        <w:ind w:firstLine="709"/>
        <w:jc w:val="both"/>
        <w:rPr>
          <w:rFonts w:ascii="Times New Roman" w:hAnsi="Times New Roman"/>
          <w:lang w:val="en-US"/>
        </w:rPr>
      </w:pPr>
      <w:r w:rsidRPr="00C747EE">
        <w:rPr>
          <w:rStyle w:val="a5"/>
          <w:rFonts w:ascii="Times New Roman" w:hAnsi="Times New Roman"/>
        </w:rPr>
        <w:footnoteRef/>
      </w:r>
      <w:r w:rsidRPr="00C747EE">
        <w:rPr>
          <w:rFonts w:ascii="Times New Roman" w:hAnsi="Times New Roman"/>
          <w:lang w:val="en-US"/>
        </w:rPr>
        <w:t xml:space="preserve"> Treaty for the Establishment of a BRICS Contingent Reserve Arrangement – ibid. </w:t>
      </w:r>
    </w:p>
  </w:footnote>
  <w:footnote w:id="18">
    <w:p w:rsidR="00C747EE" w:rsidRPr="00C747EE" w:rsidRDefault="00C747EE" w:rsidP="00C747EE">
      <w:pPr>
        <w:pStyle w:val="a3"/>
        <w:ind w:firstLine="709"/>
        <w:jc w:val="both"/>
        <w:rPr>
          <w:rFonts w:ascii="Times New Roman" w:hAnsi="Times New Roman"/>
          <w:lang w:val="en-US"/>
        </w:rPr>
      </w:pPr>
      <w:r w:rsidRPr="00C747EE">
        <w:rPr>
          <w:rStyle w:val="a5"/>
          <w:rFonts w:ascii="Times New Roman" w:hAnsi="Times New Roman"/>
        </w:rPr>
        <w:footnoteRef/>
      </w:r>
      <w:r w:rsidRPr="00C747EE">
        <w:rPr>
          <w:rFonts w:ascii="Times New Roman" w:hAnsi="Times New Roman"/>
          <w:lang w:val="en-US"/>
        </w:rPr>
        <w:t xml:space="preserve"> Biziwick M., Cattaneo N.</w:t>
      </w:r>
      <w:r w:rsidR="00D41184">
        <w:rPr>
          <w:rFonts w:ascii="Times New Roman" w:hAnsi="Times New Roman"/>
          <w:lang w:val="en-US"/>
        </w:rPr>
        <w:t>,</w:t>
      </w:r>
      <w:r w:rsidRPr="00C747EE">
        <w:rPr>
          <w:rFonts w:ascii="Times New Roman" w:hAnsi="Times New Roman"/>
          <w:lang w:val="en-US"/>
        </w:rPr>
        <w:t xml:space="preserve"> </w:t>
      </w:r>
      <w:r w:rsidR="00D41184" w:rsidRPr="00C747EE">
        <w:rPr>
          <w:rFonts w:ascii="Times New Roman" w:hAnsi="Times New Roman"/>
          <w:lang w:val="en-US"/>
        </w:rPr>
        <w:t xml:space="preserve">Fryer </w:t>
      </w:r>
      <w:r w:rsidRPr="00C747EE">
        <w:rPr>
          <w:rFonts w:ascii="Times New Roman" w:hAnsi="Times New Roman"/>
          <w:lang w:val="en-US"/>
        </w:rPr>
        <w:t xml:space="preserve">D. The rationale for and potential role of the BRICS Contingent Reserve </w:t>
      </w:r>
      <w:r w:rsidR="00D41184">
        <w:rPr>
          <w:rFonts w:ascii="Times New Roman" w:hAnsi="Times New Roman"/>
          <w:lang w:val="en-US"/>
        </w:rPr>
        <w:t>Arrangement //</w:t>
      </w:r>
      <w:r w:rsidRPr="00C747EE">
        <w:rPr>
          <w:rFonts w:ascii="Times New Roman" w:hAnsi="Times New Roman"/>
          <w:lang w:val="en-US"/>
        </w:rPr>
        <w:t xml:space="preserve"> South African Journal of International Affairs</w:t>
      </w:r>
      <w:r w:rsidR="00D41184">
        <w:rPr>
          <w:rFonts w:ascii="Times New Roman" w:hAnsi="Times New Roman"/>
          <w:lang w:val="en-US"/>
        </w:rPr>
        <w:t>.</w:t>
      </w:r>
      <w:r w:rsidRPr="00C747EE">
        <w:rPr>
          <w:rFonts w:ascii="Times New Roman" w:hAnsi="Times New Roman"/>
          <w:lang w:val="en-US"/>
        </w:rPr>
        <w:t xml:space="preserve"> 2015. - DOI: 0.1080/10220461.2015.1069208</w:t>
      </w:r>
    </w:p>
  </w:footnote>
  <w:footnote w:id="19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en-US"/>
        </w:rPr>
      </w:pPr>
      <w:r w:rsidRPr="00C747EE">
        <w:rPr>
          <w:rStyle w:val="a5"/>
          <w:sz w:val="20"/>
          <w:szCs w:val="20"/>
        </w:rPr>
        <w:footnoteRef/>
      </w:r>
      <w:r w:rsidRPr="00C747EE">
        <w:rPr>
          <w:sz w:val="20"/>
          <w:szCs w:val="20"/>
        </w:rPr>
        <w:t xml:space="preserve"> </w:t>
      </w:r>
      <w:r w:rsidRPr="00C747EE">
        <w:rPr>
          <w:b w:val="0"/>
          <w:sz w:val="20"/>
          <w:szCs w:val="20"/>
        </w:rPr>
        <w:t>Ярыгина И.З. Роль банков развития в обеспечении экономических интересов БРИКС // Экономика. Налоги</w:t>
      </w:r>
      <w:r w:rsidRPr="00C747EE">
        <w:rPr>
          <w:b w:val="0"/>
          <w:sz w:val="20"/>
          <w:szCs w:val="20"/>
          <w:lang w:val="en-US"/>
        </w:rPr>
        <w:t xml:space="preserve">. </w:t>
      </w:r>
      <w:r w:rsidRPr="00C747EE">
        <w:rPr>
          <w:b w:val="0"/>
          <w:sz w:val="20"/>
          <w:szCs w:val="20"/>
        </w:rPr>
        <w:t>Право</w:t>
      </w:r>
      <w:r w:rsidRPr="00C747EE">
        <w:rPr>
          <w:b w:val="0"/>
          <w:sz w:val="20"/>
          <w:szCs w:val="20"/>
          <w:lang w:val="en-US"/>
        </w:rPr>
        <w:t xml:space="preserve">. 2015. </w:t>
      </w:r>
      <w:r w:rsidR="00D41184">
        <w:rPr>
          <w:b w:val="0"/>
          <w:sz w:val="20"/>
          <w:szCs w:val="20"/>
          <w:lang w:val="en-US"/>
        </w:rPr>
        <w:t xml:space="preserve">- </w:t>
      </w:r>
      <w:hyperlink r:id="rId7" w:history="1">
        <w:r w:rsidRPr="00C747EE">
          <w:rPr>
            <w:b w:val="0"/>
            <w:sz w:val="20"/>
            <w:szCs w:val="20"/>
            <w:lang w:val="en-US"/>
          </w:rPr>
          <w:t>№ 3</w:t>
        </w:r>
      </w:hyperlink>
      <w:r w:rsidRPr="00C747EE">
        <w:rPr>
          <w:b w:val="0"/>
          <w:sz w:val="20"/>
          <w:szCs w:val="20"/>
          <w:lang w:val="en-US"/>
        </w:rPr>
        <w:t xml:space="preserve">. </w:t>
      </w:r>
      <w:r w:rsidR="00D41184">
        <w:rPr>
          <w:b w:val="0"/>
          <w:sz w:val="20"/>
          <w:szCs w:val="20"/>
          <w:lang w:val="en-US"/>
        </w:rPr>
        <w:t xml:space="preserve">- </w:t>
      </w:r>
      <w:r w:rsidRPr="00C747EE">
        <w:rPr>
          <w:b w:val="0"/>
          <w:sz w:val="20"/>
          <w:szCs w:val="20"/>
        </w:rPr>
        <w:t>С</w:t>
      </w:r>
      <w:r w:rsidRPr="00C747EE">
        <w:rPr>
          <w:b w:val="0"/>
          <w:sz w:val="20"/>
          <w:szCs w:val="20"/>
          <w:lang w:val="en-US"/>
        </w:rPr>
        <w:t>. 102-108.</w:t>
      </w:r>
    </w:p>
  </w:footnote>
  <w:footnote w:id="20">
    <w:p w:rsidR="00C747EE" w:rsidRPr="00C747EE" w:rsidRDefault="00C747EE" w:rsidP="00C747EE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C747EE">
        <w:rPr>
          <w:rStyle w:val="a5"/>
          <w:rFonts w:ascii="Times New Roman" w:hAnsi="Times New Roman"/>
          <w:color w:val="auto"/>
          <w:sz w:val="20"/>
          <w:szCs w:val="20"/>
        </w:rPr>
        <w:footnoteRef/>
      </w:r>
      <w:r w:rsidRPr="00C747EE">
        <w:rPr>
          <w:rFonts w:ascii="Times New Roman" w:hAnsi="Times New Roman"/>
          <w:color w:val="auto"/>
          <w:sz w:val="20"/>
          <w:szCs w:val="20"/>
          <w:lang w:val="en-US"/>
        </w:rPr>
        <w:t xml:space="preserve"> Information Statement International Bank for Reconstruction and Development</w:t>
      </w:r>
      <w:r w:rsidR="00F969AE">
        <w:rPr>
          <w:rFonts w:ascii="Times New Roman" w:hAnsi="Times New Roman"/>
          <w:color w:val="auto"/>
          <w:sz w:val="20"/>
          <w:szCs w:val="20"/>
          <w:lang w:val="en-US"/>
        </w:rPr>
        <w:t>. -</w:t>
      </w:r>
      <w:r w:rsidRPr="00C747EE">
        <w:rPr>
          <w:rFonts w:ascii="Times New Roman" w:hAnsi="Times New Roman"/>
          <w:color w:val="auto"/>
          <w:sz w:val="20"/>
          <w:szCs w:val="20"/>
          <w:lang w:val="en-US"/>
        </w:rPr>
        <w:t xml:space="preserve"> http://treasury.worldbank.org/cmd/pdf/InformationStatement.pdf</w:t>
      </w:r>
    </w:p>
  </w:footnote>
  <w:footnote w:id="21">
    <w:p w:rsidR="00C747EE" w:rsidRPr="00C747EE" w:rsidRDefault="00C747EE" w:rsidP="00C747EE">
      <w:pPr>
        <w:pStyle w:val="a3"/>
        <w:ind w:firstLine="709"/>
        <w:jc w:val="both"/>
        <w:rPr>
          <w:rFonts w:ascii="Times New Roman" w:hAnsi="Times New Roman"/>
          <w:lang w:val="en-US"/>
        </w:rPr>
      </w:pPr>
      <w:r w:rsidRPr="00C747EE">
        <w:rPr>
          <w:rStyle w:val="a5"/>
          <w:rFonts w:ascii="Times New Roman" w:hAnsi="Times New Roman"/>
        </w:rPr>
        <w:footnoteRef/>
      </w:r>
      <w:r w:rsidRPr="00C747EE">
        <w:rPr>
          <w:rFonts w:ascii="Times New Roman" w:hAnsi="Times New Roman"/>
          <w:lang w:val="en-US"/>
        </w:rPr>
        <w:t xml:space="preserve"> International Bank for Reconstruction and Development. Articles of Agreement</w:t>
      </w:r>
      <w:r w:rsidR="00D41184">
        <w:rPr>
          <w:rFonts w:ascii="Times New Roman" w:hAnsi="Times New Roman"/>
          <w:lang w:val="en-US"/>
        </w:rPr>
        <w:t xml:space="preserve">. - </w:t>
      </w:r>
      <w:r w:rsidRPr="00C747EE">
        <w:rPr>
          <w:rFonts w:ascii="Times New Roman" w:hAnsi="Times New Roman"/>
          <w:lang w:val="en-US"/>
        </w:rPr>
        <w:t>http://siteresources.worldbank.org/EXTABOUTUS/Resources/ibrd-articlesofagreement.pdf</w:t>
      </w:r>
    </w:p>
  </w:footnote>
  <w:footnote w:id="22">
    <w:p w:rsidR="00C747EE" w:rsidRPr="00C747EE" w:rsidRDefault="00C747EE" w:rsidP="00C747EE">
      <w:pPr>
        <w:pStyle w:val="2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C747EE">
        <w:rPr>
          <w:rStyle w:val="a5"/>
          <w:rFonts w:ascii="Times New Roman" w:hAnsi="Times New Roman"/>
          <w:color w:val="auto"/>
          <w:sz w:val="20"/>
          <w:szCs w:val="20"/>
        </w:rPr>
        <w:footnoteRef/>
      </w:r>
      <w:r w:rsidRPr="00C747EE">
        <w:rPr>
          <w:rFonts w:ascii="Times New Roman" w:hAnsi="Times New Roman"/>
          <w:color w:val="auto"/>
          <w:sz w:val="20"/>
          <w:szCs w:val="20"/>
          <w:lang w:val="en-US"/>
        </w:rPr>
        <w:t xml:space="preserve"> Millennium development goals: World Bank’s Role</w:t>
      </w:r>
      <w:r w:rsidR="00D41184">
        <w:rPr>
          <w:rFonts w:ascii="Times New Roman" w:hAnsi="Times New Roman"/>
          <w:color w:val="auto"/>
          <w:sz w:val="20"/>
          <w:szCs w:val="20"/>
          <w:lang w:val="en-US"/>
        </w:rPr>
        <w:t xml:space="preserve">. - </w:t>
      </w:r>
      <w:r w:rsidRPr="00C747EE">
        <w:rPr>
          <w:rFonts w:ascii="Times New Roman" w:hAnsi="Times New Roman"/>
          <w:color w:val="auto"/>
          <w:sz w:val="20"/>
          <w:szCs w:val="20"/>
          <w:lang w:val="en-US"/>
        </w:rPr>
        <w:t>http://www.worldbank.org/mdgs/</w:t>
      </w:r>
    </w:p>
  </w:footnote>
  <w:footnote w:id="23">
    <w:p w:rsidR="00C747EE" w:rsidRPr="00D41184" w:rsidRDefault="00C747EE" w:rsidP="00C747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C747EE">
        <w:rPr>
          <w:rFonts w:ascii="Times New Roman" w:hAnsi="Times New Roman"/>
          <w:sz w:val="20"/>
          <w:szCs w:val="20"/>
          <w:vertAlign w:val="superscript"/>
        </w:rPr>
        <w:footnoteRef/>
      </w:r>
      <w:r w:rsidRPr="00C747EE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  <w:r w:rsidRPr="00C747EE">
        <w:rPr>
          <w:rFonts w:ascii="Times New Roman" w:hAnsi="Times New Roman"/>
          <w:sz w:val="20"/>
          <w:szCs w:val="20"/>
          <w:lang w:val="en-US"/>
        </w:rPr>
        <w:t xml:space="preserve">Agreement on the New Development Bank – Fortaleza, July 15. </w:t>
      </w:r>
      <w:r w:rsidR="00D41184" w:rsidRPr="00D41184">
        <w:rPr>
          <w:rFonts w:ascii="Times New Roman" w:hAnsi="Times New Roman"/>
          <w:sz w:val="20"/>
          <w:szCs w:val="20"/>
          <w:lang w:val="en-US"/>
        </w:rPr>
        <w:t xml:space="preserve">- </w:t>
      </w:r>
      <w:hyperlink r:id="rId8" w:history="1"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://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brics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.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itamaraty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.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gov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.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br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/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media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2/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press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releases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/219-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agreement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on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the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new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development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bank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fortaleza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</w:t>
        </w:r>
        <w:r w:rsidRPr="00C747EE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july</w:t>
        </w:r>
        <w:r w:rsidRPr="00D41184">
          <w:rPr>
            <w:rStyle w:val="a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-15</w:t>
        </w:r>
      </w:hyperlink>
      <w:r w:rsidRPr="00D41184">
        <w:rPr>
          <w:rFonts w:ascii="Times New Roman" w:hAnsi="Times New Roman"/>
          <w:sz w:val="20"/>
          <w:szCs w:val="20"/>
          <w:lang w:val="en-US"/>
        </w:rPr>
        <w:t xml:space="preserve"> </w:t>
      </w:r>
    </w:p>
  </w:footnote>
  <w:footnote w:id="24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b w:val="0"/>
          <w:sz w:val="20"/>
          <w:szCs w:val="20"/>
        </w:rPr>
        <w:footnoteRef/>
      </w:r>
      <w:r w:rsidRPr="00C747EE">
        <w:rPr>
          <w:b w:val="0"/>
          <w:sz w:val="20"/>
          <w:szCs w:val="20"/>
        </w:rPr>
        <w:t xml:space="preserve"> Харитонова Ю.Н. Перспективы российской денежной системы в проекте БРИКС // Мир современной науки. 2012. </w:t>
      </w:r>
      <w:r w:rsidR="00EB62A2">
        <w:rPr>
          <w:b w:val="0"/>
          <w:sz w:val="20"/>
          <w:szCs w:val="20"/>
        </w:rPr>
        <w:t xml:space="preserve">- </w:t>
      </w:r>
      <w:r w:rsidRPr="00C747EE">
        <w:rPr>
          <w:b w:val="0"/>
          <w:sz w:val="20"/>
          <w:szCs w:val="20"/>
        </w:rPr>
        <w:t>№ 5.</w:t>
      </w:r>
      <w:r w:rsidR="00EB62A2">
        <w:rPr>
          <w:b w:val="0"/>
          <w:sz w:val="20"/>
          <w:szCs w:val="20"/>
        </w:rPr>
        <w:t xml:space="preserve"> -</w:t>
      </w:r>
      <w:r w:rsidRPr="00C747EE">
        <w:rPr>
          <w:b w:val="0"/>
          <w:sz w:val="20"/>
          <w:szCs w:val="20"/>
        </w:rPr>
        <w:t xml:space="preserve"> С. 58-60.</w:t>
      </w:r>
    </w:p>
  </w:footnote>
  <w:footnote w:id="25">
    <w:p w:rsidR="00C747EE" w:rsidRPr="00C747EE" w:rsidRDefault="00C747EE" w:rsidP="00C747E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747EE">
        <w:rPr>
          <w:rStyle w:val="a5"/>
          <w:b w:val="0"/>
          <w:sz w:val="20"/>
          <w:szCs w:val="20"/>
        </w:rPr>
        <w:footnoteRef/>
      </w:r>
      <w:r w:rsidRPr="00C747EE">
        <w:rPr>
          <w:b w:val="0"/>
          <w:sz w:val="20"/>
          <w:szCs w:val="20"/>
        </w:rPr>
        <w:t xml:space="preserve"> Головнин М.Ю. Указ. соч., Гришаева Л.Е. Указ соч., Луков В.Б. Указ соч., Петрикова Е.М. Указ соч.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5203B5F"/>
    <w:multiLevelType w:val="hybridMultilevel"/>
    <w:tmpl w:val="1576B9CC"/>
    <w:lvl w:ilvl="0" w:tplc="04190011">
      <w:start w:val="1"/>
      <w:numFmt w:val="decimal"/>
      <w:lvlText w:val="%1)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2">
    <w:nsid w:val="0EB743D6"/>
    <w:multiLevelType w:val="hybridMultilevel"/>
    <w:tmpl w:val="7B68AC8A"/>
    <w:lvl w:ilvl="0" w:tplc="AC327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E2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2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E4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04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E7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63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6C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8D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A35E5A"/>
    <w:multiLevelType w:val="hybridMultilevel"/>
    <w:tmpl w:val="F7CA93C4"/>
    <w:lvl w:ilvl="0" w:tplc="AC327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4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85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C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6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CA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A0286A"/>
    <w:multiLevelType w:val="hybridMultilevel"/>
    <w:tmpl w:val="648231D2"/>
    <w:lvl w:ilvl="0" w:tplc="B6BA9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E5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646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23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0C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8F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7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2B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A2D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9D6037"/>
    <w:multiLevelType w:val="hybridMultilevel"/>
    <w:tmpl w:val="BEA2E352"/>
    <w:lvl w:ilvl="0" w:tplc="AC327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A51AC"/>
    <w:multiLevelType w:val="multilevel"/>
    <w:tmpl w:val="EAD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1391F"/>
    <w:multiLevelType w:val="hybridMultilevel"/>
    <w:tmpl w:val="1576B9CC"/>
    <w:lvl w:ilvl="0" w:tplc="04190011">
      <w:start w:val="1"/>
      <w:numFmt w:val="decimal"/>
      <w:lvlText w:val="%1)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8">
    <w:nsid w:val="29D8778F"/>
    <w:multiLevelType w:val="hybridMultilevel"/>
    <w:tmpl w:val="1576B9CC"/>
    <w:lvl w:ilvl="0" w:tplc="04190011">
      <w:start w:val="1"/>
      <w:numFmt w:val="decimal"/>
      <w:lvlText w:val="%1)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9">
    <w:nsid w:val="3F3C3413"/>
    <w:multiLevelType w:val="hybridMultilevel"/>
    <w:tmpl w:val="017EB250"/>
    <w:lvl w:ilvl="0" w:tplc="AC327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D0F1B"/>
    <w:multiLevelType w:val="hybridMultilevel"/>
    <w:tmpl w:val="B950E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7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E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8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4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7C78F3"/>
    <w:multiLevelType w:val="hybridMultilevel"/>
    <w:tmpl w:val="8408BB4C"/>
    <w:lvl w:ilvl="0" w:tplc="011A9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0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E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0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C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C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03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35362B"/>
    <w:multiLevelType w:val="hybridMultilevel"/>
    <w:tmpl w:val="45728C38"/>
    <w:lvl w:ilvl="0" w:tplc="72185E3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591BE6"/>
    <w:multiLevelType w:val="hybridMultilevel"/>
    <w:tmpl w:val="6246A82A"/>
    <w:lvl w:ilvl="0" w:tplc="42DC8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F377DB3"/>
    <w:multiLevelType w:val="hybridMultilevel"/>
    <w:tmpl w:val="3240209A"/>
    <w:lvl w:ilvl="0" w:tplc="0B1E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C8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E6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6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C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4A5150"/>
    <w:multiLevelType w:val="hybridMultilevel"/>
    <w:tmpl w:val="6D92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7590"/>
    <w:multiLevelType w:val="hybridMultilevel"/>
    <w:tmpl w:val="C608B7D4"/>
    <w:lvl w:ilvl="0" w:tplc="F8D2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85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C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2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6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CA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5CA"/>
    <w:rsid w:val="00012F1A"/>
    <w:rsid w:val="000163E7"/>
    <w:rsid w:val="00042AD0"/>
    <w:rsid w:val="00045692"/>
    <w:rsid w:val="00046E86"/>
    <w:rsid w:val="0005129A"/>
    <w:rsid w:val="00054040"/>
    <w:rsid w:val="000555F2"/>
    <w:rsid w:val="000573C3"/>
    <w:rsid w:val="00057F8E"/>
    <w:rsid w:val="00071911"/>
    <w:rsid w:val="000878A1"/>
    <w:rsid w:val="00087E5A"/>
    <w:rsid w:val="00090496"/>
    <w:rsid w:val="00093C62"/>
    <w:rsid w:val="000B11F2"/>
    <w:rsid w:val="000B7DC3"/>
    <w:rsid w:val="000C3090"/>
    <w:rsid w:val="000D11FB"/>
    <w:rsid w:val="000E2525"/>
    <w:rsid w:val="000E3C39"/>
    <w:rsid w:val="000E74BA"/>
    <w:rsid w:val="00101ED8"/>
    <w:rsid w:val="0011093C"/>
    <w:rsid w:val="00114638"/>
    <w:rsid w:val="001175CA"/>
    <w:rsid w:val="001278EC"/>
    <w:rsid w:val="00137E07"/>
    <w:rsid w:val="00142FCF"/>
    <w:rsid w:val="0014496D"/>
    <w:rsid w:val="001449A9"/>
    <w:rsid w:val="00146A54"/>
    <w:rsid w:val="001565EB"/>
    <w:rsid w:val="001745C1"/>
    <w:rsid w:val="00174B7E"/>
    <w:rsid w:val="00176884"/>
    <w:rsid w:val="001809D6"/>
    <w:rsid w:val="001843A9"/>
    <w:rsid w:val="00186C18"/>
    <w:rsid w:val="00187155"/>
    <w:rsid w:val="00190C11"/>
    <w:rsid w:val="00196B52"/>
    <w:rsid w:val="001B448C"/>
    <w:rsid w:val="001C2FFF"/>
    <w:rsid w:val="001D3D03"/>
    <w:rsid w:val="001E0F1F"/>
    <w:rsid w:val="001E3178"/>
    <w:rsid w:val="001E3F07"/>
    <w:rsid w:val="001E665F"/>
    <w:rsid w:val="001E7AB4"/>
    <w:rsid w:val="001F6332"/>
    <w:rsid w:val="001F6F51"/>
    <w:rsid w:val="00211536"/>
    <w:rsid w:val="002128E6"/>
    <w:rsid w:val="00242C87"/>
    <w:rsid w:val="00243D12"/>
    <w:rsid w:val="00244C35"/>
    <w:rsid w:val="002451EC"/>
    <w:rsid w:val="002459BE"/>
    <w:rsid w:val="002526D4"/>
    <w:rsid w:val="002672B0"/>
    <w:rsid w:val="00271C9C"/>
    <w:rsid w:val="00291D22"/>
    <w:rsid w:val="00291FD3"/>
    <w:rsid w:val="002B3641"/>
    <w:rsid w:val="002B36B2"/>
    <w:rsid w:val="002B3FB0"/>
    <w:rsid w:val="002C7C4D"/>
    <w:rsid w:val="002D20FE"/>
    <w:rsid w:val="00311FD2"/>
    <w:rsid w:val="00325FF8"/>
    <w:rsid w:val="00336F40"/>
    <w:rsid w:val="00344836"/>
    <w:rsid w:val="00354D8F"/>
    <w:rsid w:val="003645A5"/>
    <w:rsid w:val="003733E6"/>
    <w:rsid w:val="003764CB"/>
    <w:rsid w:val="00396CE8"/>
    <w:rsid w:val="003A6DEC"/>
    <w:rsid w:val="003B1E34"/>
    <w:rsid w:val="003E2485"/>
    <w:rsid w:val="003F6C74"/>
    <w:rsid w:val="0040413F"/>
    <w:rsid w:val="00406CA0"/>
    <w:rsid w:val="00414C8E"/>
    <w:rsid w:val="0042086D"/>
    <w:rsid w:val="00420A0D"/>
    <w:rsid w:val="0042551D"/>
    <w:rsid w:val="00447196"/>
    <w:rsid w:val="00455BB6"/>
    <w:rsid w:val="00466548"/>
    <w:rsid w:val="00481C55"/>
    <w:rsid w:val="00490647"/>
    <w:rsid w:val="00492FB2"/>
    <w:rsid w:val="00497E63"/>
    <w:rsid w:val="004A1E84"/>
    <w:rsid w:val="004A20D8"/>
    <w:rsid w:val="004B589C"/>
    <w:rsid w:val="004C4598"/>
    <w:rsid w:val="004C4EF4"/>
    <w:rsid w:val="004D2CEE"/>
    <w:rsid w:val="004D3BB6"/>
    <w:rsid w:val="004F22EE"/>
    <w:rsid w:val="0050590B"/>
    <w:rsid w:val="00512519"/>
    <w:rsid w:val="00522684"/>
    <w:rsid w:val="00524314"/>
    <w:rsid w:val="00524DB8"/>
    <w:rsid w:val="0052524B"/>
    <w:rsid w:val="005350F4"/>
    <w:rsid w:val="00536000"/>
    <w:rsid w:val="005554BB"/>
    <w:rsid w:val="00571F8C"/>
    <w:rsid w:val="005825D0"/>
    <w:rsid w:val="00583F4B"/>
    <w:rsid w:val="00584008"/>
    <w:rsid w:val="00587629"/>
    <w:rsid w:val="00592B52"/>
    <w:rsid w:val="005A2380"/>
    <w:rsid w:val="005C61FE"/>
    <w:rsid w:val="005C668C"/>
    <w:rsid w:val="005D644A"/>
    <w:rsid w:val="005D6E17"/>
    <w:rsid w:val="005D753F"/>
    <w:rsid w:val="005E1C54"/>
    <w:rsid w:val="005F0A7C"/>
    <w:rsid w:val="005F231C"/>
    <w:rsid w:val="005F4968"/>
    <w:rsid w:val="00603D91"/>
    <w:rsid w:val="00652325"/>
    <w:rsid w:val="006608E7"/>
    <w:rsid w:val="00674E08"/>
    <w:rsid w:val="006811D8"/>
    <w:rsid w:val="006A3EB6"/>
    <w:rsid w:val="006B7F3B"/>
    <w:rsid w:val="006C6E28"/>
    <w:rsid w:val="006D1FC1"/>
    <w:rsid w:val="006E6460"/>
    <w:rsid w:val="006F3509"/>
    <w:rsid w:val="006F5F60"/>
    <w:rsid w:val="006F62C8"/>
    <w:rsid w:val="006F7831"/>
    <w:rsid w:val="0070379E"/>
    <w:rsid w:val="007232EE"/>
    <w:rsid w:val="00724204"/>
    <w:rsid w:val="00724C17"/>
    <w:rsid w:val="007337E8"/>
    <w:rsid w:val="007379DF"/>
    <w:rsid w:val="007408DE"/>
    <w:rsid w:val="00743083"/>
    <w:rsid w:val="00752E75"/>
    <w:rsid w:val="007559ED"/>
    <w:rsid w:val="00760E15"/>
    <w:rsid w:val="007748CE"/>
    <w:rsid w:val="00777740"/>
    <w:rsid w:val="0079756A"/>
    <w:rsid w:val="007A1B06"/>
    <w:rsid w:val="007B0D15"/>
    <w:rsid w:val="007D007F"/>
    <w:rsid w:val="007D310B"/>
    <w:rsid w:val="007F64BE"/>
    <w:rsid w:val="007F72BB"/>
    <w:rsid w:val="00807D3B"/>
    <w:rsid w:val="00810A8C"/>
    <w:rsid w:val="00815FB4"/>
    <w:rsid w:val="008243DA"/>
    <w:rsid w:val="00831F54"/>
    <w:rsid w:val="00843822"/>
    <w:rsid w:val="008660A4"/>
    <w:rsid w:val="0087038D"/>
    <w:rsid w:val="0087289D"/>
    <w:rsid w:val="008761B4"/>
    <w:rsid w:val="00876244"/>
    <w:rsid w:val="0088417C"/>
    <w:rsid w:val="0089031E"/>
    <w:rsid w:val="00892A84"/>
    <w:rsid w:val="008A0863"/>
    <w:rsid w:val="008B0CE5"/>
    <w:rsid w:val="008B54D4"/>
    <w:rsid w:val="008C056E"/>
    <w:rsid w:val="008C0AA5"/>
    <w:rsid w:val="008D518D"/>
    <w:rsid w:val="008E0BF0"/>
    <w:rsid w:val="008E2FC3"/>
    <w:rsid w:val="008E4171"/>
    <w:rsid w:val="008F7BBB"/>
    <w:rsid w:val="00905483"/>
    <w:rsid w:val="00914F85"/>
    <w:rsid w:val="00915A29"/>
    <w:rsid w:val="009178AE"/>
    <w:rsid w:val="0092013E"/>
    <w:rsid w:val="0092252F"/>
    <w:rsid w:val="00923764"/>
    <w:rsid w:val="00931C72"/>
    <w:rsid w:val="009457EC"/>
    <w:rsid w:val="00951389"/>
    <w:rsid w:val="00973947"/>
    <w:rsid w:val="009A31AF"/>
    <w:rsid w:val="009A3A43"/>
    <w:rsid w:val="009B2F19"/>
    <w:rsid w:val="009B2F4D"/>
    <w:rsid w:val="009C21F7"/>
    <w:rsid w:val="009D4A27"/>
    <w:rsid w:val="009E77E3"/>
    <w:rsid w:val="009F6681"/>
    <w:rsid w:val="009F7871"/>
    <w:rsid w:val="00A00483"/>
    <w:rsid w:val="00A2384F"/>
    <w:rsid w:val="00A421CA"/>
    <w:rsid w:val="00A46FDE"/>
    <w:rsid w:val="00A50604"/>
    <w:rsid w:val="00A52C66"/>
    <w:rsid w:val="00A5368C"/>
    <w:rsid w:val="00A65CB0"/>
    <w:rsid w:val="00A66785"/>
    <w:rsid w:val="00A85B05"/>
    <w:rsid w:val="00A86556"/>
    <w:rsid w:val="00A96846"/>
    <w:rsid w:val="00AA25EE"/>
    <w:rsid w:val="00AA3C03"/>
    <w:rsid w:val="00AD46F3"/>
    <w:rsid w:val="00AE0DA7"/>
    <w:rsid w:val="00AE283C"/>
    <w:rsid w:val="00AE61BE"/>
    <w:rsid w:val="00AE75CB"/>
    <w:rsid w:val="00AF2B8A"/>
    <w:rsid w:val="00B0290B"/>
    <w:rsid w:val="00B04D47"/>
    <w:rsid w:val="00B3073D"/>
    <w:rsid w:val="00B476AF"/>
    <w:rsid w:val="00B5062D"/>
    <w:rsid w:val="00B52179"/>
    <w:rsid w:val="00B53ED4"/>
    <w:rsid w:val="00B61B8C"/>
    <w:rsid w:val="00B64F0F"/>
    <w:rsid w:val="00B6705B"/>
    <w:rsid w:val="00B770EE"/>
    <w:rsid w:val="00B86519"/>
    <w:rsid w:val="00B8729E"/>
    <w:rsid w:val="00B9219E"/>
    <w:rsid w:val="00BA6F23"/>
    <w:rsid w:val="00BC3E19"/>
    <w:rsid w:val="00BC741A"/>
    <w:rsid w:val="00BF1A77"/>
    <w:rsid w:val="00C013C3"/>
    <w:rsid w:val="00C139DB"/>
    <w:rsid w:val="00C2272A"/>
    <w:rsid w:val="00C27EFD"/>
    <w:rsid w:val="00C540C2"/>
    <w:rsid w:val="00C71B2B"/>
    <w:rsid w:val="00C71CF3"/>
    <w:rsid w:val="00C747EE"/>
    <w:rsid w:val="00C76527"/>
    <w:rsid w:val="00C774BD"/>
    <w:rsid w:val="00C81C6D"/>
    <w:rsid w:val="00CA03D1"/>
    <w:rsid w:val="00CA463A"/>
    <w:rsid w:val="00CA709A"/>
    <w:rsid w:val="00CB29D5"/>
    <w:rsid w:val="00CC0794"/>
    <w:rsid w:val="00CF1D61"/>
    <w:rsid w:val="00CF634F"/>
    <w:rsid w:val="00D00AE7"/>
    <w:rsid w:val="00D06B8D"/>
    <w:rsid w:val="00D1360D"/>
    <w:rsid w:val="00D20401"/>
    <w:rsid w:val="00D21476"/>
    <w:rsid w:val="00D2393F"/>
    <w:rsid w:val="00D23E5F"/>
    <w:rsid w:val="00D25F1B"/>
    <w:rsid w:val="00D309F4"/>
    <w:rsid w:val="00D41184"/>
    <w:rsid w:val="00D44619"/>
    <w:rsid w:val="00D46B5B"/>
    <w:rsid w:val="00D47A1E"/>
    <w:rsid w:val="00D53797"/>
    <w:rsid w:val="00D661F6"/>
    <w:rsid w:val="00D71E60"/>
    <w:rsid w:val="00D8242B"/>
    <w:rsid w:val="00D829E0"/>
    <w:rsid w:val="00D87F94"/>
    <w:rsid w:val="00DA2ABC"/>
    <w:rsid w:val="00DB0ECD"/>
    <w:rsid w:val="00DB4156"/>
    <w:rsid w:val="00DC0949"/>
    <w:rsid w:val="00DC192B"/>
    <w:rsid w:val="00DC4268"/>
    <w:rsid w:val="00DC7054"/>
    <w:rsid w:val="00DE3AF1"/>
    <w:rsid w:val="00DE54E8"/>
    <w:rsid w:val="00DF78B0"/>
    <w:rsid w:val="00E308BF"/>
    <w:rsid w:val="00E33511"/>
    <w:rsid w:val="00E42683"/>
    <w:rsid w:val="00E46E01"/>
    <w:rsid w:val="00E61D87"/>
    <w:rsid w:val="00E62EF3"/>
    <w:rsid w:val="00E63BDF"/>
    <w:rsid w:val="00E70E2B"/>
    <w:rsid w:val="00E71912"/>
    <w:rsid w:val="00E74597"/>
    <w:rsid w:val="00E77A3C"/>
    <w:rsid w:val="00E829E5"/>
    <w:rsid w:val="00E85E09"/>
    <w:rsid w:val="00E85E44"/>
    <w:rsid w:val="00E911CA"/>
    <w:rsid w:val="00EB0DA9"/>
    <w:rsid w:val="00EB62A2"/>
    <w:rsid w:val="00ED38EB"/>
    <w:rsid w:val="00ED5BB9"/>
    <w:rsid w:val="00EE1027"/>
    <w:rsid w:val="00EF384F"/>
    <w:rsid w:val="00EF6C36"/>
    <w:rsid w:val="00EF6D1D"/>
    <w:rsid w:val="00F110C3"/>
    <w:rsid w:val="00F13871"/>
    <w:rsid w:val="00F141EB"/>
    <w:rsid w:val="00F232BE"/>
    <w:rsid w:val="00F52B97"/>
    <w:rsid w:val="00F64981"/>
    <w:rsid w:val="00F85E04"/>
    <w:rsid w:val="00F92B74"/>
    <w:rsid w:val="00F937C0"/>
    <w:rsid w:val="00F969AE"/>
    <w:rsid w:val="00FA170F"/>
    <w:rsid w:val="00FA1E13"/>
    <w:rsid w:val="00FC0D5D"/>
    <w:rsid w:val="00FC6B9F"/>
    <w:rsid w:val="00FD529D"/>
    <w:rsid w:val="00FD55C6"/>
    <w:rsid w:val="00FE0F9F"/>
    <w:rsid w:val="00FE79F4"/>
    <w:rsid w:val="00FF0226"/>
    <w:rsid w:val="00FF0F78"/>
    <w:rsid w:val="00FF3530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6D1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7E0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6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6D1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37E07"/>
    <w:rPr>
      <w:rFonts w:ascii="Calibri Light" w:hAnsi="Calibri Light" w:cs="Times New Roman"/>
      <w:color w:val="1F4D78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75CA"/>
    <w:rPr>
      <w:rFonts w:cs="Times New Roman"/>
    </w:rPr>
  </w:style>
  <w:style w:type="paragraph" w:styleId="a3">
    <w:name w:val="footnote text"/>
    <w:basedOn w:val="a"/>
    <w:link w:val="a4"/>
    <w:uiPriority w:val="99"/>
    <w:semiHidden/>
    <w:rsid w:val="008B0C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B0CE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B0CE5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B5062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B5062D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B5062D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F92B74"/>
    <w:pPr>
      <w:ind w:left="720"/>
      <w:contextualSpacing/>
    </w:pPr>
  </w:style>
  <w:style w:type="paragraph" w:styleId="aa">
    <w:name w:val="header"/>
    <w:basedOn w:val="a"/>
    <w:link w:val="ab"/>
    <w:uiPriority w:val="99"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F6C36"/>
    <w:rPr>
      <w:rFonts w:cs="Times New Roman"/>
    </w:rPr>
  </w:style>
  <w:style w:type="paragraph" w:styleId="ac">
    <w:name w:val="footer"/>
    <w:basedOn w:val="a"/>
    <w:link w:val="ad"/>
    <w:uiPriority w:val="99"/>
    <w:rsid w:val="00E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F6C36"/>
    <w:rPr>
      <w:rFonts w:cs="Times New Roman"/>
    </w:rPr>
  </w:style>
  <w:style w:type="character" w:styleId="ae">
    <w:name w:val="Hyperlink"/>
    <w:basedOn w:val="a0"/>
    <w:uiPriority w:val="99"/>
    <w:rsid w:val="00093C62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rsid w:val="00FD55C6"/>
    <w:rPr>
      <w:rFonts w:cs="Times New Roman"/>
      <w:i/>
      <w:iCs/>
    </w:rPr>
  </w:style>
  <w:style w:type="paragraph" w:styleId="af0">
    <w:name w:val="Normal (Web)"/>
    <w:basedOn w:val="a"/>
    <w:uiPriority w:val="99"/>
    <w:rsid w:val="00406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2152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rics.itamaraty.gov.br/media2/press-releases/219-agreement-on-the-new-development-bank-fortaleza-july-15" TargetMode="External"/><Relationship Id="rId3" Type="http://schemas.openxmlformats.org/officeDocument/2006/relationships/hyperlink" Target="http://elibrary.ru/contents.asp?issueid=1109734" TargetMode="External"/><Relationship Id="rId7" Type="http://schemas.openxmlformats.org/officeDocument/2006/relationships/hyperlink" Target="http://elibrary.ru/contents.asp?issueid=1410093&amp;selid=23868953" TargetMode="External"/><Relationship Id="rId2" Type="http://schemas.openxmlformats.org/officeDocument/2006/relationships/hyperlink" Target="http://elibrary.ru/contents.asp?issueid=1104238&amp;selid=18648538" TargetMode="External"/><Relationship Id="rId1" Type="http://schemas.openxmlformats.org/officeDocument/2006/relationships/hyperlink" Target="http://elibrary.ru/contents.asp?issueid=1104238" TargetMode="External"/><Relationship Id="rId6" Type="http://schemas.openxmlformats.org/officeDocument/2006/relationships/hyperlink" Target="http://elibrary.ru/contents.asp?issueid=1369047&amp;selid=22966237" TargetMode="External"/><Relationship Id="rId5" Type="http://schemas.openxmlformats.org/officeDocument/2006/relationships/hyperlink" Target="http://elibrary.ru/contents.asp?issueid=1369047" TargetMode="External"/><Relationship Id="rId4" Type="http://schemas.openxmlformats.org/officeDocument/2006/relationships/hyperlink" Target="http://elibrary.ru/contents.asp?issueid=1109734&amp;selid=18844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Горбунова Мария Лавровна, и</vt:lpstr>
    </vt:vector>
  </TitlesOfParts>
  <Company/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Горбунова Мария Лавровна, и</dc:title>
  <dc:subject/>
  <dc:creator>mikhail gorbunov</dc:creator>
  <cp:keywords/>
  <dc:description/>
  <cp:lastModifiedBy>home</cp:lastModifiedBy>
  <cp:revision>4</cp:revision>
  <dcterms:created xsi:type="dcterms:W3CDTF">2015-11-29T14:26:00Z</dcterms:created>
  <dcterms:modified xsi:type="dcterms:W3CDTF">2015-12-04T14:14:00Z</dcterms:modified>
</cp:coreProperties>
</file>