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F6" w:rsidRPr="00653075" w:rsidRDefault="00DC1DF6" w:rsidP="00653075">
      <w:pPr>
        <w:spacing w:after="0" w:line="360" w:lineRule="auto"/>
        <w:ind w:firstLine="709"/>
        <w:jc w:val="both"/>
        <w:rPr>
          <w:rFonts w:ascii="Times New Roman" w:hAnsi="Times New Roman"/>
          <w:b/>
          <w:i/>
          <w:sz w:val="24"/>
          <w:szCs w:val="24"/>
        </w:rPr>
      </w:pPr>
      <w:bookmarkStart w:id="0" w:name="_GoBack"/>
      <w:bookmarkEnd w:id="0"/>
      <w:r w:rsidRPr="00653075">
        <w:rPr>
          <w:rFonts w:ascii="Times New Roman" w:hAnsi="Times New Roman"/>
          <w:b/>
          <w:i/>
          <w:sz w:val="24"/>
          <w:szCs w:val="24"/>
        </w:rPr>
        <w:t xml:space="preserve">Жариков М.В. </w:t>
      </w:r>
    </w:p>
    <w:p w:rsidR="00DC1DF6" w:rsidRDefault="00DC1DF6" w:rsidP="00653075">
      <w:pPr>
        <w:spacing w:after="0" w:line="360" w:lineRule="auto"/>
        <w:ind w:firstLine="709"/>
        <w:jc w:val="both"/>
        <w:rPr>
          <w:rFonts w:ascii="Times New Roman" w:hAnsi="Times New Roman"/>
          <w:sz w:val="24"/>
          <w:szCs w:val="24"/>
        </w:rPr>
      </w:pPr>
      <w:r>
        <w:rPr>
          <w:rFonts w:ascii="Times New Roman" w:hAnsi="Times New Roman"/>
          <w:sz w:val="24"/>
          <w:szCs w:val="24"/>
        </w:rPr>
        <w:t xml:space="preserve">к.э.н., </w:t>
      </w:r>
      <w:r w:rsidRPr="00653075">
        <w:rPr>
          <w:rFonts w:ascii="Times New Roman" w:hAnsi="Times New Roman"/>
          <w:sz w:val="24"/>
          <w:szCs w:val="24"/>
        </w:rPr>
        <w:t>доцент Российск</w:t>
      </w:r>
      <w:r>
        <w:rPr>
          <w:rFonts w:ascii="Times New Roman" w:hAnsi="Times New Roman"/>
          <w:sz w:val="24"/>
          <w:szCs w:val="24"/>
        </w:rPr>
        <w:t>ой</w:t>
      </w:r>
      <w:r w:rsidRPr="00653075">
        <w:rPr>
          <w:rFonts w:ascii="Times New Roman" w:hAnsi="Times New Roman"/>
          <w:sz w:val="24"/>
          <w:szCs w:val="24"/>
        </w:rPr>
        <w:t xml:space="preserve"> таможенн</w:t>
      </w:r>
      <w:r>
        <w:rPr>
          <w:rFonts w:ascii="Times New Roman" w:hAnsi="Times New Roman"/>
          <w:sz w:val="24"/>
          <w:szCs w:val="24"/>
        </w:rPr>
        <w:t>ой</w:t>
      </w:r>
      <w:r w:rsidRPr="00653075">
        <w:rPr>
          <w:rFonts w:ascii="Times New Roman" w:hAnsi="Times New Roman"/>
          <w:sz w:val="24"/>
          <w:szCs w:val="24"/>
        </w:rPr>
        <w:t xml:space="preserve"> академи</w:t>
      </w:r>
      <w:r>
        <w:rPr>
          <w:rFonts w:ascii="Times New Roman" w:hAnsi="Times New Roman"/>
          <w:sz w:val="24"/>
          <w:szCs w:val="24"/>
        </w:rPr>
        <w:t>и</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lang w:val="de-DE"/>
        </w:rPr>
        <w:t>michaelzharikoff</w:t>
      </w:r>
      <w:r w:rsidRPr="00653075">
        <w:rPr>
          <w:rFonts w:ascii="Times New Roman" w:hAnsi="Times New Roman"/>
          <w:sz w:val="24"/>
          <w:szCs w:val="24"/>
        </w:rPr>
        <w:t>@</w:t>
      </w:r>
      <w:r w:rsidRPr="00653075">
        <w:rPr>
          <w:rFonts w:ascii="Times New Roman" w:hAnsi="Times New Roman"/>
          <w:sz w:val="24"/>
          <w:szCs w:val="24"/>
          <w:lang w:val="de-DE"/>
        </w:rPr>
        <w:t>gmail</w:t>
      </w:r>
      <w:r w:rsidRPr="00653075">
        <w:rPr>
          <w:rFonts w:ascii="Times New Roman" w:hAnsi="Times New Roman"/>
          <w:sz w:val="24"/>
          <w:szCs w:val="24"/>
        </w:rPr>
        <w:t>.</w:t>
      </w:r>
      <w:r w:rsidRPr="00653075">
        <w:rPr>
          <w:rFonts w:ascii="Times New Roman" w:hAnsi="Times New Roman"/>
          <w:sz w:val="24"/>
          <w:szCs w:val="24"/>
          <w:lang w:val="de-DE"/>
        </w:rPr>
        <w:t>com</w:t>
      </w:r>
    </w:p>
    <w:p w:rsidR="00DC1DF6" w:rsidRDefault="00DC1DF6" w:rsidP="00653075">
      <w:pPr>
        <w:spacing w:after="0" w:line="360" w:lineRule="auto"/>
        <w:ind w:firstLine="709"/>
        <w:jc w:val="both"/>
        <w:rPr>
          <w:rFonts w:ascii="Times New Roman" w:hAnsi="Times New Roman"/>
          <w:sz w:val="24"/>
          <w:szCs w:val="24"/>
        </w:rPr>
      </w:pPr>
    </w:p>
    <w:p w:rsidR="00DC1DF6" w:rsidRDefault="00DC1DF6" w:rsidP="00653075">
      <w:pPr>
        <w:spacing w:after="0" w:line="360" w:lineRule="auto"/>
        <w:ind w:left="708" w:firstLine="1"/>
        <w:jc w:val="center"/>
        <w:rPr>
          <w:rFonts w:ascii="Times New Roman" w:hAnsi="Times New Roman"/>
          <w:b/>
          <w:sz w:val="24"/>
          <w:szCs w:val="24"/>
        </w:rPr>
      </w:pPr>
      <w:r w:rsidRPr="00653075">
        <w:rPr>
          <w:rFonts w:ascii="Times New Roman" w:hAnsi="Times New Roman"/>
          <w:b/>
          <w:sz w:val="24"/>
          <w:szCs w:val="24"/>
        </w:rPr>
        <w:t>ПРОБЛЕМЫ И ПЕРСПЕКТИВЫ ПРЯМЫХ ВНЕШНЕЭКОНОМИЧЕСКИХ РАСЧЕТОВ МЕЖДУ СТРАНАМИ БРИКС</w:t>
      </w:r>
    </w:p>
    <w:p w:rsidR="00DC1DF6" w:rsidRPr="00653075" w:rsidRDefault="00DC1DF6" w:rsidP="00653075">
      <w:pPr>
        <w:spacing w:after="0" w:line="360" w:lineRule="auto"/>
        <w:ind w:left="708" w:firstLine="1"/>
        <w:jc w:val="center"/>
        <w:rPr>
          <w:rFonts w:ascii="Times New Roman" w:hAnsi="Times New Roman"/>
          <w:b/>
          <w:sz w:val="24"/>
          <w:szCs w:val="24"/>
        </w:rPr>
      </w:pP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b/>
          <w:sz w:val="24"/>
          <w:szCs w:val="24"/>
        </w:rPr>
        <w:t>Ключевые слова:</w:t>
      </w:r>
      <w:r w:rsidRPr="00653075">
        <w:rPr>
          <w:rFonts w:ascii="Times New Roman" w:hAnsi="Times New Roman"/>
          <w:sz w:val="24"/>
          <w:szCs w:val="24"/>
        </w:rPr>
        <w:t xml:space="preserve"> прямые внешнеэкономические расчеты стран БРИКС, интернационализация валют стран БРИКС, резервные валюты, международная экономическая интеграция как фактор регионализации валюты</w:t>
      </w:r>
      <w:r>
        <w:rPr>
          <w:rFonts w:ascii="Times New Roman" w:hAnsi="Times New Roman"/>
          <w:sz w:val="24"/>
          <w:szCs w:val="24"/>
        </w:rPr>
        <w:t>.</w:t>
      </w:r>
    </w:p>
    <w:p w:rsidR="00DC1DF6"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b/>
          <w:sz w:val="24"/>
          <w:szCs w:val="24"/>
          <w:lang w:val="en-US"/>
        </w:rPr>
        <w:t>Keywords:</w:t>
      </w:r>
      <w:r w:rsidRPr="00653075">
        <w:rPr>
          <w:rFonts w:ascii="Times New Roman" w:hAnsi="Times New Roman"/>
          <w:sz w:val="24"/>
          <w:szCs w:val="24"/>
          <w:lang w:val="en-US"/>
        </w:rPr>
        <w:t xml:space="preserve"> foreign direct settlements between the BRICS, BRICS’ currencies internationalization, reserve currencies, international economic integration as a factor of a currency’s regionalization.</w:t>
      </w:r>
    </w:p>
    <w:p w:rsidR="00DC1DF6" w:rsidRPr="00653075" w:rsidRDefault="00DC1DF6" w:rsidP="00653075">
      <w:pPr>
        <w:spacing w:after="0" w:line="360" w:lineRule="auto"/>
        <w:ind w:firstLine="709"/>
        <w:jc w:val="both"/>
        <w:rPr>
          <w:rFonts w:ascii="Times New Roman" w:hAnsi="Times New Roman"/>
          <w:sz w:val="24"/>
          <w:szCs w:val="24"/>
        </w:rPr>
      </w:pP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В современной мировой экономике доминирует ограниченное число международных валют. Основной международной валютой является доллар США, на который в </w:t>
      </w:r>
      <w:smartTag w:uri="urn:schemas-microsoft-com:office:smarttags" w:element="metricconverter">
        <w:smartTagPr>
          <w:attr w:name="ProductID" w:val="2012 г"/>
        </w:smartTagPr>
        <w:r w:rsidRPr="00653075">
          <w:rPr>
            <w:rFonts w:ascii="Times New Roman" w:hAnsi="Times New Roman"/>
            <w:sz w:val="24"/>
            <w:szCs w:val="24"/>
          </w:rPr>
          <w:t>2012 г</w:t>
        </w:r>
      </w:smartTag>
      <w:r w:rsidRPr="00653075">
        <w:rPr>
          <w:rFonts w:ascii="Times New Roman" w:hAnsi="Times New Roman"/>
          <w:sz w:val="24"/>
          <w:szCs w:val="24"/>
        </w:rPr>
        <w:t>., по данным Международного валютного фонда (МВФ), приходилось 62% золотовалютных резервов всех стран мира. При этом доля других международных валют серьезно отстает от доллара: евро – 25%, фунт стерлингов и японская иена – по 4%</w:t>
      </w:r>
      <w:r w:rsidRPr="00653075">
        <w:rPr>
          <w:rStyle w:val="FootnoteReference"/>
          <w:rFonts w:ascii="Times New Roman" w:hAnsi="Times New Roman"/>
          <w:sz w:val="24"/>
          <w:szCs w:val="24"/>
        </w:rPr>
        <w:footnoteReference w:id="1"/>
      </w:r>
      <w:r w:rsidRPr="00653075">
        <w:rPr>
          <w:rFonts w:ascii="Times New Roman" w:hAnsi="Times New Roman"/>
          <w:sz w:val="24"/>
          <w:szCs w:val="24"/>
        </w:rPr>
        <w:t>. Вследствие мирового финансового кризиса 2008–2010 гг. США для преодоления собственных проблем, связанных с безработицей, экономическим упадком, банкротством многих компаний, активизировали печатный станок, чтобы влить в национальную денежную систему дополнительный поток свободных наличных денег и вывести страну из кризиса. Такая эмиссия привела к росту предложения доллара на мировом и национальных валютных рынках, что спровоцировало существенные колебания курсов валют многих государств. В дальнейшем результатом этой эмиссии стал рост цен на продовольствие и сырье в</w:t>
      </w:r>
      <w:r>
        <w:rPr>
          <w:rFonts w:ascii="Times New Roman" w:hAnsi="Times New Roman"/>
          <w:sz w:val="24"/>
          <w:szCs w:val="24"/>
        </w:rPr>
        <w:t>о многих</w:t>
      </w:r>
      <w:r w:rsidRPr="00653075">
        <w:rPr>
          <w:rFonts w:ascii="Times New Roman" w:hAnsi="Times New Roman"/>
          <w:sz w:val="24"/>
          <w:szCs w:val="24"/>
        </w:rPr>
        <w:t xml:space="preserve"> </w:t>
      </w:r>
      <w:r>
        <w:rPr>
          <w:rFonts w:ascii="Times New Roman" w:hAnsi="Times New Roman"/>
          <w:sz w:val="24"/>
          <w:szCs w:val="24"/>
        </w:rPr>
        <w:t>странах</w:t>
      </w:r>
      <w:r w:rsidRPr="00653075">
        <w:rPr>
          <w:rFonts w:ascii="Times New Roman" w:hAnsi="Times New Roman"/>
          <w:sz w:val="24"/>
          <w:szCs w:val="24"/>
        </w:rPr>
        <w:t xml:space="preserve">, что породило инфляцию. Усилилась социальная напряженность в развивающихся и наименее развитых странах мира. В связи с этим возросла актуальность поиска путей стабилизации национальных денежных систем и обуздания чрезмерного роста цен. Одним из таких путей </w:t>
      </w:r>
      <w:r>
        <w:rPr>
          <w:rFonts w:ascii="Times New Roman" w:hAnsi="Times New Roman"/>
          <w:sz w:val="24"/>
          <w:szCs w:val="24"/>
        </w:rPr>
        <w:t>стала</w:t>
      </w:r>
      <w:r w:rsidRPr="00653075">
        <w:rPr>
          <w:rFonts w:ascii="Times New Roman" w:hAnsi="Times New Roman"/>
          <w:sz w:val="24"/>
          <w:szCs w:val="24"/>
        </w:rPr>
        <w:t xml:space="preserve"> организация прямой торговли в национальных валютах и интернационализация валюты.</w:t>
      </w:r>
    </w:p>
    <w:p w:rsidR="00DC1DF6" w:rsidRPr="00653075" w:rsidRDefault="00DC1DF6" w:rsidP="00653075">
      <w:pPr>
        <w:spacing w:after="0" w:line="360" w:lineRule="auto"/>
        <w:ind w:firstLine="709"/>
        <w:jc w:val="both"/>
        <w:rPr>
          <w:rFonts w:ascii="Times New Roman" w:hAnsi="Times New Roman"/>
          <w:sz w:val="24"/>
          <w:szCs w:val="24"/>
        </w:rPr>
      </w:pPr>
      <w:r>
        <w:rPr>
          <w:rFonts w:ascii="Times New Roman" w:hAnsi="Times New Roman"/>
          <w:sz w:val="24"/>
          <w:szCs w:val="24"/>
        </w:rPr>
        <w:t>Возможность использования</w:t>
      </w:r>
      <w:r w:rsidRPr="00653075">
        <w:rPr>
          <w:rFonts w:ascii="Times New Roman" w:hAnsi="Times New Roman"/>
          <w:sz w:val="24"/>
          <w:szCs w:val="24"/>
        </w:rPr>
        <w:t xml:space="preserve"> валюты в качестве международной, по мнению многих авторов, определяется способностью центрального банка (эмитента международной валюты) устанавливать низкие процентные ставки, величиной экономики страны-эмитента</w:t>
      </w:r>
      <w:r w:rsidRPr="00653075">
        <w:rPr>
          <w:rStyle w:val="FootnoteReference"/>
          <w:rFonts w:ascii="Times New Roman" w:hAnsi="Times New Roman"/>
          <w:sz w:val="24"/>
          <w:szCs w:val="24"/>
        </w:rPr>
        <w:footnoteReference w:id="2"/>
      </w:r>
      <w:r w:rsidRPr="00653075">
        <w:rPr>
          <w:rFonts w:ascii="Times New Roman" w:hAnsi="Times New Roman"/>
          <w:sz w:val="24"/>
          <w:szCs w:val="24"/>
        </w:rPr>
        <w:t>, ее долей в международной торговле и международных расчетах</w:t>
      </w:r>
      <w:r w:rsidRPr="00653075">
        <w:rPr>
          <w:rStyle w:val="FootnoteReference"/>
          <w:rFonts w:ascii="Times New Roman" w:hAnsi="Times New Roman"/>
          <w:sz w:val="24"/>
          <w:szCs w:val="24"/>
        </w:rPr>
        <w:footnoteReference w:id="3"/>
      </w:r>
      <w:r w:rsidRPr="00653075">
        <w:rPr>
          <w:rFonts w:ascii="Times New Roman" w:hAnsi="Times New Roman"/>
          <w:sz w:val="24"/>
          <w:szCs w:val="24"/>
        </w:rPr>
        <w:t>.</w:t>
      </w:r>
    </w:p>
    <w:p w:rsidR="00DC1DF6" w:rsidRPr="00653075" w:rsidRDefault="00DC1DF6" w:rsidP="00653075">
      <w:pPr>
        <w:spacing w:after="0" w:line="360" w:lineRule="auto"/>
        <w:ind w:firstLine="709"/>
        <w:jc w:val="both"/>
        <w:rPr>
          <w:rFonts w:ascii="Times New Roman" w:hAnsi="Times New Roman"/>
          <w:b/>
          <w:sz w:val="24"/>
          <w:szCs w:val="24"/>
        </w:rPr>
      </w:pPr>
      <w:r w:rsidRPr="00653075">
        <w:rPr>
          <w:rFonts w:ascii="Times New Roman" w:hAnsi="Times New Roman"/>
          <w:b/>
          <w:sz w:val="24"/>
          <w:szCs w:val="24"/>
        </w:rPr>
        <w:t>Интернационализация бразильского реала в рамках МЕРКОСУР</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В </w:t>
      </w:r>
      <w:smartTag w:uri="urn:schemas-microsoft-com:office:smarttags" w:element="metricconverter">
        <w:smartTagPr>
          <w:attr w:name="ProductID" w:val="2010 г"/>
        </w:smartTagPr>
        <w:r w:rsidRPr="00653075">
          <w:rPr>
            <w:rFonts w:ascii="Times New Roman" w:hAnsi="Times New Roman"/>
            <w:sz w:val="24"/>
            <w:szCs w:val="24"/>
          </w:rPr>
          <w:t>2010 г</w:t>
        </w:r>
      </w:smartTag>
      <w:r w:rsidRPr="00653075">
        <w:rPr>
          <w:rFonts w:ascii="Times New Roman" w:hAnsi="Times New Roman"/>
          <w:sz w:val="24"/>
          <w:szCs w:val="24"/>
        </w:rPr>
        <w:t>. Бразильская федерация банков (</w:t>
      </w:r>
      <w:r w:rsidRPr="00653075">
        <w:rPr>
          <w:rFonts w:ascii="Times New Roman" w:hAnsi="Times New Roman"/>
          <w:sz w:val="24"/>
          <w:szCs w:val="24"/>
          <w:lang w:val="en-US"/>
        </w:rPr>
        <w:t>Febraban</w:t>
      </w:r>
      <w:r w:rsidRPr="00653075">
        <w:rPr>
          <w:rFonts w:ascii="Times New Roman" w:hAnsi="Times New Roman"/>
          <w:sz w:val="24"/>
          <w:szCs w:val="24"/>
        </w:rPr>
        <w:t>), Бразильская фьючерсная биржа (</w:t>
      </w:r>
      <w:r w:rsidRPr="00653075">
        <w:rPr>
          <w:rFonts w:ascii="Times New Roman" w:hAnsi="Times New Roman"/>
          <w:sz w:val="24"/>
          <w:szCs w:val="24"/>
          <w:lang w:val="en-US"/>
        </w:rPr>
        <w:t>BM</w:t>
      </w:r>
      <w:r w:rsidRPr="00653075">
        <w:rPr>
          <w:rFonts w:ascii="Times New Roman" w:hAnsi="Times New Roman"/>
          <w:sz w:val="24"/>
          <w:szCs w:val="24"/>
        </w:rPr>
        <w:t>&amp;</w:t>
      </w:r>
      <w:r w:rsidRPr="00653075">
        <w:rPr>
          <w:rFonts w:ascii="Times New Roman" w:hAnsi="Times New Roman"/>
          <w:sz w:val="24"/>
          <w:szCs w:val="24"/>
          <w:lang w:val="en-US"/>
        </w:rPr>
        <w:t>F</w:t>
      </w:r>
      <w:r w:rsidRPr="00653075">
        <w:rPr>
          <w:rFonts w:ascii="Times New Roman" w:hAnsi="Times New Roman"/>
          <w:sz w:val="24"/>
          <w:szCs w:val="24"/>
        </w:rPr>
        <w:t>/</w:t>
      </w:r>
      <w:r w:rsidRPr="00653075">
        <w:rPr>
          <w:rFonts w:ascii="Times New Roman" w:hAnsi="Times New Roman"/>
          <w:sz w:val="24"/>
          <w:szCs w:val="24"/>
          <w:lang w:val="en-US"/>
        </w:rPr>
        <w:t>Bovespa</w:t>
      </w:r>
      <w:r w:rsidRPr="00653075">
        <w:rPr>
          <w:rFonts w:ascii="Times New Roman" w:hAnsi="Times New Roman"/>
          <w:sz w:val="24"/>
          <w:szCs w:val="24"/>
        </w:rPr>
        <w:t>) и Бразильская ассоциация финансовых институтов (</w:t>
      </w:r>
      <w:r w:rsidRPr="00653075">
        <w:rPr>
          <w:rFonts w:ascii="Times New Roman" w:hAnsi="Times New Roman"/>
          <w:sz w:val="24"/>
          <w:szCs w:val="24"/>
          <w:lang w:val="en-US"/>
        </w:rPr>
        <w:t>Anbima</w:t>
      </w:r>
      <w:r w:rsidRPr="00653075">
        <w:rPr>
          <w:rFonts w:ascii="Times New Roman" w:hAnsi="Times New Roman"/>
          <w:sz w:val="24"/>
          <w:szCs w:val="24"/>
        </w:rPr>
        <w:t>) объявили о начале реализации проекта «Омега» (</w:t>
      </w:r>
      <w:r w:rsidRPr="00653075">
        <w:rPr>
          <w:rFonts w:ascii="Times New Roman" w:hAnsi="Times New Roman"/>
          <w:sz w:val="24"/>
          <w:szCs w:val="24"/>
          <w:lang w:val="en-US"/>
        </w:rPr>
        <w:t>Projeto</w:t>
      </w:r>
      <w:r w:rsidRPr="00653075">
        <w:rPr>
          <w:rFonts w:ascii="Times New Roman" w:hAnsi="Times New Roman"/>
          <w:sz w:val="24"/>
          <w:szCs w:val="24"/>
        </w:rPr>
        <w:t xml:space="preserve"> Ô</w:t>
      </w:r>
      <w:r w:rsidRPr="00653075">
        <w:rPr>
          <w:rFonts w:ascii="Times New Roman" w:hAnsi="Times New Roman"/>
          <w:sz w:val="24"/>
          <w:szCs w:val="24"/>
          <w:lang w:val="en-US"/>
        </w:rPr>
        <w:t>mega</w:t>
      </w:r>
      <w:r w:rsidRPr="00653075">
        <w:rPr>
          <w:rFonts w:ascii="Times New Roman" w:hAnsi="Times New Roman"/>
          <w:sz w:val="24"/>
          <w:szCs w:val="24"/>
        </w:rPr>
        <w:t>), который предполагает превращение Сан-Паулу в международный финансовый центр, полную либерализацию режима обменного курса и интернационализацию реала.</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Являясь членом группы БРИКС, Бразилия ведет разработку предложений относительно формирования новой архитектуры международной валютной системы (МВС) в рамках тесного сотрудничества с другими интенсивно развивающимися странами</w:t>
      </w:r>
      <w:r w:rsidRPr="00653075">
        <w:rPr>
          <w:rStyle w:val="FootnoteReference"/>
          <w:rFonts w:ascii="Times New Roman" w:hAnsi="Times New Roman"/>
          <w:sz w:val="24"/>
          <w:szCs w:val="24"/>
        </w:rPr>
        <w:footnoteReference w:id="4"/>
      </w:r>
      <w:r w:rsidRPr="00653075">
        <w:rPr>
          <w:rFonts w:ascii="Times New Roman" w:hAnsi="Times New Roman"/>
          <w:sz w:val="24"/>
          <w:szCs w:val="24"/>
        </w:rPr>
        <w:t>.</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Самой распространенной валютой эмиссии долговых ценных бумаг в Центральной и Латинской Америке (ЦЛА) является бразильский реал, на который приходилось около 0,25% глобального рынка облигаций в </w:t>
      </w:r>
      <w:smartTag w:uri="urn:schemas-microsoft-com:office:smarttags" w:element="metricconverter">
        <w:smartTagPr>
          <w:attr w:name="ProductID" w:val="2011 г"/>
        </w:smartTagPr>
        <w:r w:rsidRPr="00653075">
          <w:rPr>
            <w:rFonts w:ascii="Times New Roman" w:hAnsi="Times New Roman"/>
            <w:sz w:val="24"/>
            <w:szCs w:val="24"/>
          </w:rPr>
          <w:t>2011 г</w:t>
        </w:r>
      </w:smartTag>
      <w:r w:rsidRPr="00653075">
        <w:rPr>
          <w:rFonts w:ascii="Times New Roman" w:hAnsi="Times New Roman"/>
          <w:sz w:val="24"/>
          <w:szCs w:val="24"/>
        </w:rPr>
        <w:t xml:space="preserve">. За реалом следует мексиканский песо с долей 0,15%. Общий объем эмиссии облигаций в ЦЛА в </w:t>
      </w:r>
      <w:smartTag w:uri="urn:schemas-microsoft-com:office:smarttags" w:element="metricconverter">
        <w:smartTagPr>
          <w:attr w:name="ProductID" w:val="2011 г"/>
        </w:smartTagPr>
        <w:r w:rsidRPr="00653075">
          <w:rPr>
            <w:rFonts w:ascii="Times New Roman" w:hAnsi="Times New Roman"/>
            <w:sz w:val="24"/>
            <w:szCs w:val="24"/>
          </w:rPr>
          <w:t>2011 г</w:t>
        </w:r>
      </w:smartTag>
      <w:r w:rsidRPr="00653075">
        <w:rPr>
          <w:rFonts w:ascii="Times New Roman" w:hAnsi="Times New Roman"/>
          <w:sz w:val="24"/>
          <w:szCs w:val="24"/>
        </w:rPr>
        <w:t xml:space="preserve">. составлял 139 млрд. долл. В табл. 1 приведен валютный состав выпущенных странами ЦЛА облигаций в </w:t>
      </w:r>
      <w:smartTag w:uri="urn:schemas-microsoft-com:office:smarttags" w:element="metricconverter">
        <w:smartTagPr>
          <w:attr w:name="ProductID" w:val="2011 г"/>
        </w:smartTagPr>
        <w:r w:rsidRPr="00653075">
          <w:rPr>
            <w:rFonts w:ascii="Times New Roman" w:hAnsi="Times New Roman"/>
            <w:sz w:val="24"/>
            <w:szCs w:val="24"/>
          </w:rPr>
          <w:t>2011 г</w:t>
        </w:r>
      </w:smartTag>
      <w:r w:rsidRPr="00653075">
        <w:rPr>
          <w:rFonts w:ascii="Times New Roman" w:hAnsi="Times New Roman"/>
          <w:sz w:val="24"/>
          <w:szCs w:val="24"/>
        </w:rPr>
        <w:t>. Как видно из анализа табл. 1,</w:t>
      </w:r>
      <w:r>
        <w:rPr>
          <w:rFonts w:ascii="Times New Roman" w:hAnsi="Times New Roman"/>
          <w:sz w:val="24"/>
          <w:szCs w:val="24"/>
        </w:rPr>
        <w:t xml:space="preserve"> </w:t>
      </w:r>
      <w:r w:rsidRPr="00653075">
        <w:rPr>
          <w:rFonts w:ascii="Times New Roman" w:hAnsi="Times New Roman"/>
          <w:sz w:val="24"/>
          <w:szCs w:val="24"/>
        </w:rPr>
        <w:t>60% всех облигаций (или 82 млрд. долл.), выпущенных странами ЦЛА, были выражены в долларах, 16% (или 22 млрд. долл.) – в бразильских реалах, 13% (или 18,2 млрд. долл.) – в мексиканских песо и 3,5% (или 4,8 млрд. долл.) в евро.</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Внешний долг Бразилии может стать фактором, стимулирующим развитие интеграционных процессов в рамках стран МЕРКОСУР, а именно: реал приобретет статус резервной валюты </w:t>
      </w:r>
      <w:r>
        <w:rPr>
          <w:rFonts w:ascii="Times New Roman" w:hAnsi="Times New Roman"/>
          <w:sz w:val="24"/>
          <w:szCs w:val="24"/>
        </w:rPr>
        <w:t>вначале</w:t>
      </w:r>
      <w:r w:rsidRPr="00653075">
        <w:rPr>
          <w:rFonts w:ascii="Times New Roman" w:hAnsi="Times New Roman"/>
          <w:sz w:val="24"/>
          <w:szCs w:val="24"/>
        </w:rPr>
        <w:t xml:space="preserve"> на региональном уровне, а затем – на международном. Как показывают данные рисунка 1, совокупный объем выпущенных международных облигаций, выраженных в реалах, в</w:t>
      </w:r>
      <w:r>
        <w:rPr>
          <w:rFonts w:ascii="Times New Roman" w:hAnsi="Times New Roman"/>
          <w:sz w:val="24"/>
          <w:szCs w:val="24"/>
        </w:rPr>
        <w:t>ы</w:t>
      </w:r>
      <w:r w:rsidRPr="00653075">
        <w:rPr>
          <w:rFonts w:ascii="Times New Roman" w:hAnsi="Times New Roman"/>
          <w:sz w:val="24"/>
          <w:szCs w:val="24"/>
        </w:rPr>
        <w:t>рос с 0,6 млрд</w:t>
      </w:r>
      <w:r>
        <w:rPr>
          <w:rFonts w:ascii="Times New Roman" w:hAnsi="Times New Roman"/>
          <w:sz w:val="24"/>
          <w:szCs w:val="24"/>
        </w:rPr>
        <w:t>.</w:t>
      </w:r>
      <w:r w:rsidRPr="00653075">
        <w:rPr>
          <w:rFonts w:ascii="Times New Roman" w:hAnsi="Times New Roman"/>
          <w:sz w:val="24"/>
          <w:szCs w:val="24"/>
        </w:rPr>
        <w:t xml:space="preserve"> долл. в </w:t>
      </w:r>
      <w:smartTag w:uri="urn:schemas-microsoft-com:office:smarttags" w:element="metricconverter">
        <w:smartTagPr>
          <w:attr w:name="ProductID" w:val="2004 г"/>
        </w:smartTagPr>
        <w:r w:rsidRPr="00653075">
          <w:rPr>
            <w:rFonts w:ascii="Times New Roman" w:hAnsi="Times New Roman"/>
            <w:sz w:val="24"/>
            <w:szCs w:val="24"/>
          </w:rPr>
          <w:t>2004 г</w:t>
        </w:r>
      </w:smartTag>
      <w:r w:rsidRPr="00653075">
        <w:rPr>
          <w:rFonts w:ascii="Times New Roman" w:hAnsi="Times New Roman"/>
          <w:sz w:val="24"/>
          <w:szCs w:val="24"/>
        </w:rPr>
        <w:t>. до 1170,3 млрд</w:t>
      </w:r>
      <w:r>
        <w:rPr>
          <w:rFonts w:ascii="Times New Roman" w:hAnsi="Times New Roman"/>
          <w:sz w:val="24"/>
          <w:szCs w:val="24"/>
        </w:rPr>
        <w:t>.</w:t>
      </w:r>
      <w:r w:rsidRPr="00653075">
        <w:rPr>
          <w:rFonts w:ascii="Times New Roman" w:hAnsi="Times New Roman"/>
          <w:sz w:val="24"/>
          <w:szCs w:val="24"/>
        </w:rPr>
        <w:t xml:space="preserve"> долл. в </w:t>
      </w:r>
      <w:smartTag w:uri="urn:schemas-microsoft-com:office:smarttags" w:element="metricconverter">
        <w:smartTagPr>
          <w:attr w:name="ProductID" w:val="2014 г"/>
        </w:smartTagPr>
        <w:r w:rsidRPr="00653075">
          <w:rPr>
            <w:rFonts w:ascii="Times New Roman" w:hAnsi="Times New Roman"/>
            <w:sz w:val="24"/>
            <w:szCs w:val="24"/>
          </w:rPr>
          <w:t>2014 г</w:t>
        </w:r>
      </w:smartTag>
      <w:r w:rsidRPr="00653075">
        <w:rPr>
          <w:rFonts w:ascii="Times New Roman" w:hAnsi="Times New Roman"/>
          <w:sz w:val="24"/>
          <w:szCs w:val="24"/>
        </w:rPr>
        <w:t>.</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Рост внешнего долга Бразилии в реалах означает значительное расширение его использования в масштабах мировой экономики. Сравнительные данные по странам МЕРКОСУР демонстрируют, что объем выпущенных международных облигаций в бразильском реале в 45 раз превышает объем выпущенных международных облигаций в аргентинском песо и в 13 раз – в уругвайском песо. В свою очередь, доля объема международных облигаций в реалах в ВВП Бразилии в </w:t>
      </w:r>
      <w:smartTag w:uri="urn:schemas-microsoft-com:office:smarttags" w:element="metricconverter">
        <w:smartTagPr>
          <w:attr w:name="ProductID" w:val="2013 г"/>
        </w:smartTagPr>
        <w:r w:rsidRPr="00653075">
          <w:rPr>
            <w:rFonts w:ascii="Times New Roman" w:hAnsi="Times New Roman"/>
            <w:sz w:val="24"/>
            <w:szCs w:val="24"/>
          </w:rPr>
          <w:t>2013 г</w:t>
        </w:r>
      </w:smartTag>
      <w:r w:rsidRPr="00653075">
        <w:rPr>
          <w:rFonts w:ascii="Times New Roman" w:hAnsi="Times New Roman"/>
          <w:sz w:val="24"/>
          <w:szCs w:val="24"/>
        </w:rPr>
        <w:t>. составляла около 43%. Соответствующие показатели для Аргентины и Уругвая равнялись 4 и 133%, соответственно</w:t>
      </w:r>
      <w:r w:rsidRPr="00653075">
        <w:rPr>
          <w:rFonts w:ascii="Times New Roman" w:hAnsi="Times New Roman"/>
          <w:sz w:val="24"/>
          <w:szCs w:val="24"/>
          <w:vertAlign w:val="superscript"/>
        </w:rPr>
        <w:footnoteReference w:id="5"/>
      </w:r>
      <w:r w:rsidRPr="00653075">
        <w:rPr>
          <w:rFonts w:ascii="Times New Roman" w:hAnsi="Times New Roman"/>
          <w:sz w:val="24"/>
          <w:szCs w:val="24"/>
        </w:rPr>
        <w:t>. Эти показатели отражают в отношении Аргентины незначительную зависимость экономики от международного рынка ссудных капиталов, в отношении Бразилии – среднюю, а Уругвая – чрезмерно высокую, то есть, несмотря на меньший объем выпуска международных облигаций в уругвайских песо по сравнению с объемом таких же облигаций в реалах, ситуация с внешним долгом для Уругвая намного острее, чем для Бразилии.</w:t>
      </w:r>
    </w:p>
    <w:p w:rsidR="00DC1DF6" w:rsidRPr="00653075" w:rsidRDefault="00DC1DF6" w:rsidP="009C6ED3">
      <w:pPr>
        <w:spacing w:after="0" w:line="360" w:lineRule="auto"/>
        <w:ind w:firstLine="709"/>
        <w:jc w:val="right"/>
        <w:rPr>
          <w:rFonts w:ascii="Times New Roman" w:hAnsi="Times New Roman"/>
          <w:sz w:val="24"/>
          <w:szCs w:val="24"/>
        </w:rPr>
      </w:pPr>
      <w:r w:rsidRPr="00653075">
        <w:rPr>
          <w:rFonts w:ascii="Times New Roman" w:hAnsi="Times New Roman"/>
          <w:sz w:val="24"/>
          <w:szCs w:val="24"/>
        </w:rPr>
        <w:t>Таблица 1</w:t>
      </w:r>
    </w:p>
    <w:p w:rsidR="00DC1DF6" w:rsidRPr="00653075" w:rsidRDefault="00DC1DF6" w:rsidP="00653075">
      <w:pPr>
        <w:spacing w:after="0" w:line="360" w:lineRule="auto"/>
        <w:ind w:firstLine="709"/>
        <w:jc w:val="both"/>
        <w:rPr>
          <w:rFonts w:ascii="Times New Roman" w:hAnsi="Times New Roman"/>
          <w:b/>
          <w:sz w:val="24"/>
          <w:szCs w:val="24"/>
        </w:rPr>
      </w:pPr>
      <w:r w:rsidRPr="00653075">
        <w:rPr>
          <w:rFonts w:ascii="Times New Roman" w:hAnsi="Times New Roman"/>
          <w:b/>
          <w:sz w:val="24"/>
          <w:szCs w:val="24"/>
        </w:rPr>
        <w:t>Валютный состав выпущенных облигаций странами ЦЛА</w:t>
      </w:r>
      <w:r w:rsidRPr="009C6ED3">
        <w:rPr>
          <w:rFonts w:ascii="Times New Roman" w:hAnsi="Times New Roman"/>
          <w:b/>
          <w:sz w:val="24"/>
          <w:szCs w:val="24"/>
        </w:rPr>
        <w:t xml:space="preserve"> </w:t>
      </w:r>
      <w:r w:rsidRPr="00653075">
        <w:rPr>
          <w:rFonts w:ascii="Times New Roman" w:hAnsi="Times New Roman"/>
          <w:b/>
          <w:sz w:val="24"/>
          <w:szCs w:val="24"/>
        </w:rPr>
        <w:t xml:space="preserve">в </w:t>
      </w:r>
      <w:smartTag w:uri="urn:schemas-microsoft-com:office:smarttags" w:element="metricconverter">
        <w:smartTagPr>
          <w:attr w:name="ProductID" w:val="2011 г"/>
        </w:smartTagPr>
        <w:r w:rsidRPr="00653075">
          <w:rPr>
            <w:rFonts w:ascii="Times New Roman" w:hAnsi="Times New Roman"/>
            <w:b/>
            <w:sz w:val="24"/>
            <w:szCs w:val="24"/>
          </w:rPr>
          <w:t>2011 г</w:t>
        </w:r>
      </w:smartTag>
      <w:r w:rsidRPr="00653075">
        <w:rPr>
          <w:rFonts w:ascii="Times New Roman" w:hAnsi="Times New Roman"/>
          <w:b/>
          <w:sz w:val="24"/>
          <w:szCs w:val="24"/>
        </w:rPr>
        <w:t>., млрд. 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8"/>
        <w:gridCol w:w="2292"/>
        <w:gridCol w:w="3163"/>
        <w:gridCol w:w="1483"/>
      </w:tblGrid>
      <w:tr w:rsidR="00DC1DF6" w:rsidRPr="00653075" w:rsidTr="00742173">
        <w:tc>
          <w:tcPr>
            <w:tcW w:w="2392" w:type="dxa"/>
            <w:tcBorders>
              <w:top w:val="single" w:sz="12" w:space="0" w:color="auto"/>
              <w:left w:val="single" w:sz="12" w:space="0" w:color="auto"/>
              <w:bottom w:val="single" w:sz="12" w:space="0" w:color="auto"/>
              <w:right w:val="single" w:sz="12" w:space="0" w:color="auto"/>
            </w:tcBorders>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Валюта</w:t>
            </w:r>
          </w:p>
        </w:tc>
        <w:tc>
          <w:tcPr>
            <w:tcW w:w="2393"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Сумма</w:t>
            </w:r>
          </w:p>
        </w:tc>
        <w:tc>
          <w:tcPr>
            <w:tcW w:w="3261" w:type="dxa"/>
            <w:tcBorders>
              <w:top w:val="single" w:sz="12" w:space="0" w:color="auto"/>
              <w:left w:val="single" w:sz="12" w:space="0" w:color="auto"/>
              <w:bottom w:val="single" w:sz="12" w:space="0" w:color="auto"/>
              <w:right w:val="single" w:sz="12" w:space="0" w:color="auto"/>
            </w:tcBorders>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Валюта</w:t>
            </w:r>
          </w:p>
        </w:tc>
        <w:tc>
          <w:tcPr>
            <w:tcW w:w="1525"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Сумма</w:t>
            </w:r>
          </w:p>
        </w:tc>
      </w:tr>
      <w:tr w:rsidR="00DC1DF6" w:rsidRPr="00653075" w:rsidTr="00742173">
        <w:tc>
          <w:tcPr>
            <w:tcW w:w="2392" w:type="dxa"/>
            <w:tcBorders>
              <w:top w:val="single" w:sz="12" w:space="0" w:color="auto"/>
            </w:tcBorders>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Аргентинский песо</w:t>
            </w:r>
          </w:p>
        </w:tc>
        <w:tc>
          <w:tcPr>
            <w:tcW w:w="2393" w:type="dxa"/>
            <w:tcBorders>
              <w:top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0,44</w:t>
            </w:r>
          </w:p>
        </w:tc>
        <w:tc>
          <w:tcPr>
            <w:tcW w:w="3261" w:type="dxa"/>
            <w:tcBorders>
              <w:top w:val="single" w:sz="12" w:space="0" w:color="auto"/>
            </w:tcBorders>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Мексиканский песо</w:t>
            </w:r>
          </w:p>
        </w:tc>
        <w:tc>
          <w:tcPr>
            <w:tcW w:w="1525" w:type="dxa"/>
            <w:tcBorders>
              <w:top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18,28</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Аргентина</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0,44</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Чили</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0,41</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Бразильский реал</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22,60</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Мексика</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17,85</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Аргентина</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0,25</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Новый соль (Перу)</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0,36</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Бразилия</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22,17</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Чили</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0,02</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Мексика</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0,18</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Перу</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0,34</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Швейцарский франк</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0,74</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Доллар США</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82,28</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Бразилия</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0,41</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Аргентина</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3,03</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Мексика</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0,33</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Бразилия</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32,54</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Чилийский песо</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2,74</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Чили</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6,00</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Бразилия</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0,05</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Колумбия</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5,33</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Чили</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2,69</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Коста-Рика</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0,25</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Колумбийский песо</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2,81</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Доминиканская Республика</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0,75</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Колумбия</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2,72</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Эль-Сальвадор</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0,65</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Перу</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0,09</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Ямайка</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0,69</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Евро</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4,84</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Мексика</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17,76</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Бразилия</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3,45</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Панама</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0,54</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Мексика</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1,39</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Парагвай</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0,10</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Фунт стерлингов</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1,89</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Перу</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2,05</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Бразилия</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1,09</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Тринидад и Тобаго</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0,17</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Мексика</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0,79</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Уругвай</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0,20</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Иена</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0,15</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Венесуэла</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12,60</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Мексика</w:t>
            </w: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0,15</w:t>
            </w: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Уругвайский песо</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1,27</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Уругвай</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1,27</w:t>
            </w:r>
          </w:p>
        </w:tc>
      </w:tr>
      <w:tr w:rsidR="00DC1DF6" w:rsidRPr="00653075" w:rsidTr="00742173">
        <w:tc>
          <w:tcPr>
            <w:tcW w:w="2392" w:type="dxa"/>
          </w:tcPr>
          <w:p w:rsidR="00DC1DF6" w:rsidRPr="00653075" w:rsidRDefault="00DC1DF6" w:rsidP="009C6ED3">
            <w:pPr>
              <w:spacing w:after="0" w:line="240" w:lineRule="auto"/>
              <w:jc w:val="both"/>
              <w:rPr>
                <w:rFonts w:ascii="Times New Roman" w:hAnsi="Times New Roman"/>
                <w:sz w:val="24"/>
                <w:szCs w:val="24"/>
              </w:rPr>
            </w:pPr>
          </w:p>
        </w:tc>
        <w:tc>
          <w:tcPr>
            <w:tcW w:w="2393" w:type="dxa"/>
            <w:vAlign w:val="center"/>
          </w:tcPr>
          <w:p w:rsidR="00DC1DF6" w:rsidRPr="00653075" w:rsidRDefault="00DC1DF6" w:rsidP="009C6ED3">
            <w:pPr>
              <w:spacing w:after="0" w:line="240" w:lineRule="auto"/>
              <w:jc w:val="both"/>
              <w:rPr>
                <w:rFonts w:ascii="Times New Roman" w:hAnsi="Times New Roman"/>
                <w:sz w:val="24"/>
                <w:szCs w:val="24"/>
              </w:rPr>
            </w:pPr>
          </w:p>
        </w:tc>
        <w:tc>
          <w:tcPr>
            <w:tcW w:w="326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Итого</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139,12</w:t>
            </w:r>
          </w:p>
        </w:tc>
      </w:tr>
    </w:tbl>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i/>
          <w:sz w:val="24"/>
          <w:szCs w:val="24"/>
        </w:rPr>
        <w:t>Источник:</w:t>
      </w:r>
      <w:r w:rsidRPr="00653075">
        <w:rPr>
          <w:rFonts w:ascii="Times New Roman" w:hAnsi="Times New Roman"/>
          <w:sz w:val="24"/>
          <w:szCs w:val="24"/>
        </w:rPr>
        <w:t xml:space="preserve"> </w:t>
      </w:r>
      <w:r w:rsidRPr="00653075">
        <w:rPr>
          <w:rFonts w:ascii="Times New Roman" w:hAnsi="Times New Roman"/>
          <w:sz w:val="24"/>
          <w:szCs w:val="24"/>
          <w:lang w:val="en-US"/>
        </w:rPr>
        <w:t>BIS.</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noProof/>
          <w:sz w:val="24"/>
          <w:szCs w:val="24"/>
          <w:lang w:eastAsia="ru-RU"/>
        </w:rPr>
        <w:object w:dxaOrig="7172"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358.5pt;height:252.5pt;visibility:visible" o:ole="">
            <v:imagedata r:id="rId6" o:title=""/>
            <o:lock v:ext="edit" aspectratio="f"/>
          </v:shape>
          <o:OLEObject Type="Embed" ProgID="Excel.Chart.8" ShapeID="Диаграмма 2" DrawAspect="Content" ObjectID="_1511891161" r:id="rId7"/>
        </w:object>
      </w:r>
    </w:p>
    <w:p w:rsidR="00DC1DF6" w:rsidRPr="00653075" w:rsidRDefault="00DC1DF6" w:rsidP="009C6ED3">
      <w:pPr>
        <w:spacing w:after="0" w:line="240" w:lineRule="auto"/>
        <w:ind w:firstLine="709"/>
        <w:jc w:val="both"/>
        <w:rPr>
          <w:rFonts w:ascii="Times New Roman" w:hAnsi="Times New Roman"/>
          <w:sz w:val="24"/>
          <w:szCs w:val="24"/>
        </w:rPr>
      </w:pPr>
      <w:r w:rsidRPr="00653075">
        <w:rPr>
          <w:rFonts w:ascii="Times New Roman" w:hAnsi="Times New Roman"/>
          <w:sz w:val="24"/>
          <w:szCs w:val="24"/>
        </w:rPr>
        <w:t>Составлено на основе данных Банка международных расчетов.</w:t>
      </w:r>
    </w:p>
    <w:p w:rsidR="00DC1DF6" w:rsidRPr="00653075" w:rsidRDefault="00DC1DF6" w:rsidP="009C6ED3">
      <w:pPr>
        <w:spacing w:after="0" w:line="240" w:lineRule="auto"/>
        <w:ind w:firstLine="709"/>
        <w:jc w:val="both"/>
        <w:rPr>
          <w:rFonts w:ascii="Times New Roman" w:hAnsi="Times New Roman"/>
          <w:sz w:val="24"/>
          <w:szCs w:val="24"/>
        </w:rPr>
      </w:pPr>
      <w:r w:rsidRPr="00653075">
        <w:rPr>
          <w:rFonts w:ascii="Times New Roman" w:hAnsi="Times New Roman"/>
          <w:sz w:val="24"/>
          <w:szCs w:val="24"/>
        </w:rPr>
        <w:t>Рисунок 1. Динамика совокупного объема международных облигаций, выраженных в национальных валютах Бразилии, Аргентины и Уругвая в 2004–2014 гг., млрд</w:t>
      </w:r>
      <w:r>
        <w:rPr>
          <w:rFonts w:ascii="Times New Roman" w:hAnsi="Times New Roman"/>
          <w:sz w:val="24"/>
          <w:szCs w:val="24"/>
        </w:rPr>
        <w:t>.</w:t>
      </w:r>
      <w:r w:rsidRPr="00653075">
        <w:rPr>
          <w:rFonts w:ascii="Times New Roman" w:hAnsi="Times New Roman"/>
          <w:sz w:val="24"/>
          <w:szCs w:val="24"/>
        </w:rPr>
        <w:t xml:space="preserve"> долл.</w:t>
      </w:r>
    </w:p>
    <w:p w:rsidR="00DC1DF6" w:rsidRDefault="00DC1DF6" w:rsidP="00653075">
      <w:pPr>
        <w:spacing w:after="0" w:line="360" w:lineRule="auto"/>
        <w:ind w:firstLine="709"/>
        <w:jc w:val="both"/>
        <w:rPr>
          <w:rFonts w:ascii="Times New Roman" w:hAnsi="Times New Roman"/>
          <w:sz w:val="24"/>
          <w:szCs w:val="24"/>
        </w:rPr>
      </w:pP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Бразильский реал используется также международными организациями и зарубежными государственными институтами, что проявляется в увеличении объема выпуска облигаций, выраженных в этой валюте, при осуществлении сделок с капиталом. В частности, зарубежные компании используют бразильский реал для покупки финансовых инструментов на различных рынках капитала, например, в Японии (табл. 2).</w:t>
      </w:r>
    </w:p>
    <w:p w:rsidR="00DC1DF6" w:rsidRPr="00653075" w:rsidRDefault="00DC1DF6" w:rsidP="009C6ED3">
      <w:pPr>
        <w:spacing w:after="0" w:line="360" w:lineRule="auto"/>
        <w:ind w:firstLine="709"/>
        <w:jc w:val="right"/>
        <w:rPr>
          <w:rFonts w:ascii="Times New Roman" w:hAnsi="Times New Roman"/>
          <w:sz w:val="24"/>
          <w:szCs w:val="24"/>
        </w:rPr>
      </w:pPr>
      <w:r w:rsidRPr="00653075">
        <w:rPr>
          <w:rFonts w:ascii="Times New Roman" w:hAnsi="Times New Roman"/>
          <w:sz w:val="24"/>
          <w:szCs w:val="24"/>
        </w:rPr>
        <w:t>Таблица 2</w:t>
      </w:r>
    </w:p>
    <w:p w:rsidR="00DC1DF6" w:rsidRPr="00653075" w:rsidRDefault="00DC1DF6" w:rsidP="00653075">
      <w:pPr>
        <w:spacing w:after="0" w:line="360" w:lineRule="auto"/>
        <w:ind w:firstLine="709"/>
        <w:jc w:val="both"/>
        <w:rPr>
          <w:rFonts w:ascii="Times New Roman" w:hAnsi="Times New Roman"/>
          <w:b/>
          <w:sz w:val="24"/>
          <w:szCs w:val="24"/>
        </w:rPr>
      </w:pPr>
      <w:r w:rsidRPr="00653075">
        <w:rPr>
          <w:rFonts w:ascii="Times New Roman" w:hAnsi="Times New Roman"/>
          <w:b/>
          <w:sz w:val="24"/>
          <w:szCs w:val="24"/>
        </w:rPr>
        <w:t>Эмиссия облигаций в бразильских реалах в 2010–2012 гг. в Японии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6"/>
        <w:gridCol w:w="5895"/>
        <w:gridCol w:w="1485"/>
      </w:tblGrid>
      <w:tr w:rsidR="00DC1DF6" w:rsidRPr="00653075" w:rsidTr="00742173">
        <w:tc>
          <w:tcPr>
            <w:tcW w:w="1951"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Дата</w:t>
            </w:r>
          </w:p>
        </w:tc>
        <w:tc>
          <w:tcPr>
            <w:tcW w:w="6095"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Эмитент</w:t>
            </w:r>
          </w:p>
        </w:tc>
        <w:tc>
          <w:tcPr>
            <w:tcW w:w="1525"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Срок (лет)</w:t>
            </w:r>
          </w:p>
        </w:tc>
      </w:tr>
      <w:tr w:rsidR="00DC1DF6" w:rsidRPr="00653075" w:rsidTr="00742173">
        <w:tc>
          <w:tcPr>
            <w:tcW w:w="1951" w:type="dxa"/>
            <w:tcBorders>
              <w:top w:val="single" w:sz="12" w:space="0" w:color="auto"/>
            </w:tcBorders>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xml:space="preserve">Август </w:t>
            </w:r>
            <w:smartTag w:uri="urn:schemas-microsoft-com:office:smarttags" w:element="metricconverter">
              <w:smartTagPr>
                <w:attr w:name="ProductID" w:val="2012 г"/>
              </w:smartTagPr>
              <w:r w:rsidRPr="00653075">
                <w:rPr>
                  <w:rFonts w:ascii="Times New Roman" w:hAnsi="Times New Roman"/>
                  <w:sz w:val="24"/>
                  <w:szCs w:val="24"/>
                </w:rPr>
                <w:t>2012 г</w:t>
              </w:r>
            </w:smartTag>
            <w:r w:rsidRPr="00653075">
              <w:rPr>
                <w:rFonts w:ascii="Times New Roman" w:hAnsi="Times New Roman"/>
                <w:sz w:val="24"/>
                <w:szCs w:val="24"/>
              </w:rPr>
              <w:t>.</w:t>
            </w:r>
          </w:p>
        </w:tc>
        <w:tc>
          <w:tcPr>
            <w:tcW w:w="6095" w:type="dxa"/>
            <w:tcBorders>
              <w:top w:val="single" w:sz="12" w:space="0" w:color="auto"/>
            </w:tcBorders>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Экспортный кредитный банк Швеции</w:t>
            </w:r>
          </w:p>
        </w:tc>
        <w:tc>
          <w:tcPr>
            <w:tcW w:w="1525" w:type="dxa"/>
            <w:tcBorders>
              <w:top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6</w:t>
            </w:r>
          </w:p>
        </w:tc>
      </w:tr>
      <w:tr w:rsidR="00DC1DF6" w:rsidRPr="00653075" w:rsidTr="00742173">
        <w:tc>
          <w:tcPr>
            <w:tcW w:w="195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xml:space="preserve">Август </w:t>
            </w:r>
            <w:smartTag w:uri="urn:schemas-microsoft-com:office:smarttags" w:element="metricconverter">
              <w:smartTagPr>
                <w:attr w:name="ProductID" w:val="2011 г"/>
              </w:smartTagPr>
              <w:r w:rsidRPr="00653075">
                <w:rPr>
                  <w:rFonts w:ascii="Times New Roman" w:hAnsi="Times New Roman"/>
                  <w:sz w:val="24"/>
                  <w:szCs w:val="24"/>
                </w:rPr>
                <w:t>2011 г</w:t>
              </w:r>
            </w:smartTag>
            <w:r w:rsidRPr="00653075">
              <w:rPr>
                <w:rFonts w:ascii="Times New Roman" w:hAnsi="Times New Roman"/>
                <w:sz w:val="24"/>
                <w:szCs w:val="24"/>
              </w:rPr>
              <w:t>.</w:t>
            </w:r>
          </w:p>
        </w:tc>
        <w:tc>
          <w:tcPr>
            <w:tcW w:w="6095"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Норвежский коммунальный банк</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3</w:t>
            </w:r>
          </w:p>
        </w:tc>
      </w:tr>
      <w:tr w:rsidR="00DC1DF6" w:rsidRPr="00653075" w:rsidTr="00742173">
        <w:tc>
          <w:tcPr>
            <w:tcW w:w="195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xml:space="preserve">Июнь </w:t>
            </w:r>
            <w:smartTag w:uri="urn:schemas-microsoft-com:office:smarttags" w:element="metricconverter">
              <w:smartTagPr>
                <w:attr w:name="ProductID" w:val="2011 г"/>
              </w:smartTagPr>
              <w:r w:rsidRPr="00653075">
                <w:rPr>
                  <w:rFonts w:ascii="Times New Roman" w:hAnsi="Times New Roman"/>
                  <w:sz w:val="24"/>
                  <w:szCs w:val="24"/>
                </w:rPr>
                <w:t>2011 г</w:t>
              </w:r>
            </w:smartTag>
            <w:r w:rsidRPr="00653075">
              <w:rPr>
                <w:rFonts w:ascii="Times New Roman" w:hAnsi="Times New Roman"/>
                <w:sz w:val="24"/>
                <w:szCs w:val="24"/>
              </w:rPr>
              <w:t>.</w:t>
            </w:r>
          </w:p>
        </w:tc>
        <w:tc>
          <w:tcPr>
            <w:tcW w:w="6095" w:type="dxa"/>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HSBC Bank Plc</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rPr>
              <w:t>2</w:t>
            </w:r>
            <w:r w:rsidRPr="00653075">
              <w:rPr>
                <w:rFonts w:ascii="Times New Roman" w:hAnsi="Times New Roman"/>
                <w:sz w:val="24"/>
                <w:szCs w:val="24"/>
                <w:lang w:val="en-US"/>
              </w:rPr>
              <w:t>,5</w:t>
            </w:r>
          </w:p>
        </w:tc>
      </w:tr>
      <w:tr w:rsidR="00DC1DF6" w:rsidRPr="00653075" w:rsidTr="00742173">
        <w:tc>
          <w:tcPr>
            <w:tcW w:w="195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xml:space="preserve">Декабрь </w:t>
            </w:r>
            <w:smartTag w:uri="urn:schemas-microsoft-com:office:smarttags" w:element="metricconverter">
              <w:smartTagPr>
                <w:attr w:name="ProductID" w:val="2010 г"/>
              </w:smartTagPr>
              <w:r w:rsidRPr="00653075">
                <w:rPr>
                  <w:rFonts w:ascii="Times New Roman" w:hAnsi="Times New Roman"/>
                  <w:sz w:val="24"/>
                  <w:szCs w:val="24"/>
                </w:rPr>
                <w:t>2010 г</w:t>
              </w:r>
            </w:smartTag>
            <w:r w:rsidRPr="00653075">
              <w:rPr>
                <w:rFonts w:ascii="Times New Roman" w:hAnsi="Times New Roman"/>
                <w:sz w:val="24"/>
                <w:szCs w:val="24"/>
              </w:rPr>
              <w:t>.</w:t>
            </w:r>
          </w:p>
        </w:tc>
        <w:tc>
          <w:tcPr>
            <w:tcW w:w="6095"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Азиатский банк развития</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7</w:t>
            </w:r>
          </w:p>
        </w:tc>
      </w:tr>
      <w:tr w:rsidR="00DC1DF6" w:rsidRPr="00653075" w:rsidTr="00742173">
        <w:tc>
          <w:tcPr>
            <w:tcW w:w="195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xml:space="preserve">Ноябрь </w:t>
            </w:r>
            <w:smartTag w:uri="urn:schemas-microsoft-com:office:smarttags" w:element="metricconverter">
              <w:smartTagPr>
                <w:attr w:name="ProductID" w:val="2010 г"/>
              </w:smartTagPr>
              <w:r w:rsidRPr="00653075">
                <w:rPr>
                  <w:rFonts w:ascii="Times New Roman" w:hAnsi="Times New Roman"/>
                  <w:sz w:val="24"/>
                  <w:szCs w:val="24"/>
                </w:rPr>
                <w:t>2010 г</w:t>
              </w:r>
            </w:smartTag>
            <w:r w:rsidRPr="00653075">
              <w:rPr>
                <w:rFonts w:ascii="Times New Roman" w:hAnsi="Times New Roman"/>
                <w:sz w:val="24"/>
                <w:szCs w:val="24"/>
              </w:rPr>
              <w:t>.</w:t>
            </w:r>
          </w:p>
        </w:tc>
        <w:tc>
          <w:tcPr>
            <w:tcW w:w="6095"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Европейский банк реконструкции и развития</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7</w:t>
            </w:r>
          </w:p>
        </w:tc>
      </w:tr>
      <w:tr w:rsidR="00DC1DF6" w:rsidRPr="00653075" w:rsidTr="00742173">
        <w:tc>
          <w:tcPr>
            <w:tcW w:w="1951"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xml:space="preserve">Июнь </w:t>
            </w:r>
            <w:smartTag w:uri="urn:schemas-microsoft-com:office:smarttags" w:element="metricconverter">
              <w:smartTagPr>
                <w:attr w:name="ProductID" w:val="2010 г"/>
              </w:smartTagPr>
              <w:r w:rsidRPr="00653075">
                <w:rPr>
                  <w:rFonts w:ascii="Times New Roman" w:hAnsi="Times New Roman"/>
                  <w:sz w:val="24"/>
                  <w:szCs w:val="24"/>
                </w:rPr>
                <w:t>2010 г</w:t>
              </w:r>
            </w:smartTag>
            <w:r w:rsidRPr="00653075">
              <w:rPr>
                <w:rFonts w:ascii="Times New Roman" w:hAnsi="Times New Roman"/>
                <w:sz w:val="24"/>
                <w:szCs w:val="24"/>
              </w:rPr>
              <w:t>.</w:t>
            </w:r>
          </w:p>
        </w:tc>
        <w:tc>
          <w:tcPr>
            <w:tcW w:w="6095"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Межамериканский банк развития</w:t>
            </w:r>
          </w:p>
        </w:tc>
        <w:tc>
          <w:tcPr>
            <w:tcW w:w="1525"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w:t>
            </w:r>
          </w:p>
        </w:tc>
      </w:tr>
    </w:tbl>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i/>
          <w:sz w:val="24"/>
          <w:szCs w:val="24"/>
        </w:rPr>
        <w:t>Источник:</w:t>
      </w:r>
      <w:r w:rsidRPr="00653075">
        <w:rPr>
          <w:rFonts w:ascii="Times New Roman" w:hAnsi="Times New Roman"/>
          <w:sz w:val="24"/>
          <w:szCs w:val="24"/>
        </w:rPr>
        <w:t xml:space="preserve"> отчеты о годовой деятельности соответствующих банков.</w:t>
      </w:r>
    </w:p>
    <w:p w:rsidR="00DC1DF6" w:rsidRDefault="00DC1DF6" w:rsidP="00653075">
      <w:pPr>
        <w:spacing w:after="0" w:line="360" w:lineRule="auto"/>
        <w:ind w:firstLine="709"/>
        <w:jc w:val="both"/>
        <w:rPr>
          <w:rFonts w:ascii="Times New Roman" w:hAnsi="Times New Roman"/>
          <w:sz w:val="24"/>
          <w:szCs w:val="24"/>
        </w:rPr>
      </w:pPr>
    </w:p>
    <w:p w:rsidR="00DC1DF6" w:rsidRPr="009C6ED3" w:rsidRDefault="00DC1DF6" w:rsidP="00653075">
      <w:pPr>
        <w:spacing w:after="0" w:line="360" w:lineRule="auto"/>
        <w:ind w:firstLine="709"/>
        <w:jc w:val="both"/>
        <w:rPr>
          <w:rFonts w:ascii="Times New Roman" w:hAnsi="Times New Roman"/>
          <w:b/>
          <w:sz w:val="24"/>
          <w:szCs w:val="24"/>
        </w:rPr>
      </w:pPr>
      <w:r>
        <w:rPr>
          <w:rFonts w:ascii="Times New Roman" w:hAnsi="Times New Roman"/>
          <w:b/>
          <w:sz w:val="24"/>
          <w:szCs w:val="24"/>
        </w:rPr>
        <w:t>Перспективы</w:t>
      </w:r>
      <w:r w:rsidRPr="009C6ED3">
        <w:rPr>
          <w:rFonts w:ascii="Times New Roman" w:hAnsi="Times New Roman"/>
          <w:b/>
          <w:sz w:val="24"/>
          <w:szCs w:val="24"/>
        </w:rPr>
        <w:t xml:space="preserve"> регионального использования российского рубля</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Что касается интернационализации российского рубля, несмотря на то</w:t>
      </w:r>
      <w:r>
        <w:rPr>
          <w:rFonts w:ascii="Times New Roman" w:hAnsi="Times New Roman"/>
          <w:sz w:val="24"/>
          <w:szCs w:val="24"/>
        </w:rPr>
        <w:t>,</w:t>
      </w:r>
      <w:r w:rsidRPr="00653075">
        <w:rPr>
          <w:rFonts w:ascii="Times New Roman" w:hAnsi="Times New Roman"/>
          <w:sz w:val="24"/>
          <w:szCs w:val="24"/>
        </w:rPr>
        <w:t xml:space="preserve"> что официально об этом было объявлено в </w:t>
      </w:r>
      <w:smartTag w:uri="urn:schemas-microsoft-com:office:smarttags" w:element="metricconverter">
        <w:smartTagPr>
          <w:attr w:name="ProductID" w:val="2000 г"/>
        </w:smartTagPr>
        <w:r w:rsidRPr="00653075">
          <w:rPr>
            <w:rFonts w:ascii="Times New Roman" w:hAnsi="Times New Roman"/>
            <w:sz w:val="24"/>
            <w:szCs w:val="24"/>
          </w:rPr>
          <w:t>2000 г</w:t>
        </w:r>
      </w:smartTag>
      <w:r w:rsidRPr="00653075">
        <w:rPr>
          <w:rFonts w:ascii="Times New Roman" w:hAnsi="Times New Roman"/>
          <w:sz w:val="24"/>
          <w:szCs w:val="24"/>
        </w:rPr>
        <w:t xml:space="preserve">., попытки продвижения рубля на международные финансовые рынки начались вместе с распадом СССР и реализацией рыночных реформ. Этот процесс затормозился долговым и финансовым кризисом в России в </w:t>
      </w:r>
      <w:smartTag w:uri="urn:schemas-microsoft-com:office:smarttags" w:element="metricconverter">
        <w:smartTagPr>
          <w:attr w:name="ProductID" w:val="1998 г"/>
        </w:smartTagPr>
        <w:r w:rsidRPr="00653075">
          <w:rPr>
            <w:rFonts w:ascii="Times New Roman" w:hAnsi="Times New Roman"/>
            <w:sz w:val="24"/>
            <w:szCs w:val="24"/>
          </w:rPr>
          <w:t>1998 г</w:t>
        </w:r>
      </w:smartTag>
      <w:r w:rsidRPr="00653075">
        <w:rPr>
          <w:rFonts w:ascii="Times New Roman" w:hAnsi="Times New Roman"/>
          <w:sz w:val="24"/>
          <w:szCs w:val="24"/>
        </w:rPr>
        <w:t>.</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В </w:t>
      </w:r>
      <w:smartTag w:uri="urn:schemas-microsoft-com:office:smarttags" w:element="metricconverter">
        <w:smartTagPr>
          <w:attr w:name="ProductID" w:val="2008 г"/>
        </w:smartTagPr>
        <w:r w:rsidRPr="00653075">
          <w:rPr>
            <w:rFonts w:ascii="Times New Roman" w:hAnsi="Times New Roman"/>
            <w:sz w:val="24"/>
            <w:szCs w:val="24"/>
          </w:rPr>
          <w:t>2008 г</w:t>
        </w:r>
      </w:smartTag>
      <w:r w:rsidRPr="00653075">
        <w:rPr>
          <w:rFonts w:ascii="Times New Roman" w:hAnsi="Times New Roman"/>
          <w:sz w:val="24"/>
          <w:szCs w:val="24"/>
        </w:rPr>
        <w:t xml:space="preserve">. превращение рубля в международную резервную валюту </w:t>
      </w:r>
      <w:r>
        <w:rPr>
          <w:rFonts w:ascii="Times New Roman" w:hAnsi="Times New Roman"/>
          <w:sz w:val="24"/>
          <w:szCs w:val="24"/>
        </w:rPr>
        <w:t>стало</w:t>
      </w:r>
      <w:r w:rsidRPr="00653075">
        <w:rPr>
          <w:rFonts w:ascii="Times New Roman" w:hAnsi="Times New Roman"/>
          <w:sz w:val="24"/>
          <w:szCs w:val="24"/>
        </w:rPr>
        <w:t xml:space="preserve"> одной из целей национальной внешнеэкономической стратегии до </w:t>
      </w:r>
      <w:smartTag w:uri="urn:schemas-microsoft-com:office:smarttags" w:element="metricconverter">
        <w:smartTagPr>
          <w:attr w:name="ProductID" w:val="2025 г"/>
        </w:smartTagPr>
        <w:r w:rsidRPr="00653075">
          <w:rPr>
            <w:rFonts w:ascii="Times New Roman" w:hAnsi="Times New Roman"/>
            <w:sz w:val="24"/>
            <w:szCs w:val="24"/>
          </w:rPr>
          <w:t>2025 г</w:t>
        </w:r>
      </w:smartTag>
      <w:r w:rsidRPr="00653075">
        <w:rPr>
          <w:rFonts w:ascii="Times New Roman" w:hAnsi="Times New Roman"/>
          <w:sz w:val="24"/>
          <w:szCs w:val="24"/>
        </w:rPr>
        <w:t>. Однако быстрый темп либерализации и при</w:t>
      </w:r>
      <w:r>
        <w:rPr>
          <w:rFonts w:ascii="Times New Roman" w:hAnsi="Times New Roman"/>
          <w:sz w:val="24"/>
          <w:szCs w:val="24"/>
        </w:rPr>
        <w:t>н</w:t>
      </w:r>
      <w:r w:rsidRPr="00653075">
        <w:rPr>
          <w:rFonts w:ascii="Times New Roman" w:hAnsi="Times New Roman"/>
          <w:sz w:val="24"/>
          <w:szCs w:val="24"/>
        </w:rPr>
        <w:t>ятие новой внешнеэкономической стратегии не привели к значительному расширению использования рубля на международных финансовых рынках, включая внешнеторговые сделки и сделки с капиталом. Этапы интернационализации российского рубля представлены в табл. 3.</w:t>
      </w:r>
    </w:p>
    <w:p w:rsidR="00DC1DF6" w:rsidRPr="00653075" w:rsidRDefault="00DC1DF6" w:rsidP="009C6ED3">
      <w:pPr>
        <w:spacing w:after="0" w:line="360" w:lineRule="auto"/>
        <w:ind w:firstLine="709"/>
        <w:jc w:val="right"/>
        <w:rPr>
          <w:rFonts w:ascii="Times New Roman" w:hAnsi="Times New Roman"/>
          <w:sz w:val="24"/>
          <w:szCs w:val="24"/>
        </w:rPr>
      </w:pPr>
      <w:r w:rsidRPr="00653075">
        <w:rPr>
          <w:rFonts w:ascii="Times New Roman" w:hAnsi="Times New Roman"/>
          <w:sz w:val="24"/>
          <w:szCs w:val="24"/>
        </w:rPr>
        <w:t>Таблица 3</w:t>
      </w:r>
    </w:p>
    <w:p w:rsidR="00DC1DF6" w:rsidRPr="00653075" w:rsidRDefault="00DC1DF6" w:rsidP="00653075">
      <w:pPr>
        <w:spacing w:after="0" w:line="360" w:lineRule="auto"/>
        <w:ind w:firstLine="709"/>
        <w:jc w:val="both"/>
        <w:rPr>
          <w:rFonts w:ascii="Times New Roman" w:hAnsi="Times New Roman"/>
          <w:b/>
          <w:sz w:val="24"/>
          <w:szCs w:val="24"/>
        </w:rPr>
      </w:pPr>
      <w:r w:rsidRPr="00653075">
        <w:rPr>
          <w:rFonts w:ascii="Times New Roman" w:hAnsi="Times New Roman"/>
          <w:b/>
          <w:sz w:val="24"/>
          <w:szCs w:val="24"/>
        </w:rPr>
        <w:t>Основные этапы интернационализации российского рубля</w:t>
      </w:r>
      <w:r>
        <w:rPr>
          <w:rFonts w:ascii="Times New Roman" w:hAnsi="Times New Roman"/>
          <w:b/>
          <w:sz w:val="24"/>
          <w:szCs w:val="24"/>
        </w:rPr>
        <w:t xml:space="preserve"> </w:t>
      </w:r>
      <w:r w:rsidRPr="00653075">
        <w:rPr>
          <w:rFonts w:ascii="Times New Roman" w:hAnsi="Times New Roman"/>
          <w:b/>
          <w:sz w:val="24"/>
          <w:szCs w:val="24"/>
        </w:rPr>
        <w:t>на современном этапе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2"/>
        <w:gridCol w:w="2068"/>
        <w:gridCol w:w="6406"/>
      </w:tblGrid>
      <w:tr w:rsidR="00DC1DF6" w:rsidRPr="00653075" w:rsidTr="00742173">
        <w:tc>
          <w:tcPr>
            <w:tcW w:w="817"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Этап</w:t>
            </w:r>
          </w:p>
        </w:tc>
        <w:tc>
          <w:tcPr>
            <w:tcW w:w="212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Период</w:t>
            </w:r>
          </w:p>
        </w:tc>
        <w:tc>
          <w:tcPr>
            <w:tcW w:w="6628"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Характеристика</w:t>
            </w:r>
          </w:p>
        </w:tc>
      </w:tr>
      <w:tr w:rsidR="00DC1DF6" w:rsidRPr="00653075" w:rsidTr="00742173">
        <w:tc>
          <w:tcPr>
            <w:tcW w:w="817" w:type="dxa"/>
            <w:tcBorders>
              <w:top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1.</w:t>
            </w:r>
          </w:p>
        </w:tc>
        <w:tc>
          <w:tcPr>
            <w:tcW w:w="2126" w:type="dxa"/>
            <w:tcBorders>
              <w:top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xml:space="preserve">Июнь </w:t>
            </w:r>
            <w:smartTag w:uri="urn:schemas-microsoft-com:office:smarttags" w:element="metricconverter">
              <w:smartTagPr>
                <w:attr w:name="ProductID" w:val="1996 г"/>
              </w:smartTagPr>
              <w:r w:rsidRPr="00653075">
                <w:rPr>
                  <w:rFonts w:ascii="Times New Roman" w:hAnsi="Times New Roman"/>
                  <w:sz w:val="24"/>
                  <w:szCs w:val="24"/>
                </w:rPr>
                <w:t>1996 г</w:t>
              </w:r>
            </w:smartTag>
            <w:r w:rsidRPr="00653075">
              <w:rPr>
                <w:rFonts w:ascii="Times New Roman" w:hAnsi="Times New Roman"/>
                <w:sz w:val="24"/>
                <w:szCs w:val="24"/>
              </w:rPr>
              <w:t>.</w:t>
            </w:r>
          </w:p>
        </w:tc>
        <w:tc>
          <w:tcPr>
            <w:tcW w:w="6628" w:type="dxa"/>
            <w:tcBorders>
              <w:top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Либерализация внешнеторговых сделок</w:t>
            </w:r>
          </w:p>
        </w:tc>
      </w:tr>
      <w:tr w:rsidR="00DC1DF6" w:rsidRPr="00653075" w:rsidTr="00742173">
        <w:tc>
          <w:tcPr>
            <w:tcW w:w="817"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w:t>
            </w:r>
          </w:p>
        </w:tc>
        <w:tc>
          <w:tcPr>
            <w:tcW w:w="2126"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xml:space="preserve">Июль </w:t>
            </w:r>
            <w:smartTag w:uri="urn:schemas-microsoft-com:office:smarttags" w:element="metricconverter">
              <w:smartTagPr>
                <w:attr w:name="ProductID" w:val="2006 г"/>
              </w:smartTagPr>
              <w:r w:rsidRPr="00653075">
                <w:rPr>
                  <w:rFonts w:ascii="Times New Roman" w:hAnsi="Times New Roman"/>
                  <w:sz w:val="24"/>
                  <w:szCs w:val="24"/>
                </w:rPr>
                <w:t>2006 г</w:t>
              </w:r>
            </w:smartTag>
            <w:r w:rsidRPr="00653075">
              <w:rPr>
                <w:rFonts w:ascii="Times New Roman" w:hAnsi="Times New Roman"/>
                <w:sz w:val="24"/>
                <w:szCs w:val="24"/>
              </w:rPr>
              <w:t>.</w:t>
            </w:r>
          </w:p>
        </w:tc>
        <w:tc>
          <w:tcPr>
            <w:tcW w:w="6628"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Либерализация внешнеэкономических сделок с капиталом. Рубль становится полностью конвертируемой валютой</w:t>
            </w:r>
          </w:p>
        </w:tc>
      </w:tr>
      <w:tr w:rsidR="00DC1DF6" w:rsidRPr="00653075" w:rsidTr="00742173">
        <w:tc>
          <w:tcPr>
            <w:tcW w:w="817"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3.</w:t>
            </w:r>
          </w:p>
        </w:tc>
        <w:tc>
          <w:tcPr>
            <w:tcW w:w="2126"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xml:space="preserve">Ноябрь </w:t>
            </w:r>
            <w:smartTag w:uri="urn:schemas-microsoft-com:office:smarttags" w:element="metricconverter">
              <w:smartTagPr>
                <w:attr w:name="ProductID" w:val="2010 г"/>
              </w:smartTagPr>
              <w:r w:rsidRPr="00653075">
                <w:rPr>
                  <w:rFonts w:ascii="Times New Roman" w:hAnsi="Times New Roman"/>
                  <w:sz w:val="24"/>
                  <w:szCs w:val="24"/>
                </w:rPr>
                <w:t>2010 г</w:t>
              </w:r>
            </w:smartTag>
            <w:r w:rsidRPr="00653075">
              <w:rPr>
                <w:rFonts w:ascii="Times New Roman" w:hAnsi="Times New Roman"/>
                <w:sz w:val="24"/>
                <w:szCs w:val="24"/>
              </w:rPr>
              <w:t>.</w:t>
            </w:r>
          </w:p>
        </w:tc>
        <w:tc>
          <w:tcPr>
            <w:tcW w:w="6628"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Начало перехода к режиму свободного плавания рубля</w:t>
            </w:r>
          </w:p>
        </w:tc>
      </w:tr>
      <w:tr w:rsidR="00DC1DF6" w:rsidRPr="00653075" w:rsidTr="00742173">
        <w:tc>
          <w:tcPr>
            <w:tcW w:w="817"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4.</w:t>
            </w:r>
          </w:p>
        </w:tc>
        <w:tc>
          <w:tcPr>
            <w:tcW w:w="2126"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 xml:space="preserve">Декабрь </w:t>
            </w:r>
            <w:smartTag w:uri="urn:schemas-microsoft-com:office:smarttags" w:element="metricconverter">
              <w:smartTagPr>
                <w:attr w:name="ProductID" w:val="2010 г"/>
              </w:smartTagPr>
              <w:r w:rsidRPr="00653075">
                <w:rPr>
                  <w:rFonts w:ascii="Times New Roman" w:hAnsi="Times New Roman"/>
                  <w:sz w:val="24"/>
                  <w:szCs w:val="24"/>
                </w:rPr>
                <w:t>2010 г</w:t>
              </w:r>
            </w:smartTag>
            <w:r w:rsidRPr="00653075">
              <w:rPr>
                <w:rFonts w:ascii="Times New Roman" w:hAnsi="Times New Roman"/>
                <w:sz w:val="24"/>
                <w:szCs w:val="24"/>
              </w:rPr>
              <w:t>.</w:t>
            </w:r>
          </w:p>
        </w:tc>
        <w:tc>
          <w:tcPr>
            <w:tcW w:w="6628" w:type="dxa"/>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Введение прямой конвертации китайского юаня и российского рубля. Белоруссия осуществляет эмиссию облигаций, выраженных в российских рублях</w:t>
            </w:r>
          </w:p>
        </w:tc>
      </w:tr>
    </w:tbl>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i/>
          <w:sz w:val="24"/>
          <w:szCs w:val="24"/>
        </w:rPr>
        <w:t>Источник:</w:t>
      </w:r>
      <w:r w:rsidRPr="00653075">
        <w:rPr>
          <w:rFonts w:ascii="Times New Roman" w:hAnsi="Times New Roman"/>
          <w:sz w:val="24"/>
          <w:szCs w:val="24"/>
        </w:rPr>
        <w:t xml:space="preserve"> </w:t>
      </w:r>
      <w:r w:rsidRPr="00653075">
        <w:rPr>
          <w:rFonts w:ascii="Times New Roman" w:hAnsi="Times New Roman"/>
          <w:sz w:val="24"/>
          <w:szCs w:val="24"/>
          <w:lang w:val="en-US"/>
        </w:rPr>
        <w:t>VTB</w:t>
      </w:r>
      <w:r w:rsidRPr="00653075">
        <w:rPr>
          <w:rFonts w:ascii="Times New Roman" w:hAnsi="Times New Roman"/>
          <w:sz w:val="24"/>
          <w:szCs w:val="24"/>
        </w:rPr>
        <w:t xml:space="preserve"> </w:t>
      </w:r>
      <w:r w:rsidRPr="00653075">
        <w:rPr>
          <w:rFonts w:ascii="Times New Roman" w:hAnsi="Times New Roman"/>
          <w:sz w:val="24"/>
          <w:szCs w:val="24"/>
          <w:lang w:val="en-US"/>
        </w:rPr>
        <w:t>Capital</w:t>
      </w:r>
      <w:r w:rsidRPr="00653075">
        <w:rPr>
          <w:rFonts w:ascii="Times New Roman" w:hAnsi="Times New Roman"/>
          <w:sz w:val="24"/>
          <w:szCs w:val="24"/>
        </w:rPr>
        <w:t xml:space="preserve"> </w:t>
      </w:r>
      <w:r w:rsidRPr="00653075">
        <w:rPr>
          <w:rFonts w:ascii="Times New Roman" w:hAnsi="Times New Roman"/>
          <w:sz w:val="24"/>
          <w:szCs w:val="24"/>
          <w:lang w:val="en-US"/>
        </w:rPr>
        <w:t>Research</w:t>
      </w:r>
      <w:r w:rsidRPr="00653075">
        <w:rPr>
          <w:rFonts w:ascii="Times New Roman" w:hAnsi="Times New Roman"/>
          <w:sz w:val="24"/>
          <w:szCs w:val="24"/>
        </w:rPr>
        <w:t>.</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Что касается современного периода интернационализации российского рубля, статистические данные показывают, что доля сделок с непосредственным его участием во внешнеэкономических операциях составляет около 4%. Однако эта доля увеличивается до 10%, если рассматривать только торговлю в рамках СНГ. Также в соответствии с данными российских финансовых институтов, около 30% всех внешнеторговых сделок России, связанных с предоставлением услуг</w:t>
      </w:r>
      <w:r>
        <w:rPr>
          <w:rFonts w:ascii="Times New Roman" w:hAnsi="Times New Roman"/>
          <w:sz w:val="24"/>
          <w:szCs w:val="24"/>
        </w:rPr>
        <w:t>,</w:t>
      </w:r>
      <w:r w:rsidRPr="00653075">
        <w:rPr>
          <w:rFonts w:ascii="Times New Roman" w:hAnsi="Times New Roman"/>
          <w:sz w:val="24"/>
          <w:szCs w:val="24"/>
        </w:rPr>
        <w:t xml:space="preserve"> выражены в рублях, а в рамках СНГ данный показатель составляет более 50% (табл. 4). Эти услуги включают, главным образом, железнодорожное, трубопроводное сообщение и туризм.</w:t>
      </w:r>
    </w:p>
    <w:p w:rsidR="00DC1DF6" w:rsidRPr="00653075" w:rsidRDefault="00DC1DF6" w:rsidP="009C6ED3">
      <w:pPr>
        <w:spacing w:after="0" w:line="360" w:lineRule="auto"/>
        <w:ind w:firstLine="709"/>
        <w:jc w:val="right"/>
        <w:rPr>
          <w:rFonts w:ascii="Times New Roman" w:hAnsi="Times New Roman"/>
          <w:sz w:val="24"/>
          <w:szCs w:val="24"/>
        </w:rPr>
      </w:pPr>
      <w:r w:rsidRPr="00653075">
        <w:rPr>
          <w:rFonts w:ascii="Times New Roman" w:hAnsi="Times New Roman"/>
          <w:sz w:val="24"/>
          <w:szCs w:val="24"/>
        </w:rPr>
        <w:t>Таблица 4</w:t>
      </w:r>
    </w:p>
    <w:p w:rsidR="00DC1DF6" w:rsidRPr="00653075" w:rsidRDefault="00DC1DF6" w:rsidP="00653075">
      <w:pPr>
        <w:spacing w:after="0" w:line="360" w:lineRule="auto"/>
        <w:ind w:firstLine="709"/>
        <w:jc w:val="both"/>
        <w:rPr>
          <w:rFonts w:ascii="Times New Roman" w:hAnsi="Times New Roman"/>
          <w:b/>
          <w:sz w:val="24"/>
          <w:szCs w:val="24"/>
        </w:rPr>
      </w:pPr>
      <w:r w:rsidRPr="00653075">
        <w:rPr>
          <w:rFonts w:ascii="Times New Roman" w:hAnsi="Times New Roman"/>
          <w:b/>
          <w:sz w:val="24"/>
          <w:szCs w:val="24"/>
        </w:rPr>
        <w:t>Доля внешнеторговых сделок, выраженных в российских рублях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1"/>
        <w:gridCol w:w="1239"/>
        <w:gridCol w:w="1371"/>
        <w:gridCol w:w="1239"/>
        <w:gridCol w:w="1239"/>
        <w:gridCol w:w="1207"/>
      </w:tblGrid>
      <w:tr w:rsidR="00DC1DF6" w:rsidRPr="00653075" w:rsidTr="00742173">
        <w:tc>
          <w:tcPr>
            <w:tcW w:w="3085" w:type="dxa"/>
            <w:tcBorders>
              <w:top w:val="single" w:sz="12" w:space="0" w:color="auto"/>
              <w:left w:val="single" w:sz="12" w:space="0" w:color="auto"/>
              <w:bottom w:val="single" w:sz="12" w:space="0" w:color="auto"/>
              <w:right w:val="single" w:sz="12" w:space="0" w:color="auto"/>
            </w:tcBorders>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Страна</w:t>
            </w:r>
          </w:p>
        </w:tc>
        <w:tc>
          <w:tcPr>
            <w:tcW w:w="127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2006</w:t>
            </w:r>
          </w:p>
        </w:tc>
        <w:tc>
          <w:tcPr>
            <w:tcW w:w="1417"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2007</w:t>
            </w:r>
          </w:p>
        </w:tc>
        <w:tc>
          <w:tcPr>
            <w:tcW w:w="127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2008</w:t>
            </w:r>
          </w:p>
        </w:tc>
        <w:tc>
          <w:tcPr>
            <w:tcW w:w="127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2009</w:t>
            </w:r>
          </w:p>
        </w:tc>
        <w:tc>
          <w:tcPr>
            <w:tcW w:w="1241"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2010</w:t>
            </w:r>
          </w:p>
        </w:tc>
      </w:tr>
      <w:tr w:rsidR="00DC1DF6" w:rsidRPr="00653075" w:rsidTr="00742173">
        <w:tc>
          <w:tcPr>
            <w:tcW w:w="3085" w:type="dxa"/>
            <w:tcBorders>
              <w:top w:val="single" w:sz="12" w:space="0" w:color="auto"/>
            </w:tcBorders>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Россия</w:t>
            </w:r>
          </w:p>
        </w:tc>
        <w:tc>
          <w:tcPr>
            <w:tcW w:w="1276" w:type="dxa"/>
            <w:tcBorders>
              <w:top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3,7</w:t>
            </w:r>
          </w:p>
        </w:tc>
        <w:tc>
          <w:tcPr>
            <w:tcW w:w="1417" w:type="dxa"/>
            <w:tcBorders>
              <w:top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3,9</w:t>
            </w:r>
          </w:p>
        </w:tc>
        <w:tc>
          <w:tcPr>
            <w:tcW w:w="1276" w:type="dxa"/>
            <w:tcBorders>
              <w:top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3,7</w:t>
            </w:r>
          </w:p>
        </w:tc>
        <w:tc>
          <w:tcPr>
            <w:tcW w:w="1276" w:type="dxa"/>
            <w:tcBorders>
              <w:top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3,8</w:t>
            </w:r>
          </w:p>
        </w:tc>
        <w:tc>
          <w:tcPr>
            <w:tcW w:w="1241" w:type="dxa"/>
            <w:tcBorders>
              <w:top w:val="single" w:sz="12" w:space="0" w:color="auto"/>
            </w:tcBorders>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3,9</w:t>
            </w:r>
          </w:p>
        </w:tc>
      </w:tr>
      <w:tr w:rsidR="00DC1DF6" w:rsidRPr="00653075" w:rsidTr="00742173">
        <w:tc>
          <w:tcPr>
            <w:tcW w:w="3085"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Белоруссия</w:t>
            </w:r>
          </w:p>
        </w:tc>
        <w:tc>
          <w:tcPr>
            <w:tcW w:w="1276"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28,0</w:t>
            </w:r>
          </w:p>
        </w:tc>
        <w:tc>
          <w:tcPr>
            <w:tcW w:w="1417"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28,7</w:t>
            </w:r>
          </w:p>
        </w:tc>
        <w:tc>
          <w:tcPr>
            <w:tcW w:w="1276"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27,0</w:t>
            </w:r>
          </w:p>
        </w:tc>
        <w:tc>
          <w:tcPr>
            <w:tcW w:w="1276"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26,2</w:t>
            </w:r>
          </w:p>
        </w:tc>
        <w:tc>
          <w:tcPr>
            <w:tcW w:w="1241"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30,4</w:t>
            </w:r>
          </w:p>
        </w:tc>
      </w:tr>
      <w:tr w:rsidR="00DC1DF6" w:rsidRPr="00653075" w:rsidTr="00742173">
        <w:tc>
          <w:tcPr>
            <w:tcW w:w="3085"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Казахстан</w:t>
            </w:r>
          </w:p>
        </w:tc>
        <w:tc>
          <w:tcPr>
            <w:tcW w:w="1276"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11,1</w:t>
            </w:r>
          </w:p>
        </w:tc>
        <w:tc>
          <w:tcPr>
            <w:tcW w:w="1417"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12,2</w:t>
            </w:r>
          </w:p>
        </w:tc>
        <w:tc>
          <w:tcPr>
            <w:tcW w:w="1276"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8,5</w:t>
            </w:r>
          </w:p>
        </w:tc>
        <w:tc>
          <w:tcPr>
            <w:tcW w:w="1276"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7,6</w:t>
            </w:r>
          </w:p>
        </w:tc>
        <w:tc>
          <w:tcPr>
            <w:tcW w:w="1241"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8,2</w:t>
            </w:r>
          </w:p>
        </w:tc>
      </w:tr>
      <w:tr w:rsidR="00DC1DF6" w:rsidRPr="00653075" w:rsidTr="00742173">
        <w:tc>
          <w:tcPr>
            <w:tcW w:w="3085" w:type="dxa"/>
          </w:tcPr>
          <w:p w:rsidR="00DC1DF6" w:rsidRPr="00653075" w:rsidRDefault="00DC1DF6" w:rsidP="009C6ED3">
            <w:pPr>
              <w:spacing w:after="0" w:line="240" w:lineRule="auto"/>
              <w:jc w:val="both"/>
              <w:rPr>
                <w:rFonts w:ascii="Times New Roman" w:hAnsi="Times New Roman"/>
                <w:sz w:val="24"/>
                <w:szCs w:val="24"/>
              </w:rPr>
            </w:pPr>
            <w:r w:rsidRPr="00653075">
              <w:rPr>
                <w:rFonts w:ascii="Times New Roman" w:hAnsi="Times New Roman"/>
                <w:sz w:val="24"/>
                <w:szCs w:val="24"/>
              </w:rPr>
              <w:t>Киргизия и Таджикистан</w:t>
            </w:r>
          </w:p>
        </w:tc>
        <w:tc>
          <w:tcPr>
            <w:tcW w:w="1276"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11,8</w:t>
            </w:r>
          </w:p>
        </w:tc>
        <w:tc>
          <w:tcPr>
            <w:tcW w:w="1417"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10,3</w:t>
            </w:r>
          </w:p>
        </w:tc>
        <w:tc>
          <w:tcPr>
            <w:tcW w:w="1276"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12,0</w:t>
            </w:r>
          </w:p>
        </w:tc>
        <w:tc>
          <w:tcPr>
            <w:tcW w:w="1276"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12,1</w:t>
            </w:r>
          </w:p>
        </w:tc>
        <w:tc>
          <w:tcPr>
            <w:tcW w:w="1241" w:type="dxa"/>
            <w:vAlign w:val="center"/>
          </w:tcPr>
          <w:p w:rsidR="00DC1DF6" w:rsidRPr="00653075" w:rsidRDefault="00DC1DF6" w:rsidP="009C6ED3">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10,8</w:t>
            </w:r>
          </w:p>
        </w:tc>
      </w:tr>
    </w:tbl>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i/>
          <w:sz w:val="24"/>
          <w:szCs w:val="24"/>
        </w:rPr>
        <w:t>Источник:</w:t>
      </w:r>
      <w:r w:rsidRPr="00653075">
        <w:rPr>
          <w:rFonts w:ascii="Times New Roman" w:hAnsi="Times New Roman"/>
          <w:sz w:val="24"/>
          <w:szCs w:val="24"/>
        </w:rPr>
        <w:t xml:space="preserve"> </w:t>
      </w:r>
      <w:r w:rsidRPr="00653075">
        <w:rPr>
          <w:rFonts w:ascii="Times New Roman" w:hAnsi="Times New Roman"/>
          <w:sz w:val="24"/>
          <w:szCs w:val="24"/>
          <w:lang w:val="en-US"/>
        </w:rPr>
        <w:t>VTB</w:t>
      </w:r>
      <w:r w:rsidRPr="00653075">
        <w:rPr>
          <w:rFonts w:ascii="Times New Roman" w:hAnsi="Times New Roman"/>
          <w:sz w:val="24"/>
          <w:szCs w:val="24"/>
        </w:rPr>
        <w:t xml:space="preserve"> </w:t>
      </w:r>
      <w:r w:rsidRPr="00653075">
        <w:rPr>
          <w:rFonts w:ascii="Times New Roman" w:hAnsi="Times New Roman"/>
          <w:sz w:val="24"/>
          <w:szCs w:val="24"/>
          <w:lang w:val="en-US"/>
        </w:rPr>
        <w:t>Capital</w:t>
      </w:r>
      <w:r w:rsidRPr="00653075">
        <w:rPr>
          <w:rFonts w:ascii="Times New Roman" w:hAnsi="Times New Roman"/>
          <w:sz w:val="24"/>
          <w:szCs w:val="24"/>
        </w:rPr>
        <w:t xml:space="preserve"> </w:t>
      </w:r>
      <w:r w:rsidRPr="00653075">
        <w:rPr>
          <w:rFonts w:ascii="Times New Roman" w:hAnsi="Times New Roman"/>
          <w:sz w:val="24"/>
          <w:szCs w:val="24"/>
          <w:lang w:val="en-US"/>
        </w:rPr>
        <w:t>Research</w:t>
      </w:r>
      <w:r w:rsidRPr="00653075">
        <w:rPr>
          <w:rFonts w:ascii="Times New Roman" w:hAnsi="Times New Roman"/>
          <w:sz w:val="24"/>
          <w:szCs w:val="24"/>
        </w:rPr>
        <w:t>.</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Важнейший этап интернационализации российского рубля начался 15.12.2010 г. с введением прямого использования рубля и юаня для опосредования взаимных внешнеторговых операций через валютные рынки в Москве и Шанхае. Несмотря на то</w:t>
      </w:r>
      <w:r>
        <w:rPr>
          <w:rFonts w:ascii="Times New Roman" w:hAnsi="Times New Roman"/>
          <w:sz w:val="24"/>
          <w:szCs w:val="24"/>
        </w:rPr>
        <w:t>,</w:t>
      </w:r>
      <w:r w:rsidRPr="00653075">
        <w:rPr>
          <w:rFonts w:ascii="Times New Roman" w:hAnsi="Times New Roman"/>
          <w:sz w:val="24"/>
          <w:szCs w:val="24"/>
        </w:rPr>
        <w:t xml:space="preserve"> что объем такой прямой торговли достаточно ограничен, в течение 2011 г. он вырос в 5 раз</w:t>
      </w:r>
      <w:r>
        <w:rPr>
          <w:rFonts w:ascii="Times New Roman" w:hAnsi="Times New Roman"/>
          <w:sz w:val="24"/>
          <w:szCs w:val="24"/>
        </w:rPr>
        <w:t>.</w:t>
      </w:r>
      <w:r w:rsidRPr="00653075">
        <w:rPr>
          <w:rFonts w:ascii="Times New Roman" w:hAnsi="Times New Roman"/>
          <w:sz w:val="24"/>
          <w:szCs w:val="24"/>
        </w:rPr>
        <w:t xml:space="preserve"> Поскольку Россия импортирует из Китая большое количество промышленных товаров, некоторые национальные компании видят в прямом опосредовании внешнеторговых сделок с Китаем в юанях и рублях серьезный потенциал для развития импортно-экспортных операций между двумя странами.</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Для интернационализации российского рубля необходимо обеспечить выход экономики страны на более продвинутый уровень, диверсификацию структуры отраслей с целью увеличения использования национальной валюты во внешнеторговых сделках и доверия к ней инвесторов, а также стимулирования прямых и портфельных инвестиций за рубеж, выраженных в рублях, и способствования накоплению рублей и рублевых облигаций в международных резервах.</w:t>
      </w:r>
    </w:p>
    <w:p w:rsidR="00DC1DF6" w:rsidRPr="00101D3F" w:rsidRDefault="00DC1DF6" w:rsidP="00653075">
      <w:pPr>
        <w:spacing w:after="0" w:line="360" w:lineRule="auto"/>
        <w:ind w:firstLine="709"/>
        <w:jc w:val="both"/>
        <w:rPr>
          <w:rFonts w:ascii="Times New Roman" w:hAnsi="Times New Roman"/>
          <w:b/>
          <w:sz w:val="24"/>
          <w:szCs w:val="24"/>
        </w:rPr>
      </w:pPr>
      <w:r w:rsidRPr="00101D3F">
        <w:rPr>
          <w:rFonts w:ascii="Times New Roman" w:hAnsi="Times New Roman"/>
          <w:b/>
          <w:sz w:val="24"/>
          <w:szCs w:val="24"/>
        </w:rPr>
        <w:t>Интернационализация индийской рупии в регионе Южной Азии</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Анализируя современные тенденции развития индийской экономики, можно выделить несколько факторов, которые закладывают основы интернационализации рупии, включая большие золотовалютные резервы и стабильные темпы роста национальной экономики в целом. Индия, как и другие страны БРИКС, приняла достаточно осторожный подход к либерализации внешнеэкономических операций. Например, индийское правительство не допускает официальное использование рупии в международных сделках, за исключением Непала и Бутана, хотя имеются некоторые признаки, указывающие на то, что индийская национальная валюта начинает проникать на рынки других стран Азии. При этом существуют серьезные проблемы на пути интернационализации индийской рупии, поскольку этот процесс может привести к увеличению волатильности ее обменного курса и тем самым негативно повлиять на экспортные возможности Индии. При интернационализации индийской рупии экономика этой страны также может столкнуться с риском, связанным с оттоком краткосрочного, спекулятивного капитала и портфельных инвестиций нерезидентами. Также у Индии систематически накапливается достаточно серьезный дефицит торгового и платежного баланса. Поэтому внешнеэкономические операции с капиталом в Индии относительно ограничены, и индийский финансовый рынок испытывает недостаток глубины по сравнению с развитыми странами. Во внешнеторговых сделках для опосредования экспортно-импортных операций индийская рупия используется крайне редко и в небольших количествах. Например, в 2011 г. Иран принял оплату своего экспорта нефти в Индию в рупиях на сумму 1,53 млрд. долл. Но для широкой интернационализации рупии, по крайней мере в Азии, необходимы более активные меры и политико-экономические решения.</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Существуют и другие примеры международного использования индийской рупии. Так, по данным Банка международных расчетов, в 2010 г. ежедневный объем торговли валютной пары с участием индийской рупии составлял около 36 млрд. долл., что указывает на достаточно стабильный рост индийского экспорта на мировом рынке. В свою очередь, Резервный банк Индии провел исследование, согласно которому индийская рупия является официальной валютой для международных расчетов в таких странах, как Кувейт, Бахрейн, Катар, Объединенные Арабские Эмираты (ОАЭ) и Малайзия. Наконец, еврорупия как валюта, выпущенная на пределами страны-эмитента, впервые стала обращаться в странах Персидского залива и была введена индийским правительством в качестве замены национальной денежной единицы (рупии) во внешнеэкономических расчетах с участием Резервного банка Индии с 01.05.1959 г. Однако после того как индийское правительство осуществило девальвацию рупии 6.06.1966 г. Оман, Катар и ОАЭ заменили еврорупию на свои национальные валюты, тогда как Кувейт и Бахрейн сделали это несколько ранее – в 1961 и 1965 гг., соответственно.</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Индия, как и большинство стран мира, осуществляет расчеты по внешнеторговым операциям в долларах (табл. 5), и попытки увеличить использование индийской рупии в международных сделках не дали пока значимых результатов, поскольку страны с национальными валютами, которые также не являются международными по характеру и функциям, не обладают необходимой инфраструктурой для страхования своей экономики от внешних финансовых рисков, присущих спекулятивным потокам капиталов на мировых рынках.</w:t>
      </w:r>
    </w:p>
    <w:p w:rsidR="00DC1DF6" w:rsidRPr="00653075" w:rsidRDefault="00DC1DF6" w:rsidP="00101D3F">
      <w:pPr>
        <w:spacing w:after="0" w:line="360" w:lineRule="auto"/>
        <w:ind w:firstLine="709"/>
        <w:jc w:val="right"/>
        <w:rPr>
          <w:rFonts w:ascii="Times New Roman" w:hAnsi="Times New Roman"/>
          <w:sz w:val="24"/>
          <w:szCs w:val="24"/>
        </w:rPr>
      </w:pPr>
      <w:r w:rsidRPr="00653075">
        <w:rPr>
          <w:rFonts w:ascii="Times New Roman" w:hAnsi="Times New Roman"/>
          <w:sz w:val="24"/>
          <w:szCs w:val="24"/>
        </w:rPr>
        <w:t>Таблица 5</w:t>
      </w:r>
    </w:p>
    <w:p w:rsidR="00DC1DF6" w:rsidRPr="00653075" w:rsidRDefault="00DC1DF6" w:rsidP="00653075">
      <w:pPr>
        <w:spacing w:after="0" w:line="360" w:lineRule="auto"/>
        <w:ind w:firstLine="709"/>
        <w:jc w:val="both"/>
        <w:rPr>
          <w:rFonts w:ascii="Times New Roman" w:hAnsi="Times New Roman"/>
          <w:b/>
          <w:sz w:val="24"/>
          <w:szCs w:val="24"/>
        </w:rPr>
      </w:pPr>
      <w:r w:rsidRPr="00653075">
        <w:rPr>
          <w:rFonts w:ascii="Times New Roman" w:hAnsi="Times New Roman"/>
          <w:b/>
          <w:sz w:val="24"/>
          <w:szCs w:val="24"/>
        </w:rPr>
        <w:t>Внешнеторговые расчеты Индии по экспортно-импортным операциям</w:t>
      </w:r>
      <w:r>
        <w:rPr>
          <w:rFonts w:ascii="Times New Roman" w:hAnsi="Times New Roman"/>
          <w:b/>
          <w:sz w:val="24"/>
          <w:szCs w:val="24"/>
        </w:rPr>
        <w:t xml:space="preserve"> </w:t>
      </w:r>
      <w:r w:rsidRPr="00653075">
        <w:rPr>
          <w:rFonts w:ascii="Times New Roman" w:hAnsi="Times New Roman"/>
          <w:b/>
          <w:sz w:val="24"/>
          <w:szCs w:val="24"/>
        </w:rPr>
        <w:t>в 2005–2013 гг. по валюте сделки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
        <w:gridCol w:w="702"/>
        <w:gridCol w:w="702"/>
        <w:gridCol w:w="702"/>
        <w:gridCol w:w="703"/>
        <w:gridCol w:w="703"/>
        <w:gridCol w:w="703"/>
        <w:gridCol w:w="703"/>
        <w:gridCol w:w="703"/>
        <w:gridCol w:w="703"/>
        <w:gridCol w:w="703"/>
        <w:gridCol w:w="703"/>
        <w:gridCol w:w="703"/>
      </w:tblGrid>
      <w:tr w:rsidR="00DC1DF6" w:rsidRPr="00653075" w:rsidTr="00742173">
        <w:tc>
          <w:tcPr>
            <w:tcW w:w="879" w:type="dxa"/>
            <w:vMerge w:val="restart"/>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Валюта</w:t>
            </w:r>
          </w:p>
        </w:tc>
        <w:tc>
          <w:tcPr>
            <w:tcW w:w="4396" w:type="dxa"/>
            <w:gridSpan w:val="6"/>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Экспорт</w:t>
            </w:r>
          </w:p>
        </w:tc>
        <w:tc>
          <w:tcPr>
            <w:tcW w:w="4296" w:type="dxa"/>
            <w:gridSpan w:val="6"/>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Импорт</w:t>
            </w:r>
          </w:p>
        </w:tc>
      </w:tr>
      <w:tr w:rsidR="00DC1DF6" w:rsidRPr="00653075" w:rsidTr="00742173">
        <w:tc>
          <w:tcPr>
            <w:tcW w:w="879" w:type="dxa"/>
            <w:vMerge/>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p>
        </w:tc>
        <w:tc>
          <w:tcPr>
            <w:tcW w:w="757"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2005–2006</w:t>
            </w:r>
          </w:p>
        </w:tc>
        <w:tc>
          <w:tcPr>
            <w:tcW w:w="729"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2008–2009</w:t>
            </w:r>
          </w:p>
        </w:tc>
        <w:tc>
          <w:tcPr>
            <w:tcW w:w="729"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2009–2010</w:t>
            </w:r>
          </w:p>
        </w:tc>
        <w:tc>
          <w:tcPr>
            <w:tcW w:w="729"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2010–2011</w:t>
            </w:r>
          </w:p>
        </w:tc>
        <w:tc>
          <w:tcPr>
            <w:tcW w:w="72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2011–2012</w:t>
            </w:r>
          </w:p>
        </w:tc>
        <w:tc>
          <w:tcPr>
            <w:tcW w:w="72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2012–2013</w:t>
            </w:r>
          </w:p>
        </w:tc>
        <w:tc>
          <w:tcPr>
            <w:tcW w:w="71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2005–2006</w:t>
            </w:r>
          </w:p>
        </w:tc>
        <w:tc>
          <w:tcPr>
            <w:tcW w:w="71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2008–2009</w:t>
            </w:r>
          </w:p>
        </w:tc>
        <w:tc>
          <w:tcPr>
            <w:tcW w:w="71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2009–2010</w:t>
            </w:r>
          </w:p>
        </w:tc>
        <w:tc>
          <w:tcPr>
            <w:tcW w:w="71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2010–2011</w:t>
            </w:r>
          </w:p>
        </w:tc>
        <w:tc>
          <w:tcPr>
            <w:tcW w:w="71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2011–2012</w:t>
            </w:r>
          </w:p>
        </w:tc>
        <w:tc>
          <w:tcPr>
            <w:tcW w:w="716"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2012–2013</w:t>
            </w:r>
          </w:p>
        </w:tc>
      </w:tr>
      <w:tr w:rsidR="00DC1DF6" w:rsidRPr="00653075" w:rsidTr="00742173">
        <w:tc>
          <w:tcPr>
            <w:tcW w:w="879"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Доллар США</w:t>
            </w:r>
          </w:p>
        </w:tc>
        <w:tc>
          <w:tcPr>
            <w:tcW w:w="757"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87,36</w:t>
            </w:r>
          </w:p>
        </w:tc>
        <w:tc>
          <w:tcPr>
            <w:tcW w:w="729"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84,06</w:t>
            </w:r>
          </w:p>
        </w:tc>
        <w:tc>
          <w:tcPr>
            <w:tcW w:w="729"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84,75</w:t>
            </w:r>
          </w:p>
        </w:tc>
        <w:tc>
          <w:tcPr>
            <w:tcW w:w="729"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86,41</w:t>
            </w:r>
          </w:p>
        </w:tc>
        <w:tc>
          <w:tcPr>
            <w:tcW w:w="726"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87,01</w:t>
            </w:r>
          </w:p>
        </w:tc>
        <w:tc>
          <w:tcPr>
            <w:tcW w:w="726"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88,41</w:t>
            </w:r>
          </w:p>
        </w:tc>
        <w:tc>
          <w:tcPr>
            <w:tcW w:w="716"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78,17</w:t>
            </w:r>
          </w:p>
        </w:tc>
        <w:tc>
          <w:tcPr>
            <w:tcW w:w="716"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86,06</w:t>
            </w:r>
          </w:p>
        </w:tc>
        <w:tc>
          <w:tcPr>
            <w:tcW w:w="716"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83,91</w:t>
            </w:r>
          </w:p>
        </w:tc>
        <w:tc>
          <w:tcPr>
            <w:tcW w:w="716"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85,38</w:t>
            </w:r>
          </w:p>
        </w:tc>
        <w:tc>
          <w:tcPr>
            <w:tcW w:w="716"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88,67</w:t>
            </w:r>
          </w:p>
        </w:tc>
        <w:tc>
          <w:tcPr>
            <w:tcW w:w="716"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86,06</w:t>
            </w:r>
          </w:p>
        </w:tc>
      </w:tr>
      <w:tr w:rsidR="00DC1DF6" w:rsidRPr="00653075" w:rsidTr="00742173">
        <w:tc>
          <w:tcPr>
            <w:tcW w:w="879"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Евро</w:t>
            </w:r>
          </w:p>
        </w:tc>
        <w:tc>
          <w:tcPr>
            <w:tcW w:w="757"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7,69</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10,85</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10,13</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8,8</w:t>
            </w:r>
          </w:p>
        </w:tc>
        <w:tc>
          <w:tcPr>
            <w:tcW w:w="72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8,14</w:t>
            </w:r>
          </w:p>
        </w:tc>
        <w:tc>
          <w:tcPr>
            <w:tcW w:w="72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6,97</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12,48</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9,82</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12,61</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11,13</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8,29</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9,44</w:t>
            </w:r>
          </w:p>
        </w:tc>
      </w:tr>
      <w:tr w:rsidR="00DC1DF6" w:rsidRPr="00653075" w:rsidTr="00742173">
        <w:tc>
          <w:tcPr>
            <w:tcW w:w="879"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Фунт</w:t>
            </w:r>
          </w:p>
        </w:tc>
        <w:tc>
          <w:tcPr>
            <w:tcW w:w="757"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2,87</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2,77</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2,81</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2,47</w:t>
            </w:r>
          </w:p>
        </w:tc>
        <w:tc>
          <w:tcPr>
            <w:tcW w:w="72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2,31</w:t>
            </w:r>
          </w:p>
        </w:tc>
        <w:tc>
          <w:tcPr>
            <w:tcW w:w="72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2,31</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1,96</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0,89</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0,66</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0,71</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0,50</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0,42</w:t>
            </w:r>
          </w:p>
        </w:tc>
      </w:tr>
      <w:tr w:rsidR="00DC1DF6" w:rsidRPr="00653075" w:rsidTr="00742173">
        <w:tc>
          <w:tcPr>
            <w:tcW w:w="879"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Иена</w:t>
            </w:r>
          </w:p>
        </w:tc>
        <w:tc>
          <w:tcPr>
            <w:tcW w:w="757"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0,51</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0,48</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0,35</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0,22</w:t>
            </w:r>
          </w:p>
        </w:tc>
        <w:tc>
          <w:tcPr>
            <w:tcW w:w="72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0,26</w:t>
            </w:r>
          </w:p>
        </w:tc>
        <w:tc>
          <w:tcPr>
            <w:tcW w:w="72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0,15</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4,20</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2,3</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1,98</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1,73</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1,41</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1,47</w:t>
            </w:r>
          </w:p>
        </w:tc>
      </w:tr>
      <w:tr w:rsidR="00DC1DF6" w:rsidRPr="00653075" w:rsidTr="00742173">
        <w:tc>
          <w:tcPr>
            <w:tcW w:w="879"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Прочие валюты</w:t>
            </w:r>
          </w:p>
        </w:tc>
        <w:tc>
          <w:tcPr>
            <w:tcW w:w="757"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1,57</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1,84</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1,96</w:t>
            </w:r>
          </w:p>
        </w:tc>
        <w:tc>
          <w:tcPr>
            <w:tcW w:w="72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2,02</w:t>
            </w:r>
          </w:p>
        </w:tc>
        <w:tc>
          <w:tcPr>
            <w:tcW w:w="72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2,28</w:t>
            </w:r>
          </w:p>
        </w:tc>
        <w:tc>
          <w:tcPr>
            <w:tcW w:w="72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2,16</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3,19</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0,93</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0,84</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1,05</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1,13</w:t>
            </w:r>
          </w:p>
        </w:tc>
        <w:tc>
          <w:tcPr>
            <w:tcW w:w="716"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2,61</w:t>
            </w:r>
          </w:p>
        </w:tc>
      </w:tr>
    </w:tbl>
    <w:p w:rsidR="00DC1DF6" w:rsidRPr="00653075" w:rsidRDefault="00DC1DF6" w:rsidP="00653075">
      <w:pPr>
        <w:spacing w:after="0" w:line="360" w:lineRule="auto"/>
        <w:ind w:firstLine="709"/>
        <w:jc w:val="both"/>
        <w:rPr>
          <w:rFonts w:ascii="Times New Roman" w:hAnsi="Times New Roman"/>
          <w:sz w:val="24"/>
          <w:szCs w:val="24"/>
          <w:lang w:val="en-US"/>
        </w:rPr>
      </w:pPr>
      <w:r w:rsidRPr="00653075">
        <w:rPr>
          <w:rFonts w:ascii="Times New Roman" w:hAnsi="Times New Roman"/>
          <w:sz w:val="24"/>
          <w:szCs w:val="24"/>
        </w:rPr>
        <w:t>Источник</w:t>
      </w:r>
      <w:r w:rsidRPr="00653075">
        <w:rPr>
          <w:rFonts w:ascii="Times New Roman" w:hAnsi="Times New Roman"/>
          <w:sz w:val="24"/>
          <w:szCs w:val="24"/>
          <w:lang w:val="en-US"/>
        </w:rPr>
        <w:t>: Reserve Bank of India.</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По сравнению с другими странами мира доля Индии в общем объеме торговли на международном валютном рынке весьма мала. Согласно данным Банка международных расчетов, средний дневной объем торгов Индии в общем обороте мирового валютного рынка составлял в 2010 г. лишь 0,9% по сравнению с показателем Великобритании (34,1%) и США (16,6%). Тем не менее</w:t>
      </w:r>
      <w:r>
        <w:rPr>
          <w:rFonts w:ascii="Times New Roman" w:hAnsi="Times New Roman"/>
          <w:sz w:val="24"/>
          <w:szCs w:val="24"/>
        </w:rPr>
        <w:t>,</w:t>
      </w:r>
      <w:r w:rsidRPr="00653075">
        <w:rPr>
          <w:rFonts w:ascii="Times New Roman" w:hAnsi="Times New Roman"/>
          <w:sz w:val="24"/>
          <w:szCs w:val="24"/>
        </w:rPr>
        <w:t xml:space="preserve"> за последние 10 лет доля Индии в совокупно</w:t>
      </w:r>
      <w:r>
        <w:rPr>
          <w:rFonts w:ascii="Times New Roman" w:hAnsi="Times New Roman"/>
          <w:sz w:val="24"/>
          <w:szCs w:val="24"/>
        </w:rPr>
        <w:t>м</w:t>
      </w:r>
      <w:r w:rsidRPr="00653075">
        <w:rPr>
          <w:rFonts w:ascii="Times New Roman" w:hAnsi="Times New Roman"/>
          <w:sz w:val="24"/>
          <w:szCs w:val="24"/>
        </w:rPr>
        <w:t xml:space="preserve"> </w:t>
      </w:r>
      <w:r>
        <w:rPr>
          <w:rFonts w:ascii="Times New Roman" w:hAnsi="Times New Roman"/>
          <w:sz w:val="24"/>
          <w:szCs w:val="24"/>
        </w:rPr>
        <w:t>объеме</w:t>
      </w:r>
      <w:r w:rsidRPr="00653075">
        <w:rPr>
          <w:rFonts w:ascii="Times New Roman" w:hAnsi="Times New Roman"/>
          <w:sz w:val="24"/>
          <w:szCs w:val="24"/>
        </w:rPr>
        <w:t xml:space="preserve"> валютных сделок на мировом рынке значительно увеличилась: так, в 1998 г. она составляла 0,1%, 0,2% – в 2001 г., 0,3% – в 2004 г. и 1% – в 2013 г. (табл. 6).</w:t>
      </w:r>
    </w:p>
    <w:p w:rsidR="00DC1DF6" w:rsidRPr="00653075" w:rsidRDefault="00DC1DF6" w:rsidP="00101D3F">
      <w:pPr>
        <w:spacing w:after="0" w:line="360" w:lineRule="auto"/>
        <w:ind w:firstLine="709"/>
        <w:jc w:val="right"/>
        <w:rPr>
          <w:rFonts w:ascii="Times New Roman" w:hAnsi="Times New Roman"/>
          <w:sz w:val="24"/>
          <w:szCs w:val="24"/>
        </w:rPr>
      </w:pPr>
      <w:r w:rsidRPr="00653075">
        <w:rPr>
          <w:rFonts w:ascii="Times New Roman" w:hAnsi="Times New Roman"/>
          <w:sz w:val="24"/>
          <w:szCs w:val="24"/>
        </w:rPr>
        <w:t>Таблица 6</w:t>
      </w:r>
    </w:p>
    <w:p w:rsidR="00DC1DF6" w:rsidRPr="00653075" w:rsidRDefault="00DC1DF6" w:rsidP="00653075">
      <w:pPr>
        <w:spacing w:after="0" w:line="360" w:lineRule="auto"/>
        <w:ind w:firstLine="709"/>
        <w:jc w:val="both"/>
        <w:rPr>
          <w:rFonts w:ascii="Times New Roman" w:hAnsi="Times New Roman"/>
          <w:b/>
          <w:sz w:val="24"/>
          <w:szCs w:val="24"/>
        </w:rPr>
      </w:pPr>
      <w:r w:rsidRPr="00653075">
        <w:rPr>
          <w:rFonts w:ascii="Times New Roman" w:hAnsi="Times New Roman"/>
          <w:b/>
          <w:sz w:val="24"/>
          <w:szCs w:val="24"/>
        </w:rPr>
        <w:t>Среднедневной оборот некоторых валют</w:t>
      </w:r>
      <w:r>
        <w:rPr>
          <w:rFonts w:ascii="Times New Roman" w:hAnsi="Times New Roman"/>
          <w:b/>
          <w:sz w:val="24"/>
          <w:szCs w:val="24"/>
        </w:rPr>
        <w:t xml:space="preserve"> </w:t>
      </w:r>
      <w:r w:rsidRPr="00653075">
        <w:rPr>
          <w:rFonts w:ascii="Times New Roman" w:hAnsi="Times New Roman"/>
          <w:b/>
          <w:sz w:val="24"/>
          <w:szCs w:val="24"/>
        </w:rPr>
        <w:t>на мировом рынке в 1998–2013 гг.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3"/>
        <w:gridCol w:w="1100"/>
        <w:gridCol w:w="1229"/>
        <w:gridCol w:w="1099"/>
        <w:gridCol w:w="1099"/>
        <w:gridCol w:w="969"/>
        <w:gridCol w:w="1067"/>
      </w:tblGrid>
      <w:tr w:rsidR="00DC1DF6" w:rsidRPr="00653075" w:rsidTr="00742173">
        <w:tc>
          <w:tcPr>
            <w:tcW w:w="2802"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Валюта</w:t>
            </w:r>
          </w:p>
        </w:tc>
        <w:tc>
          <w:tcPr>
            <w:tcW w:w="1134"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1998</w:t>
            </w:r>
          </w:p>
        </w:tc>
        <w:tc>
          <w:tcPr>
            <w:tcW w:w="1275"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2001</w:t>
            </w:r>
          </w:p>
        </w:tc>
        <w:tc>
          <w:tcPr>
            <w:tcW w:w="1134"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2004</w:t>
            </w:r>
          </w:p>
        </w:tc>
        <w:tc>
          <w:tcPr>
            <w:tcW w:w="1134"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2007</w:t>
            </w:r>
          </w:p>
        </w:tc>
        <w:tc>
          <w:tcPr>
            <w:tcW w:w="993"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2010</w:t>
            </w:r>
          </w:p>
        </w:tc>
        <w:tc>
          <w:tcPr>
            <w:tcW w:w="1099" w:type="dxa"/>
            <w:tcBorders>
              <w:top w:val="single" w:sz="12" w:space="0" w:color="auto"/>
              <w:left w:val="single" w:sz="12" w:space="0" w:color="auto"/>
              <w:bottom w:val="single" w:sz="12" w:space="0" w:color="auto"/>
              <w:right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2013</w:t>
            </w:r>
          </w:p>
        </w:tc>
      </w:tr>
      <w:tr w:rsidR="00DC1DF6" w:rsidRPr="00653075" w:rsidTr="00742173">
        <w:tc>
          <w:tcPr>
            <w:tcW w:w="2802"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Доллар США</w:t>
            </w:r>
          </w:p>
        </w:tc>
        <w:tc>
          <w:tcPr>
            <w:tcW w:w="1134"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86,8</w:t>
            </w:r>
          </w:p>
        </w:tc>
        <w:tc>
          <w:tcPr>
            <w:tcW w:w="1275"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89,9</w:t>
            </w:r>
          </w:p>
        </w:tc>
        <w:tc>
          <w:tcPr>
            <w:tcW w:w="1134"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88,0</w:t>
            </w:r>
          </w:p>
        </w:tc>
        <w:tc>
          <w:tcPr>
            <w:tcW w:w="1134"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85,6</w:t>
            </w:r>
          </w:p>
        </w:tc>
        <w:tc>
          <w:tcPr>
            <w:tcW w:w="993"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84,9</w:t>
            </w:r>
          </w:p>
        </w:tc>
        <w:tc>
          <w:tcPr>
            <w:tcW w:w="1099" w:type="dxa"/>
            <w:tcBorders>
              <w:top w:val="single" w:sz="12" w:space="0" w:color="auto"/>
            </w:tcBorders>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86,0</w:t>
            </w:r>
          </w:p>
        </w:tc>
      </w:tr>
      <w:tr w:rsidR="00DC1DF6" w:rsidRPr="00653075" w:rsidTr="00742173">
        <w:tc>
          <w:tcPr>
            <w:tcW w:w="2802"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Евро</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w:t>
            </w:r>
          </w:p>
        </w:tc>
        <w:tc>
          <w:tcPr>
            <w:tcW w:w="1275"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37,9</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37,4</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37,0</w:t>
            </w:r>
          </w:p>
        </w:tc>
        <w:tc>
          <w:tcPr>
            <w:tcW w:w="993"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39,1</w:t>
            </w:r>
          </w:p>
        </w:tc>
        <w:tc>
          <w:tcPr>
            <w:tcW w:w="109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33,0</w:t>
            </w:r>
          </w:p>
        </w:tc>
      </w:tr>
      <w:tr w:rsidR="00DC1DF6" w:rsidRPr="00653075" w:rsidTr="00742173">
        <w:tc>
          <w:tcPr>
            <w:tcW w:w="2802"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Фунт стерлингов</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11,0</w:t>
            </w:r>
          </w:p>
        </w:tc>
        <w:tc>
          <w:tcPr>
            <w:tcW w:w="1275"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13,0</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16,5</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14,9</w:t>
            </w:r>
          </w:p>
        </w:tc>
        <w:tc>
          <w:tcPr>
            <w:tcW w:w="993"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12,9</w:t>
            </w:r>
          </w:p>
        </w:tc>
        <w:tc>
          <w:tcPr>
            <w:tcW w:w="109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12,0</w:t>
            </w:r>
          </w:p>
        </w:tc>
      </w:tr>
      <w:tr w:rsidR="00DC1DF6" w:rsidRPr="00653075" w:rsidTr="00742173">
        <w:tc>
          <w:tcPr>
            <w:tcW w:w="2802"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Иена</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21,7</w:t>
            </w:r>
          </w:p>
        </w:tc>
        <w:tc>
          <w:tcPr>
            <w:tcW w:w="1275"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23,5</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20,8</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17,2</w:t>
            </w:r>
          </w:p>
        </w:tc>
        <w:tc>
          <w:tcPr>
            <w:tcW w:w="993"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19,0</w:t>
            </w:r>
          </w:p>
        </w:tc>
        <w:tc>
          <w:tcPr>
            <w:tcW w:w="109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23,0</w:t>
            </w:r>
          </w:p>
        </w:tc>
      </w:tr>
      <w:tr w:rsidR="00DC1DF6" w:rsidRPr="00653075" w:rsidTr="00742173">
        <w:tc>
          <w:tcPr>
            <w:tcW w:w="2802"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Австралийский доллар</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3,0</w:t>
            </w:r>
          </w:p>
        </w:tc>
        <w:tc>
          <w:tcPr>
            <w:tcW w:w="1275"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4,3</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6,0</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6,6</w:t>
            </w:r>
          </w:p>
        </w:tc>
        <w:tc>
          <w:tcPr>
            <w:tcW w:w="993"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7,6</w:t>
            </w:r>
          </w:p>
        </w:tc>
        <w:tc>
          <w:tcPr>
            <w:tcW w:w="109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9,0</w:t>
            </w:r>
          </w:p>
        </w:tc>
      </w:tr>
      <w:tr w:rsidR="00DC1DF6" w:rsidRPr="00653075" w:rsidTr="00742173">
        <w:tc>
          <w:tcPr>
            <w:tcW w:w="2802"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Швейцарский франк</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7,1</w:t>
            </w:r>
          </w:p>
        </w:tc>
        <w:tc>
          <w:tcPr>
            <w:tcW w:w="1275"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6,0</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6,0</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6,8</w:t>
            </w:r>
          </w:p>
        </w:tc>
        <w:tc>
          <w:tcPr>
            <w:tcW w:w="993"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6,4</w:t>
            </w:r>
          </w:p>
        </w:tc>
        <w:tc>
          <w:tcPr>
            <w:tcW w:w="109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5,0</w:t>
            </w:r>
          </w:p>
        </w:tc>
      </w:tr>
      <w:tr w:rsidR="00DC1DF6" w:rsidRPr="00653075" w:rsidTr="00742173">
        <w:tc>
          <w:tcPr>
            <w:tcW w:w="2802" w:type="dxa"/>
            <w:vAlign w:val="center"/>
          </w:tcPr>
          <w:p w:rsidR="00DC1DF6" w:rsidRPr="00653075" w:rsidRDefault="00DC1DF6" w:rsidP="00101D3F">
            <w:pPr>
              <w:spacing w:after="0" w:line="240" w:lineRule="auto"/>
              <w:jc w:val="both"/>
              <w:rPr>
                <w:rFonts w:ascii="Times New Roman" w:hAnsi="Times New Roman"/>
                <w:sz w:val="24"/>
                <w:szCs w:val="24"/>
              </w:rPr>
            </w:pPr>
            <w:r w:rsidRPr="00653075">
              <w:rPr>
                <w:rFonts w:ascii="Times New Roman" w:hAnsi="Times New Roman"/>
                <w:sz w:val="24"/>
                <w:szCs w:val="24"/>
              </w:rPr>
              <w:t>Индийская рупия</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0,1</w:t>
            </w:r>
          </w:p>
        </w:tc>
        <w:tc>
          <w:tcPr>
            <w:tcW w:w="1275"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0,2</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0,3</w:t>
            </w:r>
          </w:p>
        </w:tc>
        <w:tc>
          <w:tcPr>
            <w:tcW w:w="1134"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0,7</w:t>
            </w:r>
          </w:p>
        </w:tc>
        <w:tc>
          <w:tcPr>
            <w:tcW w:w="993"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0,9</w:t>
            </w:r>
          </w:p>
        </w:tc>
        <w:tc>
          <w:tcPr>
            <w:tcW w:w="1099" w:type="dxa"/>
            <w:vAlign w:val="center"/>
          </w:tcPr>
          <w:p w:rsidR="00DC1DF6" w:rsidRPr="00653075" w:rsidRDefault="00DC1DF6" w:rsidP="00101D3F">
            <w:pPr>
              <w:spacing w:after="0" w:line="240" w:lineRule="auto"/>
              <w:jc w:val="both"/>
              <w:rPr>
                <w:rFonts w:ascii="Times New Roman" w:hAnsi="Times New Roman"/>
                <w:sz w:val="24"/>
                <w:szCs w:val="24"/>
                <w:lang w:val="en-US"/>
              </w:rPr>
            </w:pPr>
            <w:r w:rsidRPr="00653075">
              <w:rPr>
                <w:rFonts w:ascii="Times New Roman" w:hAnsi="Times New Roman"/>
                <w:sz w:val="24"/>
                <w:szCs w:val="24"/>
                <w:lang w:val="en-US"/>
              </w:rPr>
              <w:t>1,0</w:t>
            </w:r>
          </w:p>
        </w:tc>
      </w:tr>
    </w:tbl>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i/>
          <w:sz w:val="24"/>
          <w:szCs w:val="24"/>
        </w:rPr>
        <w:t>Источник</w:t>
      </w:r>
      <w:r w:rsidRPr="00653075">
        <w:rPr>
          <w:rFonts w:ascii="Times New Roman" w:hAnsi="Times New Roman"/>
          <w:sz w:val="24"/>
          <w:szCs w:val="24"/>
        </w:rPr>
        <w:t xml:space="preserve">: </w:t>
      </w:r>
      <w:r w:rsidRPr="00653075">
        <w:rPr>
          <w:rFonts w:ascii="Times New Roman" w:hAnsi="Times New Roman"/>
          <w:sz w:val="24"/>
          <w:szCs w:val="24"/>
          <w:lang w:val="en-US"/>
        </w:rPr>
        <w:t>BIS</w:t>
      </w:r>
      <w:r w:rsidRPr="00653075">
        <w:rPr>
          <w:rFonts w:ascii="Times New Roman" w:hAnsi="Times New Roman"/>
          <w:sz w:val="24"/>
          <w:szCs w:val="24"/>
        </w:rPr>
        <w:t>.</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Существуют также экспертные оценки, в соответствии с которыми индийская рупия принимается в качестве валюты сделки в Сингапуре, Малайзии, Гонконге, Индонезии, Шри-Ланка и Великобритании. Центральный банк Непала имеет в своих официальных резервах облигации индийского казначейства.</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В целом, можно выделить несколько центров офшоризации индийской рупии. Данные центры возникают в связи с ростом спроса на эмиссию вне территории эмитента таких ценных бумаг в рупиях, как облигации при условии вложения капитала иностранными инвесторами на индийский национальный рынок долговых ценных бумаг, выраженных в рупиях. Первые офшорные облигации, выраженные в рупиях, с периодом погашения на 3 года на сумму 1 млрд. рупий были выпущены Межамериканским банком развития в феврале 2007 г. В мае 2007 г. этот же банк осуществил дополнительную эмиссию офшорных облигаций, выраженных в рупиях, сроком погашения на 10 лет и общей суммой в 1,5 млрд. рупий. В июне 2007 г. Всемирный банк эмитировал данные облигации в объеме 1,25 млрд. рупий с 3-хлетним сроком погашения. В июле 2007 г. аналогичную эмиссию осуществил Европейский банк реконструкции и развития с номиналом в 1 млрд. рупий и сроком погашения 5 лет. Наконец, Международная финансовая корпорация выпустила первые облигации в рупиях в объеме 100 млн. долл., и эта сумма является частью новой кредитной линии этого подразделения Всемирного банка общим номиналом в 1 млрд. долл.</w:t>
      </w:r>
    </w:p>
    <w:p w:rsidR="00DC1DF6" w:rsidRPr="00101D3F" w:rsidRDefault="00DC1DF6" w:rsidP="00653075">
      <w:pPr>
        <w:spacing w:after="0" w:line="360" w:lineRule="auto"/>
        <w:ind w:firstLine="709"/>
        <w:jc w:val="both"/>
        <w:rPr>
          <w:rFonts w:ascii="Times New Roman" w:hAnsi="Times New Roman"/>
          <w:b/>
          <w:sz w:val="24"/>
          <w:szCs w:val="24"/>
        </w:rPr>
      </w:pPr>
      <w:r w:rsidRPr="00101D3F">
        <w:rPr>
          <w:rFonts w:ascii="Times New Roman" w:hAnsi="Times New Roman"/>
          <w:b/>
          <w:sz w:val="24"/>
          <w:szCs w:val="24"/>
        </w:rPr>
        <w:t>Этапы интернационализации китайского юаня</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В 1996 г. Китай принял статью </w:t>
      </w:r>
      <w:r w:rsidRPr="00653075">
        <w:rPr>
          <w:rFonts w:ascii="Times New Roman" w:hAnsi="Times New Roman"/>
          <w:sz w:val="24"/>
          <w:szCs w:val="24"/>
          <w:lang w:val="en-US"/>
        </w:rPr>
        <w:t>VIII</w:t>
      </w:r>
      <w:r w:rsidRPr="00653075">
        <w:rPr>
          <w:rFonts w:ascii="Times New Roman" w:hAnsi="Times New Roman"/>
          <w:sz w:val="24"/>
          <w:szCs w:val="24"/>
        </w:rPr>
        <w:t xml:space="preserve"> Устава Международного валютного фонда, и в принципе с этого времени началась либерализация текущих сделок с юанем. Однако юань </w:t>
      </w:r>
      <w:r>
        <w:rPr>
          <w:rFonts w:ascii="Times New Roman" w:hAnsi="Times New Roman"/>
          <w:sz w:val="24"/>
          <w:szCs w:val="24"/>
        </w:rPr>
        <w:t>тем не менее</w:t>
      </w:r>
      <w:r w:rsidRPr="00653075">
        <w:rPr>
          <w:rFonts w:ascii="Times New Roman" w:hAnsi="Times New Roman"/>
          <w:sz w:val="24"/>
          <w:szCs w:val="24"/>
        </w:rPr>
        <w:t xml:space="preserve"> практически не использовался в трансграничных сделках и внешнеэкономических расчетах. В июле 2009 г. в Китае была внедрена пилотная программа по осуществлению внешнеторговых сделок в юанях Народным банком Китая и соответствующими, уполномоченными кредитно-денежными институтами. Данная программа позволила участвующим в пилотной схеме компаниям в Шанхае и четырех городах провинции Гвандонг урегулировать внешнеторговые сделки с Гонконгом и странами АСЕАН в юанях. В июне 2010 г. действие этого механизма было распространено на компании 20 провинций, автономных зон и муниципалитетов с прямым управлением для осуществления внешнеторговых сделок с остальным миром. При этом экспорт был ограничен компаниями пилотной схемы. В дальнейшем данный механизм постепенно расширял свое действие, и в настоящее время компании во всех регионах и провинциях Китая имеют право осуществлять трансграничные сделки в юанях.</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Трансграничные денежные переводы в юанях были разрешены впервые в июле 2009 г. До этого момента любые трансакции в юанях были ограничены сферой торговли. Однако с июня 2010 г. эти сделки стали охватывать все текущие внешнеторговые операции, включая сектор услуг.</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Присутствие юаня на внешних рынках наращивается по мере интернационализации этой валюты. Многие мировые валютные рынки конкурируют за право приобретения статуса офшорных рынков юаня для реализации сделок с китайской валютой за рубежом.</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Гонконг обладает преимуществом по сравнению с другими офшорными центрами юаня. Основная доля офшорных сделок с юанем проходит именно через Гонконг. Гонконг был и первоначальным экспериментальным центром для развития офшорного рынка юаня. Внешнеторговые сделки в юанях были разрешены в Гонконге в 2003 г. В это же время были созданы депозиты в юанях, и начали появляться финансовые институты, которые выпускали кредитные карты в юанях. В августе 2010 г. на межбанковском валютном рынке Гонконга был дан старт сделкам с иностранной валютой и другими финансовыми инструментами с участием юаня. На валютном рынке Гонконга накопленная величина сделок с юанем в настоящее время составляет около 15 млрд. юаней по валютной паре доллар/юань, что в 10 раз больше сделок по валютной паре иена/юань на токийском валютном рынке. Также начиная с середины 2010 г., совокупный объем депозитов в Гонконге увеличился и составил к июлю 2012 г. более 563,2 млрд. юаней. В дополнение к торгам наличным юанем гонконгские компании и компании-нерезиденты получили доступ к более широкому спектру финансовых инструментов, выраженных в юанях, включая юаневые облигации </w:t>
      </w:r>
      <w:r w:rsidRPr="00653075">
        <w:rPr>
          <w:rFonts w:ascii="Times New Roman" w:hAnsi="Times New Roman"/>
          <w:sz w:val="24"/>
          <w:szCs w:val="24"/>
          <w:lang w:val="en-US"/>
        </w:rPr>
        <w:t>Dim</w:t>
      </w:r>
      <w:r w:rsidRPr="00653075">
        <w:rPr>
          <w:rFonts w:ascii="Times New Roman" w:hAnsi="Times New Roman"/>
          <w:sz w:val="24"/>
          <w:szCs w:val="24"/>
        </w:rPr>
        <w:t xml:space="preserve"> </w:t>
      </w:r>
      <w:r w:rsidRPr="00653075">
        <w:rPr>
          <w:rFonts w:ascii="Times New Roman" w:hAnsi="Times New Roman"/>
          <w:sz w:val="24"/>
          <w:szCs w:val="24"/>
          <w:lang w:val="en-US"/>
        </w:rPr>
        <w:t>Sum</w:t>
      </w:r>
      <w:r w:rsidRPr="00653075">
        <w:rPr>
          <w:rFonts w:ascii="Times New Roman" w:hAnsi="Times New Roman"/>
          <w:sz w:val="24"/>
          <w:szCs w:val="24"/>
        </w:rPr>
        <w:t xml:space="preserve">. В 2011 г. общая эмиссия облигаций </w:t>
      </w:r>
      <w:r w:rsidRPr="00653075">
        <w:rPr>
          <w:rFonts w:ascii="Times New Roman" w:hAnsi="Times New Roman"/>
          <w:sz w:val="24"/>
          <w:szCs w:val="24"/>
          <w:lang w:val="en-US"/>
        </w:rPr>
        <w:t>Dim</w:t>
      </w:r>
      <w:r w:rsidRPr="00653075">
        <w:rPr>
          <w:rFonts w:ascii="Times New Roman" w:hAnsi="Times New Roman"/>
          <w:sz w:val="24"/>
          <w:szCs w:val="24"/>
        </w:rPr>
        <w:t xml:space="preserve"> </w:t>
      </w:r>
      <w:r w:rsidRPr="00653075">
        <w:rPr>
          <w:rFonts w:ascii="Times New Roman" w:hAnsi="Times New Roman"/>
          <w:sz w:val="24"/>
          <w:szCs w:val="24"/>
          <w:lang w:val="en-US"/>
        </w:rPr>
        <w:t>Sum</w:t>
      </w:r>
      <w:r w:rsidRPr="00653075">
        <w:rPr>
          <w:rFonts w:ascii="Times New Roman" w:hAnsi="Times New Roman"/>
          <w:sz w:val="24"/>
          <w:szCs w:val="24"/>
        </w:rPr>
        <w:t xml:space="preserve"> достигла 107,9 млрд. юаней.</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После Гонконга крупнейшими валютными рынками офшорного юаня стали Лондон и Сингапур. В сентябре 2011 г. правительства Китая и Великобритании подписали соглашение о сотрудничестве в сфере создания и развития рынка офшорного юаня в Лондоне. В апреле 2012 г. банк </w:t>
      </w:r>
      <w:r w:rsidRPr="00653075">
        <w:rPr>
          <w:rFonts w:ascii="Times New Roman" w:hAnsi="Times New Roman"/>
          <w:sz w:val="24"/>
          <w:szCs w:val="24"/>
          <w:lang w:val="en-US"/>
        </w:rPr>
        <w:t>HSBC</w:t>
      </w:r>
      <w:r w:rsidRPr="00653075">
        <w:rPr>
          <w:rFonts w:ascii="Times New Roman" w:hAnsi="Times New Roman"/>
          <w:sz w:val="24"/>
          <w:szCs w:val="24"/>
        </w:rPr>
        <w:t xml:space="preserve"> стал первым крупным финансовым институтом, который осуществил эмиссию облигаций в юанях на Лондонской бирже. В конце 2011 г. было подписано соглашение между правительствами Японии и Китая об укреплении финансового сотрудничества, целью которого является преимущественно создание офшорного рынка юаня в Токио.</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Органы кредитно-денежного регулирования Китая указывают на то, что процесс либерализации внешнеэкономических операций с капиталом при участии юаня будет осуществляться поэтапно, в течение достаточно длительного времени. В феврале 2012 г. департамент статистики Народного банка Китая опубликовал отчет, в котором были выделены основные условия ускорения либерализации операций с капиталом при участии юаня во внешнеэкономических расчетах, а именно:</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1) либерализация перемещения прямых иностранных инвестиций была достигнута в краткосрочном периоде в 2013 г.;</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2) в среднесрочном периоде (от 3-х до 5-ти лет) будут произведены изменения либерализационного характера в сфере регулирования коммерческих кредитов, которые являются основой функционирования торговли и промышленности;</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3) в долгосрочном периоде (от 5-ти до 10-ти лет) необходимо дальнейшее развитие и укрепление национальных финансовых рынков Китая.</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С особой осторожностью будет протекать либерализация сделок, связанных с куплей-продажей недвижимости, акций и долговых денных бумаг. При этом процесс либерализации не затронет сферу краткосрочного внешнего долга, поскольку он по характеру является очень спекулятивным.</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В августе 2010 г. Народный банк Китая предоставил возможность иностранным центральным банкам и уполномоченным банкам за рубежом участвовать во внешнеэкономических расчетах с использованием юаня для инвестиций в ценные бумаги, которые в сделках национальных банков Китая выступают наравне с государственными облигациями.</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В январе 2011 г. Народный банк Китая принял постановление об управлении внешнеэкономически</w:t>
      </w:r>
      <w:r>
        <w:rPr>
          <w:rFonts w:ascii="Times New Roman" w:hAnsi="Times New Roman"/>
          <w:sz w:val="24"/>
          <w:szCs w:val="24"/>
        </w:rPr>
        <w:t>ми</w:t>
      </w:r>
      <w:r w:rsidRPr="00653075">
        <w:rPr>
          <w:rFonts w:ascii="Times New Roman" w:hAnsi="Times New Roman"/>
          <w:sz w:val="24"/>
          <w:szCs w:val="24"/>
        </w:rPr>
        <w:t xml:space="preserve"> расчет</w:t>
      </w:r>
      <w:r>
        <w:rPr>
          <w:rFonts w:ascii="Times New Roman" w:hAnsi="Times New Roman"/>
          <w:sz w:val="24"/>
          <w:szCs w:val="24"/>
        </w:rPr>
        <w:t>ами</w:t>
      </w:r>
      <w:r w:rsidRPr="00653075">
        <w:rPr>
          <w:rFonts w:ascii="Times New Roman" w:hAnsi="Times New Roman"/>
          <w:sz w:val="24"/>
          <w:szCs w:val="24"/>
        </w:rPr>
        <w:t xml:space="preserve"> в юанях в операциях, связанных с прямыми иностранными инвестициями, осуществляемыми китайскими компаниями за рубеж</w:t>
      </w:r>
      <w:r>
        <w:rPr>
          <w:rFonts w:ascii="Times New Roman" w:hAnsi="Times New Roman"/>
          <w:sz w:val="24"/>
          <w:szCs w:val="24"/>
        </w:rPr>
        <w:t>ом</w:t>
      </w:r>
      <w:r w:rsidRPr="00653075">
        <w:rPr>
          <w:rFonts w:ascii="Times New Roman" w:hAnsi="Times New Roman"/>
          <w:sz w:val="24"/>
          <w:szCs w:val="24"/>
        </w:rPr>
        <w:t>. В то же время объем юаневых кредитов компаниям, участвующим в этих операциях с иностранным инвестированием, ограничивается допустимым уровнем вывоза капитала из Китая за год.</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Китай проводит достаточно активную внешнеэкономическую политику, которая, в частности, предполагает и постепенную интернационализацию юаня. Такая политика в экономической литературе характеризуется в качестве минилатерализма</w:t>
      </w:r>
      <w:r w:rsidRPr="00653075">
        <w:rPr>
          <w:rStyle w:val="FootnoteReference"/>
          <w:rFonts w:ascii="Times New Roman" w:hAnsi="Times New Roman"/>
          <w:sz w:val="24"/>
          <w:szCs w:val="24"/>
        </w:rPr>
        <w:footnoteReference w:id="6"/>
      </w:r>
      <w:r w:rsidRPr="00653075">
        <w:rPr>
          <w:rFonts w:ascii="Times New Roman" w:hAnsi="Times New Roman"/>
          <w:sz w:val="24"/>
          <w:szCs w:val="24"/>
        </w:rPr>
        <w:t>, то есть вовлечение подгрупп стран, либо являющихся членами конкретного многостороннего института, либо выходящих за его пределы, когда последний не может решит</w:t>
      </w:r>
      <w:r>
        <w:rPr>
          <w:rFonts w:ascii="Times New Roman" w:hAnsi="Times New Roman"/>
          <w:sz w:val="24"/>
          <w:szCs w:val="24"/>
        </w:rPr>
        <w:t>ь</w:t>
      </w:r>
      <w:r w:rsidRPr="00653075">
        <w:rPr>
          <w:rFonts w:ascii="Times New Roman" w:hAnsi="Times New Roman"/>
          <w:sz w:val="24"/>
          <w:szCs w:val="24"/>
        </w:rPr>
        <w:t xml:space="preserve"> определенные проблемы и достичь соглашения по важнейшим вопросам среди всех своих стран-членов. Минилатерализм Китая в финансовой сфере насчитывает около 15 лет, на протяжении которых эта страна стала участником регионального финансового сотрудничества, создав такие институты, как Банк развития БРИКС, Резервное соглашение на случай форс-мажорных финансовых затруднений (РФМ) и Азиатский инфраструктурно-инвестиционный банк (АИИБ)</w:t>
      </w:r>
      <w:r w:rsidRPr="00653075">
        <w:rPr>
          <w:rStyle w:val="FootnoteReference"/>
          <w:rFonts w:ascii="Times New Roman" w:hAnsi="Times New Roman"/>
          <w:sz w:val="24"/>
          <w:szCs w:val="24"/>
        </w:rPr>
        <w:footnoteReference w:id="7"/>
      </w:r>
      <w:r w:rsidRPr="00653075">
        <w:rPr>
          <w:rFonts w:ascii="Times New Roman" w:hAnsi="Times New Roman"/>
          <w:sz w:val="24"/>
          <w:szCs w:val="24"/>
        </w:rPr>
        <w:t>. Центральным звеном данных региональных финансовых институтов является Китай.</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Тем не менее, фонды и международные финансовые институты, созданные по инициативе или с участием Китая, по своим объемам не сопоставимы с МВФ и МБРР (табл. 7). </w:t>
      </w:r>
      <w:r>
        <w:rPr>
          <w:rFonts w:ascii="Times New Roman" w:hAnsi="Times New Roman"/>
          <w:sz w:val="24"/>
          <w:szCs w:val="24"/>
        </w:rPr>
        <w:t>Кроме того,</w:t>
      </w:r>
      <w:r w:rsidRPr="00653075">
        <w:rPr>
          <w:rFonts w:ascii="Times New Roman" w:hAnsi="Times New Roman"/>
          <w:sz w:val="24"/>
          <w:szCs w:val="24"/>
        </w:rPr>
        <w:t xml:space="preserve"> ведущие международные финансовые организации имеют более высокие кредитные рейтинги и поэтому могут быстрее и с меньшими затратами аккумулировать финансовые средства на международном рынке капитала, в отличие от Банка развития стран БРИКС или АИИБ и других минилатеральных институтов, созданных при участии Китая.</w:t>
      </w:r>
    </w:p>
    <w:p w:rsidR="00DC1DF6" w:rsidRPr="00653075" w:rsidRDefault="00DC1DF6" w:rsidP="002C3F08">
      <w:pPr>
        <w:spacing w:after="0" w:line="360" w:lineRule="auto"/>
        <w:ind w:firstLine="709"/>
        <w:jc w:val="right"/>
        <w:rPr>
          <w:rFonts w:ascii="Times New Roman" w:hAnsi="Times New Roman"/>
          <w:sz w:val="24"/>
          <w:szCs w:val="24"/>
        </w:rPr>
      </w:pPr>
      <w:r w:rsidRPr="00653075">
        <w:rPr>
          <w:rFonts w:ascii="Times New Roman" w:hAnsi="Times New Roman"/>
          <w:sz w:val="24"/>
          <w:szCs w:val="24"/>
        </w:rPr>
        <w:t>Таблица 7</w:t>
      </w:r>
    </w:p>
    <w:p w:rsidR="00DC1DF6" w:rsidRPr="00653075" w:rsidRDefault="00DC1DF6" w:rsidP="00653075">
      <w:pPr>
        <w:spacing w:after="0" w:line="360" w:lineRule="auto"/>
        <w:ind w:firstLine="709"/>
        <w:jc w:val="both"/>
        <w:rPr>
          <w:rFonts w:ascii="Times New Roman" w:hAnsi="Times New Roman"/>
          <w:b/>
          <w:sz w:val="24"/>
          <w:szCs w:val="24"/>
        </w:rPr>
      </w:pPr>
      <w:r w:rsidRPr="00653075">
        <w:rPr>
          <w:rFonts w:ascii="Times New Roman" w:hAnsi="Times New Roman"/>
          <w:b/>
          <w:sz w:val="24"/>
          <w:szCs w:val="24"/>
        </w:rPr>
        <w:t>Сравнительные данные международных финансовых институтов,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6"/>
        <w:gridCol w:w="1915"/>
        <w:gridCol w:w="746"/>
        <w:gridCol w:w="770"/>
        <w:gridCol w:w="862"/>
        <w:gridCol w:w="1107"/>
        <w:gridCol w:w="1386"/>
        <w:gridCol w:w="1284"/>
      </w:tblGrid>
      <w:tr w:rsidR="00DC1DF6" w:rsidRPr="00653075" w:rsidTr="00742173">
        <w:tc>
          <w:tcPr>
            <w:tcW w:w="1196"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Институт</w:t>
            </w:r>
          </w:p>
        </w:tc>
        <w:tc>
          <w:tcPr>
            <w:tcW w:w="1196" w:type="dxa"/>
          </w:tcPr>
          <w:p w:rsidR="00DC1DF6" w:rsidRPr="00653075" w:rsidRDefault="00DC1DF6" w:rsidP="002C3F08">
            <w:pPr>
              <w:spacing w:after="0" w:line="240" w:lineRule="auto"/>
              <w:jc w:val="both"/>
              <w:rPr>
                <w:rFonts w:ascii="Times New Roman" w:hAnsi="Times New Roman"/>
                <w:sz w:val="24"/>
                <w:szCs w:val="24"/>
                <w:lang w:val="en-US"/>
              </w:rPr>
            </w:pPr>
            <w:r w:rsidRPr="00653075">
              <w:rPr>
                <w:rFonts w:ascii="Times New Roman" w:hAnsi="Times New Roman"/>
                <w:sz w:val="24"/>
                <w:szCs w:val="24"/>
              </w:rPr>
              <w:t xml:space="preserve">Многосторонняя инициатива </w:t>
            </w:r>
            <w:r w:rsidRPr="00653075">
              <w:rPr>
                <w:rFonts w:ascii="Times New Roman" w:hAnsi="Times New Roman"/>
                <w:sz w:val="24"/>
                <w:szCs w:val="24"/>
                <w:lang w:val="en-US"/>
              </w:rPr>
              <w:t>Chiang Mai</w:t>
            </w:r>
          </w:p>
        </w:tc>
        <w:tc>
          <w:tcPr>
            <w:tcW w:w="1196"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РФС</w:t>
            </w:r>
          </w:p>
        </w:tc>
        <w:tc>
          <w:tcPr>
            <w:tcW w:w="1196"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МВФ</w:t>
            </w:r>
          </w:p>
        </w:tc>
        <w:tc>
          <w:tcPr>
            <w:tcW w:w="1196"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АИИБ</w:t>
            </w:r>
          </w:p>
        </w:tc>
        <w:tc>
          <w:tcPr>
            <w:tcW w:w="1197"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Банк развития стран БРИКС</w:t>
            </w:r>
          </w:p>
        </w:tc>
        <w:tc>
          <w:tcPr>
            <w:tcW w:w="1197"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Всемирный банк</w:t>
            </w:r>
          </w:p>
        </w:tc>
        <w:tc>
          <w:tcPr>
            <w:tcW w:w="1197"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Азиатский банк развития</w:t>
            </w:r>
          </w:p>
        </w:tc>
      </w:tr>
      <w:tr w:rsidR="00DC1DF6" w:rsidRPr="00653075" w:rsidTr="00742173">
        <w:tc>
          <w:tcPr>
            <w:tcW w:w="1196"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Объем уставного капитала, млрд. долл.</w:t>
            </w:r>
          </w:p>
        </w:tc>
        <w:tc>
          <w:tcPr>
            <w:tcW w:w="1196"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240,0</w:t>
            </w:r>
          </w:p>
        </w:tc>
        <w:tc>
          <w:tcPr>
            <w:tcW w:w="1196"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100,0</w:t>
            </w:r>
          </w:p>
        </w:tc>
        <w:tc>
          <w:tcPr>
            <w:tcW w:w="1196"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922,0</w:t>
            </w:r>
          </w:p>
        </w:tc>
        <w:tc>
          <w:tcPr>
            <w:tcW w:w="1196"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100,0</w:t>
            </w:r>
          </w:p>
        </w:tc>
        <w:tc>
          <w:tcPr>
            <w:tcW w:w="1197"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100,0</w:t>
            </w:r>
          </w:p>
        </w:tc>
        <w:tc>
          <w:tcPr>
            <w:tcW w:w="1197"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223,2</w:t>
            </w:r>
          </w:p>
        </w:tc>
        <w:tc>
          <w:tcPr>
            <w:tcW w:w="1197" w:type="dxa"/>
          </w:tcPr>
          <w:p w:rsidR="00DC1DF6" w:rsidRPr="00653075" w:rsidRDefault="00DC1DF6" w:rsidP="002C3F08">
            <w:pPr>
              <w:spacing w:after="0" w:line="240" w:lineRule="auto"/>
              <w:jc w:val="both"/>
              <w:rPr>
                <w:rFonts w:ascii="Times New Roman" w:hAnsi="Times New Roman"/>
                <w:sz w:val="24"/>
                <w:szCs w:val="24"/>
              </w:rPr>
            </w:pPr>
            <w:r w:rsidRPr="00653075">
              <w:rPr>
                <w:rFonts w:ascii="Times New Roman" w:hAnsi="Times New Roman"/>
                <w:sz w:val="24"/>
                <w:szCs w:val="24"/>
              </w:rPr>
              <w:t>162,8</w:t>
            </w:r>
          </w:p>
        </w:tc>
      </w:tr>
    </w:tbl>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i/>
          <w:sz w:val="24"/>
          <w:szCs w:val="24"/>
        </w:rPr>
        <w:t>Источник:</w:t>
      </w:r>
      <w:r w:rsidRPr="00653075">
        <w:rPr>
          <w:rFonts w:ascii="Times New Roman" w:hAnsi="Times New Roman"/>
          <w:sz w:val="24"/>
          <w:szCs w:val="24"/>
        </w:rPr>
        <w:t xml:space="preserve"> официальные отчеты каждой из приведенных организаций.</w:t>
      </w:r>
    </w:p>
    <w:p w:rsidR="00DC1DF6" w:rsidRDefault="00DC1DF6" w:rsidP="00653075">
      <w:pPr>
        <w:spacing w:after="0" w:line="360" w:lineRule="auto"/>
        <w:ind w:firstLine="709"/>
        <w:jc w:val="both"/>
        <w:rPr>
          <w:rFonts w:ascii="Times New Roman" w:hAnsi="Times New Roman"/>
          <w:b/>
          <w:sz w:val="24"/>
          <w:szCs w:val="24"/>
          <w:lang w:val="en-US"/>
        </w:rPr>
      </w:pPr>
    </w:p>
    <w:p w:rsidR="00DC1DF6" w:rsidRPr="002C3F08" w:rsidRDefault="00DC1DF6" w:rsidP="00653075">
      <w:pPr>
        <w:spacing w:after="0" w:line="360" w:lineRule="auto"/>
        <w:ind w:firstLine="709"/>
        <w:jc w:val="both"/>
        <w:rPr>
          <w:rFonts w:ascii="Times New Roman" w:hAnsi="Times New Roman"/>
          <w:b/>
          <w:sz w:val="24"/>
          <w:szCs w:val="24"/>
        </w:rPr>
      </w:pPr>
      <w:r w:rsidRPr="002C3F08">
        <w:rPr>
          <w:rFonts w:ascii="Times New Roman" w:hAnsi="Times New Roman"/>
          <w:b/>
          <w:sz w:val="24"/>
          <w:szCs w:val="24"/>
        </w:rPr>
        <w:t>Южноафриканский ранд как региональная валюта</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Что касается реформ валютного курса в ЮАР и участия национальной валюты в процессах интернационализации, начиная с отмены фиксированных валютных курсов в первой половине 1970-х гг., правительство данной страны прибегало к нескольким альтернативам, включая фиксацию обменного курса ранда по отношению различным валютам, а также к корзине валют. В январе 1979 г. в ЮАР стала функционировать система управляемого плавания валютного курса. Для повышения устойчивости этой системы был введен сложный механизм валютного контроля, в результате применения которого в стране фактически существовал параллельный обменный курс ранда в сделках между нерезидентами с активами, выраженными в национальной валюте. Таким образом, существовал обменный курс ранда для торговли ценными бумагами или осуществления финансовых сделок (финансовый ранд) и обменный курс ранда для опосредования импортно-экспортных операций (коммерческий ранд). В результате помимо высоких импортных пошлин в ЮАР действовала жесткая система контроля, распространявшаяся на импорт товаров.</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К настоящему времени в результате интеграции в мировую экономику ЮАР стала членом целого ряда региональных соглашений, </w:t>
      </w:r>
      <w:r>
        <w:rPr>
          <w:rFonts w:ascii="Times New Roman" w:hAnsi="Times New Roman"/>
          <w:sz w:val="24"/>
          <w:szCs w:val="24"/>
        </w:rPr>
        <w:t>к которым относятся</w:t>
      </w:r>
      <w:r w:rsidRPr="00653075">
        <w:rPr>
          <w:rFonts w:ascii="Times New Roman" w:hAnsi="Times New Roman"/>
          <w:sz w:val="24"/>
          <w:szCs w:val="24"/>
        </w:rPr>
        <w:t xml:space="preserve"> Южноафриканский таможенный союз (ЮАТС), куда вместе с ЮАР входят Ботсвана, Лесото, Намибия и Свазиленд; Многосторонняя валютная зона, или Зона единой валюты (ЗЕВ) тех же стран, кроме Ботсваны; Южноафриканское сообщество развития (ЮАСР), которое состоит из 14 стран Африки.</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При рассмотрении вопросов, касающихся проблем современной МВС, необходимо обратить особое внимание на ЗЕВ, поскольку она представляет собой валютный союз, и ЮАСР как потенциальный валютный союз.</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В ЗЕВ ЮАР является доминирующей национальной экономикой, на котор</w:t>
      </w:r>
      <w:r>
        <w:rPr>
          <w:rFonts w:ascii="Times New Roman" w:hAnsi="Times New Roman"/>
          <w:sz w:val="24"/>
          <w:szCs w:val="24"/>
        </w:rPr>
        <w:t>ую</w:t>
      </w:r>
      <w:r w:rsidRPr="00653075">
        <w:rPr>
          <w:rFonts w:ascii="Times New Roman" w:hAnsi="Times New Roman"/>
          <w:sz w:val="24"/>
          <w:szCs w:val="24"/>
        </w:rPr>
        <w:t xml:space="preserve"> приходится почти 95% ВВП этого валютного союза. В ЗЕВ южноафриканский ранд является законным платежным средством для всех ст</w:t>
      </w:r>
      <w:r>
        <w:rPr>
          <w:rFonts w:ascii="Times New Roman" w:hAnsi="Times New Roman"/>
          <w:sz w:val="24"/>
          <w:szCs w:val="24"/>
        </w:rPr>
        <w:t>р</w:t>
      </w:r>
      <w:r w:rsidRPr="00653075">
        <w:rPr>
          <w:rFonts w:ascii="Times New Roman" w:hAnsi="Times New Roman"/>
          <w:sz w:val="24"/>
          <w:szCs w:val="24"/>
        </w:rPr>
        <w:t xml:space="preserve">ан-членов. В Лесото, Намибии и Свазиленде имеют хождение и собственные национальные валюты, которые обмениваются на ранд по курсу 1 к 1. Такое соглашение вынуждает </w:t>
      </w:r>
      <w:r>
        <w:rPr>
          <w:rFonts w:ascii="Times New Roman" w:hAnsi="Times New Roman"/>
          <w:sz w:val="24"/>
          <w:szCs w:val="24"/>
        </w:rPr>
        <w:t>малые</w:t>
      </w:r>
      <w:r w:rsidRPr="00653075">
        <w:rPr>
          <w:rFonts w:ascii="Times New Roman" w:hAnsi="Times New Roman"/>
          <w:sz w:val="24"/>
          <w:szCs w:val="24"/>
        </w:rPr>
        <w:t xml:space="preserve"> страны устанавливать краткосрочные процентные ставки в жесткой привязке к ставке центрального банка ЮАР, что снижает их самостоятельность в проведении кредитно-денежной политики. В то же время ЗЕВ закрепляет положение, на основе которого </w:t>
      </w:r>
      <w:r>
        <w:rPr>
          <w:rFonts w:ascii="Times New Roman" w:hAnsi="Times New Roman"/>
          <w:sz w:val="24"/>
          <w:szCs w:val="24"/>
        </w:rPr>
        <w:t>малые</w:t>
      </w:r>
      <w:r w:rsidRPr="00653075">
        <w:rPr>
          <w:rFonts w:ascii="Times New Roman" w:hAnsi="Times New Roman"/>
          <w:sz w:val="24"/>
          <w:szCs w:val="24"/>
        </w:rPr>
        <w:t xml:space="preserve"> страны-члены получают от ЮАР определенную сумму платежа, чтобы компенсировать их потери от сеньоража, поскольку допускают свободное хождение ранда на их территории</w:t>
      </w:r>
      <w:r w:rsidRPr="00653075">
        <w:rPr>
          <w:rStyle w:val="FootnoteReference"/>
          <w:rFonts w:ascii="Times New Roman" w:hAnsi="Times New Roman"/>
          <w:sz w:val="24"/>
          <w:szCs w:val="24"/>
        </w:rPr>
        <w:footnoteReference w:id="8"/>
      </w:r>
      <w:r w:rsidRPr="00653075">
        <w:rPr>
          <w:rFonts w:ascii="Times New Roman" w:hAnsi="Times New Roman"/>
          <w:sz w:val="24"/>
          <w:szCs w:val="24"/>
        </w:rPr>
        <w:t>.</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 xml:space="preserve">В отличие от ЗЕВ, где </w:t>
      </w:r>
      <w:r>
        <w:rPr>
          <w:rFonts w:ascii="Times New Roman" w:hAnsi="Times New Roman"/>
          <w:sz w:val="24"/>
          <w:szCs w:val="24"/>
        </w:rPr>
        <w:t>малые</w:t>
      </w:r>
      <w:r w:rsidRPr="00653075">
        <w:rPr>
          <w:rFonts w:ascii="Times New Roman" w:hAnsi="Times New Roman"/>
          <w:sz w:val="24"/>
          <w:szCs w:val="24"/>
        </w:rPr>
        <w:t xml:space="preserve"> страны-члены использовали южноафриканский ранд в качестве единственной валюты еще до объявления ими независимости и начала эмиссии собственных национальных денежных единиц, все страны-члены ЮАСР (кроме государств, входящих в ЗЕВ) имеют свою валюты и проводят независимую друг от друга кредитно-денежную политику. Однако в рамках ЮАСР действует программа экономической интеграции, предполагающая, в частности, валютную интеграцию. Процесс валютной интеграции, который осуществляется в ЮАСР, до определенной степени напоминает процесс валютной интеграции в зоне евро, поскольку для соответствующей интеграции поставлены необходимые цели, касающиеся ряда макроэкономических показателей, таких как темп инфляции, доля дефицита бюджета в ВВП стран-членов, доля государственного долга в ВВП, а также отношение сальдо платежного баланса к ВВП.</w:t>
      </w:r>
    </w:p>
    <w:p w:rsidR="00DC1DF6" w:rsidRPr="00653075" w:rsidRDefault="00DC1DF6" w:rsidP="00653075">
      <w:pPr>
        <w:spacing w:after="0" w:line="360" w:lineRule="auto"/>
        <w:ind w:firstLine="709"/>
        <w:jc w:val="both"/>
        <w:rPr>
          <w:rFonts w:ascii="Times New Roman" w:hAnsi="Times New Roman"/>
          <w:sz w:val="24"/>
          <w:szCs w:val="24"/>
        </w:rPr>
      </w:pPr>
      <w:r>
        <w:rPr>
          <w:rFonts w:ascii="Times New Roman" w:hAnsi="Times New Roman"/>
          <w:sz w:val="24"/>
          <w:szCs w:val="24"/>
        </w:rPr>
        <w:t>В</w:t>
      </w:r>
      <w:r w:rsidRPr="00653075">
        <w:rPr>
          <w:rFonts w:ascii="Times New Roman" w:hAnsi="Times New Roman"/>
          <w:sz w:val="24"/>
          <w:szCs w:val="24"/>
        </w:rPr>
        <w:t xml:space="preserve"> начале 2000-х гг.</w:t>
      </w:r>
      <w:r>
        <w:rPr>
          <w:rFonts w:ascii="Times New Roman" w:hAnsi="Times New Roman"/>
          <w:sz w:val="24"/>
          <w:szCs w:val="24"/>
        </w:rPr>
        <w:t xml:space="preserve"> </w:t>
      </w:r>
      <w:r w:rsidRPr="00653075">
        <w:rPr>
          <w:rFonts w:ascii="Times New Roman" w:hAnsi="Times New Roman"/>
          <w:sz w:val="24"/>
          <w:szCs w:val="24"/>
        </w:rPr>
        <w:t>была принята Программа валютной интеграции стран-членов ЮАРС, в соответствии с которой к 2016 г. планируется создание единого центрального банка, а к 2018 г. – единой валюты</w:t>
      </w:r>
      <w:r w:rsidRPr="00653075">
        <w:rPr>
          <w:rStyle w:val="FootnoteReference"/>
          <w:rFonts w:ascii="Times New Roman" w:hAnsi="Times New Roman"/>
          <w:sz w:val="24"/>
          <w:szCs w:val="24"/>
        </w:rPr>
        <w:footnoteReference w:id="9"/>
      </w:r>
      <w:r w:rsidRPr="00653075">
        <w:rPr>
          <w:rFonts w:ascii="Times New Roman" w:hAnsi="Times New Roman"/>
          <w:sz w:val="24"/>
          <w:szCs w:val="24"/>
        </w:rPr>
        <w:t>. Тем не менее, в настоящее время происходит пересмотр целей данной программы. Основная причина торможения дальнейшего развития валютного союза в рамках ЮАСР – долговой кризис в зоне евро.</w:t>
      </w:r>
    </w:p>
    <w:p w:rsidR="00DC1DF6" w:rsidRPr="00D538B1" w:rsidRDefault="00DC1DF6" w:rsidP="00653075">
      <w:pPr>
        <w:spacing w:after="0" w:line="360" w:lineRule="auto"/>
        <w:ind w:firstLine="709"/>
        <w:jc w:val="both"/>
        <w:rPr>
          <w:rFonts w:ascii="Times New Roman" w:hAnsi="Times New Roman"/>
          <w:b/>
          <w:sz w:val="24"/>
          <w:szCs w:val="24"/>
        </w:rPr>
      </w:pPr>
      <w:r w:rsidRPr="00D538B1">
        <w:rPr>
          <w:rFonts w:ascii="Times New Roman" w:hAnsi="Times New Roman"/>
          <w:b/>
          <w:sz w:val="24"/>
          <w:szCs w:val="24"/>
        </w:rPr>
        <w:t>Выводы</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В ходе исследования выявлены специфические стратегии стран БРИКС, которые прямо и косвенно влияют на интернационализацию их валют:</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1) интернационализация юаня посредством развития офшорных рынков этой валюты в крупнейших мировых финансовых центрах, включая Гонконг, Лондон и Сингапур;</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2) покупка Китаем государственных облигаций стран Азиатско-Тихоокеанского региона: формирование долгового рынка в Азии станет дополнительным фактором региональной интернационализации китайского юаня;</w:t>
      </w:r>
    </w:p>
    <w:p w:rsidR="00DC1DF6" w:rsidRPr="00653075" w:rsidRDefault="00DC1DF6" w:rsidP="00653075">
      <w:pPr>
        <w:spacing w:after="0" w:line="360" w:lineRule="auto"/>
        <w:ind w:firstLine="709"/>
        <w:jc w:val="both"/>
        <w:rPr>
          <w:rFonts w:ascii="Times New Roman" w:hAnsi="Times New Roman"/>
          <w:sz w:val="24"/>
          <w:szCs w:val="24"/>
        </w:rPr>
      </w:pPr>
      <w:r w:rsidRPr="00653075">
        <w:rPr>
          <w:rFonts w:ascii="Times New Roman" w:hAnsi="Times New Roman"/>
          <w:sz w:val="24"/>
          <w:szCs w:val="24"/>
        </w:rPr>
        <w:t>3) диверсификация портфеля официальных валютных резервов Китая за счет приобретения большего объема государственных облигаций стран Азии, которые постепенно вытеснят облигации Казначейства США;</w:t>
      </w:r>
    </w:p>
    <w:p w:rsidR="00DC1DF6" w:rsidRPr="001D1E3C" w:rsidRDefault="00DC1DF6" w:rsidP="00653075">
      <w:pPr>
        <w:spacing w:after="0" w:line="360" w:lineRule="auto"/>
        <w:ind w:firstLine="709"/>
        <w:jc w:val="both"/>
        <w:rPr>
          <w:rFonts w:ascii="Times New Roman" w:hAnsi="Times New Roman"/>
          <w:sz w:val="24"/>
          <w:szCs w:val="28"/>
        </w:rPr>
      </w:pPr>
      <w:r w:rsidRPr="00653075">
        <w:rPr>
          <w:rFonts w:ascii="Times New Roman" w:hAnsi="Times New Roman"/>
          <w:sz w:val="24"/>
          <w:szCs w:val="24"/>
        </w:rPr>
        <w:t>4) валютам стран БРИКС первоначально необходимо пройти этап валютной интернационализации на региональном уровне, то есть в соответствующих соседних странах, с которыми каждая из пяти стран имеет высокую степень экономической взаимозависимости (бразильский реал – в Аргентине, российский рубль – в странах СНГ, индийская рупия – в Непале и Бутане, китайский юань – в Восточной Азии и ранд ЮАР – в странах валютного союза региона Южной Африки). По завершении этапа региональной интернационализации валюты стран БРИКС смогут вступить в стадию более широкого их использования во внешнеторговых и внешнеэкономических операциях со странами дальнего зарубежья и мировой экономики в целом.</w:t>
      </w:r>
    </w:p>
    <w:sectPr w:rsidR="00DC1DF6" w:rsidRPr="001D1E3C" w:rsidSect="00653075">
      <w:footerReference w:type="even" r:id="rId8"/>
      <w:footerReference w:type="default" r:id="rId9"/>
      <w:footnotePr>
        <w:numRestart w:val="eachPage"/>
      </w:footnotePr>
      <w:pgSz w:w="11906" w:h="16838" w:code="9"/>
      <w:pgMar w:top="1134" w:right="1418" w:bottom="1134" w:left="1418"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F6" w:rsidRDefault="00DC1DF6" w:rsidP="001D1E3C">
      <w:pPr>
        <w:spacing w:after="0" w:line="240" w:lineRule="auto"/>
      </w:pPr>
      <w:r>
        <w:separator/>
      </w:r>
    </w:p>
  </w:endnote>
  <w:endnote w:type="continuationSeparator" w:id="0">
    <w:p w:rsidR="00DC1DF6" w:rsidRDefault="00DC1DF6" w:rsidP="001D1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F6" w:rsidRDefault="00DC1DF6" w:rsidP="00653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DF6" w:rsidRDefault="00DC1D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F6" w:rsidRPr="00653075" w:rsidRDefault="00DC1DF6" w:rsidP="00653075">
    <w:pPr>
      <w:pStyle w:val="Footer"/>
      <w:framePr w:wrap="around" w:vAnchor="text" w:hAnchor="margin" w:xAlign="center" w:y="1"/>
      <w:rPr>
        <w:rStyle w:val="PageNumber"/>
        <w:rFonts w:ascii="Times New Roman" w:hAnsi="Times New Roman"/>
        <w:sz w:val="24"/>
        <w:szCs w:val="24"/>
      </w:rPr>
    </w:pPr>
    <w:r w:rsidRPr="00653075">
      <w:rPr>
        <w:rStyle w:val="PageNumber"/>
        <w:rFonts w:ascii="Times New Roman" w:hAnsi="Times New Roman"/>
        <w:sz w:val="24"/>
        <w:szCs w:val="24"/>
      </w:rPr>
      <w:fldChar w:fldCharType="begin"/>
    </w:r>
    <w:r w:rsidRPr="00653075">
      <w:rPr>
        <w:rStyle w:val="PageNumber"/>
        <w:rFonts w:ascii="Times New Roman" w:hAnsi="Times New Roman"/>
        <w:sz w:val="24"/>
        <w:szCs w:val="24"/>
      </w:rPr>
      <w:instrText xml:space="preserve">PAGE  </w:instrText>
    </w:r>
    <w:r w:rsidRPr="00653075">
      <w:rPr>
        <w:rStyle w:val="PageNumber"/>
        <w:rFonts w:ascii="Times New Roman" w:hAnsi="Times New Roman"/>
        <w:sz w:val="24"/>
        <w:szCs w:val="24"/>
      </w:rPr>
      <w:fldChar w:fldCharType="separate"/>
    </w:r>
    <w:r>
      <w:rPr>
        <w:rStyle w:val="PageNumber"/>
        <w:rFonts w:ascii="Times New Roman" w:hAnsi="Times New Roman"/>
        <w:noProof/>
        <w:sz w:val="24"/>
        <w:szCs w:val="24"/>
      </w:rPr>
      <w:t>1</w:t>
    </w:r>
    <w:r w:rsidRPr="00653075">
      <w:rPr>
        <w:rStyle w:val="PageNumber"/>
        <w:rFonts w:ascii="Times New Roman" w:hAnsi="Times New Roman"/>
        <w:sz w:val="24"/>
        <w:szCs w:val="24"/>
      </w:rPr>
      <w:fldChar w:fldCharType="end"/>
    </w:r>
  </w:p>
  <w:p w:rsidR="00DC1DF6" w:rsidRDefault="00DC1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F6" w:rsidRDefault="00DC1DF6" w:rsidP="001D1E3C">
      <w:pPr>
        <w:spacing w:after="0" w:line="240" w:lineRule="auto"/>
      </w:pPr>
      <w:r>
        <w:separator/>
      </w:r>
    </w:p>
  </w:footnote>
  <w:footnote w:type="continuationSeparator" w:id="0">
    <w:p w:rsidR="00DC1DF6" w:rsidRDefault="00DC1DF6" w:rsidP="001D1E3C">
      <w:pPr>
        <w:spacing w:after="0" w:line="240" w:lineRule="auto"/>
      </w:pPr>
      <w:r>
        <w:continuationSeparator/>
      </w:r>
    </w:p>
  </w:footnote>
  <w:footnote w:id="1">
    <w:p w:rsidR="00DC1DF6" w:rsidRDefault="00DC1DF6" w:rsidP="00653075">
      <w:pPr>
        <w:pStyle w:val="FootnoteText"/>
        <w:ind w:firstLine="709"/>
        <w:jc w:val="both"/>
      </w:pPr>
      <w:r w:rsidRPr="00653075">
        <w:rPr>
          <w:rStyle w:val="FootnoteReference"/>
          <w:rFonts w:ascii="Times New Roman" w:hAnsi="Times New Roman"/>
        </w:rPr>
        <w:footnoteRef/>
      </w:r>
      <w:r>
        <w:rPr>
          <w:rFonts w:ascii="Times New Roman" w:hAnsi="Times New Roman"/>
          <w:lang w:val="en-US"/>
        </w:rPr>
        <w:t xml:space="preserve"> </w:t>
      </w:r>
      <w:r w:rsidRPr="00653075">
        <w:rPr>
          <w:rFonts w:ascii="Times New Roman" w:hAnsi="Times New Roman"/>
          <w:lang w:val="en-US"/>
        </w:rPr>
        <w:t>International</w:t>
      </w:r>
      <w:r>
        <w:rPr>
          <w:rFonts w:ascii="Times New Roman" w:hAnsi="Times New Roman"/>
          <w:lang w:val="en-US"/>
        </w:rPr>
        <w:t xml:space="preserve"> </w:t>
      </w:r>
      <w:r w:rsidRPr="00653075">
        <w:rPr>
          <w:rFonts w:ascii="Times New Roman" w:hAnsi="Times New Roman"/>
          <w:lang w:val="en-US"/>
        </w:rPr>
        <w:t>Monetary</w:t>
      </w:r>
      <w:r>
        <w:rPr>
          <w:rFonts w:ascii="Times New Roman" w:hAnsi="Times New Roman"/>
          <w:lang w:val="en-US"/>
        </w:rPr>
        <w:t xml:space="preserve"> </w:t>
      </w:r>
      <w:r w:rsidRPr="00653075">
        <w:rPr>
          <w:rFonts w:ascii="Times New Roman" w:hAnsi="Times New Roman"/>
          <w:lang w:val="en-US"/>
        </w:rPr>
        <w:t>Fund:</w:t>
      </w:r>
      <w:r>
        <w:rPr>
          <w:rFonts w:ascii="Times New Roman" w:hAnsi="Times New Roman"/>
          <w:lang w:val="en-US"/>
        </w:rPr>
        <w:t xml:space="preserve"> </w:t>
      </w:r>
      <w:r w:rsidRPr="00653075">
        <w:rPr>
          <w:rFonts w:ascii="Times New Roman" w:hAnsi="Times New Roman"/>
          <w:lang w:val="en-US"/>
        </w:rPr>
        <w:t>Currency</w:t>
      </w:r>
      <w:r>
        <w:rPr>
          <w:rFonts w:ascii="Times New Roman" w:hAnsi="Times New Roman"/>
          <w:lang w:val="en-US"/>
        </w:rPr>
        <w:t xml:space="preserve"> </w:t>
      </w:r>
      <w:r w:rsidRPr="00653075">
        <w:rPr>
          <w:rFonts w:ascii="Times New Roman" w:hAnsi="Times New Roman"/>
          <w:lang w:val="en-US"/>
        </w:rPr>
        <w:t>Composition</w:t>
      </w:r>
      <w:r>
        <w:rPr>
          <w:rFonts w:ascii="Times New Roman" w:hAnsi="Times New Roman"/>
          <w:lang w:val="en-US"/>
        </w:rPr>
        <w:t xml:space="preserve"> </w:t>
      </w:r>
      <w:r w:rsidRPr="00653075">
        <w:rPr>
          <w:rFonts w:ascii="Times New Roman" w:hAnsi="Times New Roman"/>
          <w:lang w:val="en-US"/>
        </w:rPr>
        <w:t>of</w:t>
      </w:r>
      <w:r>
        <w:rPr>
          <w:rFonts w:ascii="Times New Roman" w:hAnsi="Times New Roman"/>
          <w:lang w:val="en-US"/>
        </w:rPr>
        <w:t xml:space="preserve"> </w:t>
      </w:r>
      <w:r w:rsidRPr="00653075">
        <w:rPr>
          <w:rFonts w:ascii="Times New Roman" w:hAnsi="Times New Roman"/>
          <w:lang w:val="en-US"/>
        </w:rPr>
        <w:t>Official</w:t>
      </w:r>
      <w:r>
        <w:rPr>
          <w:rFonts w:ascii="Times New Roman" w:hAnsi="Times New Roman"/>
          <w:lang w:val="en-US"/>
        </w:rPr>
        <w:t xml:space="preserve"> </w:t>
      </w:r>
      <w:r w:rsidRPr="00653075">
        <w:rPr>
          <w:rFonts w:ascii="Times New Roman" w:hAnsi="Times New Roman"/>
          <w:lang w:val="en-US"/>
        </w:rPr>
        <w:t>Foreign</w:t>
      </w:r>
      <w:r>
        <w:rPr>
          <w:rFonts w:ascii="Times New Roman" w:hAnsi="Times New Roman"/>
          <w:lang w:val="en-US"/>
        </w:rPr>
        <w:t xml:space="preserve"> </w:t>
      </w:r>
      <w:r w:rsidRPr="00653075">
        <w:rPr>
          <w:rFonts w:ascii="Times New Roman" w:hAnsi="Times New Roman"/>
          <w:lang w:val="en-US"/>
        </w:rPr>
        <w:t>Exchange</w:t>
      </w:r>
      <w:r>
        <w:rPr>
          <w:rFonts w:ascii="Times New Roman" w:hAnsi="Times New Roman"/>
          <w:lang w:val="en-US"/>
        </w:rPr>
        <w:t xml:space="preserve"> </w:t>
      </w:r>
      <w:r w:rsidRPr="00653075">
        <w:rPr>
          <w:rFonts w:ascii="Times New Roman" w:hAnsi="Times New Roman"/>
          <w:lang w:val="en-US"/>
        </w:rPr>
        <w:t>Reserves</w:t>
      </w:r>
      <w:r>
        <w:rPr>
          <w:rFonts w:ascii="Times New Roman" w:hAnsi="Times New Roman"/>
          <w:lang w:val="en-US"/>
        </w:rPr>
        <w:t xml:space="preserve"> </w:t>
      </w:r>
      <w:r w:rsidRPr="00653075">
        <w:rPr>
          <w:rFonts w:ascii="Times New Roman" w:hAnsi="Times New Roman"/>
          <w:lang w:val="en-US"/>
        </w:rPr>
        <w:t>(2012).</w:t>
      </w:r>
      <w:r>
        <w:rPr>
          <w:rFonts w:ascii="Times New Roman" w:hAnsi="Times New Roman"/>
          <w:lang w:val="en-US"/>
        </w:rPr>
        <w:t xml:space="preserve"> </w:t>
      </w:r>
      <w:r w:rsidRPr="00653075">
        <w:rPr>
          <w:rFonts w:ascii="Times New Roman" w:hAnsi="Times New Roman"/>
          <w:lang w:val="en-US"/>
        </w:rPr>
        <w:t>-</w:t>
      </w:r>
      <w:r>
        <w:rPr>
          <w:rFonts w:ascii="Times New Roman" w:hAnsi="Times New Roman"/>
          <w:lang w:val="en-US"/>
        </w:rPr>
        <w:t xml:space="preserve"> </w:t>
      </w:r>
      <w:r w:rsidRPr="00653075">
        <w:rPr>
          <w:rFonts w:ascii="Times New Roman" w:hAnsi="Times New Roman"/>
          <w:lang w:val="en-US"/>
        </w:rPr>
        <w:t>http://www.imf.org/external/np/sta/cofer/eng/index.htm</w:t>
      </w:r>
    </w:p>
  </w:footnote>
  <w:footnote w:id="2">
    <w:p w:rsidR="00DC1DF6" w:rsidRDefault="00DC1DF6" w:rsidP="00653075">
      <w:pPr>
        <w:pStyle w:val="FootnoteText"/>
        <w:ind w:firstLine="709"/>
        <w:jc w:val="both"/>
      </w:pPr>
      <w:r w:rsidRPr="00653075">
        <w:rPr>
          <w:rStyle w:val="FootnoteReference"/>
          <w:rFonts w:ascii="Times New Roman" w:hAnsi="Times New Roman"/>
        </w:rPr>
        <w:footnoteRef/>
      </w:r>
      <w:r>
        <w:rPr>
          <w:rFonts w:ascii="Times New Roman" w:hAnsi="Times New Roman"/>
          <w:lang w:val="en-US"/>
        </w:rPr>
        <w:t xml:space="preserve"> </w:t>
      </w:r>
      <w:r w:rsidRPr="00653075">
        <w:rPr>
          <w:rFonts w:ascii="Times New Roman" w:hAnsi="Times New Roman"/>
          <w:lang w:val="en-US"/>
        </w:rPr>
        <w:t>Eichengreen</w:t>
      </w:r>
      <w:r>
        <w:rPr>
          <w:rFonts w:ascii="Times New Roman" w:hAnsi="Times New Roman"/>
          <w:lang w:val="en-US"/>
        </w:rPr>
        <w:t xml:space="preserve"> </w:t>
      </w:r>
      <w:r w:rsidRPr="00653075">
        <w:rPr>
          <w:rFonts w:ascii="Times New Roman" w:hAnsi="Times New Roman"/>
          <w:lang w:val="en-US"/>
        </w:rPr>
        <w:t>B.</w:t>
      </w:r>
      <w:r>
        <w:rPr>
          <w:rFonts w:ascii="Times New Roman" w:hAnsi="Times New Roman"/>
          <w:lang w:val="en-US"/>
        </w:rPr>
        <w:t xml:space="preserve"> </w:t>
      </w:r>
      <w:r w:rsidRPr="00653075">
        <w:rPr>
          <w:rFonts w:ascii="Times New Roman" w:hAnsi="Times New Roman"/>
          <w:lang w:val="en-US"/>
        </w:rPr>
        <w:t>Globalizing</w:t>
      </w:r>
      <w:r>
        <w:rPr>
          <w:rFonts w:ascii="Times New Roman" w:hAnsi="Times New Roman"/>
          <w:lang w:val="en-US"/>
        </w:rPr>
        <w:t xml:space="preserve"> </w:t>
      </w:r>
      <w:r w:rsidRPr="00653075">
        <w:rPr>
          <w:rFonts w:ascii="Times New Roman" w:hAnsi="Times New Roman"/>
          <w:lang w:val="en-US"/>
        </w:rPr>
        <w:t>Capital:</w:t>
      </w:r>
      <w:r>
        <w:rPr>
          <w:rFonts w:ascii="Times New Roman" w:hAnsi="Times New Roman"/>
          <w:lang w:val="en-US"/>
        </w:rPr>
        <w:t xml:space="preserve"> </w:t>
      </w:r>
      <w:r w:rsidRPr="00653075">
        <w:rPr>
          <w:rFonts w:ascii="Times New Roman" w:hAnsi="Times New Roman"/>
          <w:lang w:val="en-US"/>
        </w:rPr>
        <w:t>A</w:t>
      </w:r>
      <w:r>
        <w:rPr>
          <w:rFonts w:ascii="Times New Roman" w:hAnsi="Times New Roman"/>
          <w:lang w:val="en-US"/>
        </w:rPr>
        <w:t xml:space="preserve"> </w:t>
      </w:r>
      <w:r w:rsidRPr="00653075">
        <w:rPr>
          <w:rFonts w:ascii="Times New Roman" w:hAnsi="Times New Roman"/>
          <w:lang w:val="en-US"/>
        </w:rPr>
        <w:t>History</w:t>
      </w:r>
      <w:r>
        <w:rPr>
          <w:rFonts w:ascii="Times New Roman" w:hAnsi="Times New Roman"/>
          <w:lang w:val="en-US"/>
        </w:rPr>
        <w:t xml:space="preserve"> </w:t>
      </w:r>
      <w:r w:rsidRPr="00653075">
        <w:rPr>
          <w:rFonts w:ascii="Times New Roman" w:hAnsi="Times New Roman"/>
          <w:lang w:val="en-US"/>
        </w:rPr>
        <w:t>of</w:t>
      </w:r>
      <w:r>
        <w:rPr>
          <w:rFonts w:ascii="Times New Roman" w:hAnsi="Times New Roman"/>
          <w:lang w:val="en-US"/>
        </w:rPr>
        <w:t xml:space="preserve"> </w:t>
      </w:r>
      <w:r w:rsidRPr="00653075">
        <w:rPr>
          <w:rFonts w:ascii="Times New Roman" w:hAnsi="Times New Roman"/>
          <w:lang w:val="en-US"/>
        </w:rPr>
        <w:t>the</w:t>
      </w:r>
      <w:r>
        <w:rPr>
          <w:rFonts w:ascii="Times New Roman" w:hAnsi="Times New Roman"/>
          <w:lang w:val="en-US"/>
        </w:rPr>
        <w:t xml:space="preserve"> </w:t>
      </w:r>
      <w:r w:rsidRPr="00653075">
        <w:rPr>
          <w:rFonts w:ascii="Times New Roman" w:hAnsi="Times New Roman"/>
          <w:lang w:val="en-US"/>
        </w:rPr>
        <w:t>International</w:t>
      </w:r>
      <w:r>
        <w:rPr>
          <w:rFonts w:ascii="Times New Roman" w:hAnsi="Times New Roman"/>
          <w:lang w:val="en-US"/>
        </w:rPr>
        <w:t xml:space="preserve"> </w:t>
      </w:r>
      <w:r w:rsidRPr="00653075">
        <w:rPr>
          <w:rFonts w:ascii="Times New Roman" w:hAnsi="Times New Roman"/>
          <w:lang w:val="en-US"/>
        </w:rPr>
        <w:t>Monetary</w:t>
      </w:r>
      <w:r>
        <w:rPr>
          <w:rFonts w:ascii="Times New Roman" w:hAnsi="Times New Roman"/>
          <w:lang w:val="en-US"/>
        </w:rPr>
        <w:t xml:space="preserve"> </w:t>
      </w:r>
      <w:r w:rsidRPr="00653075">
        <w:rPr>
          <w:rFonts w:ascii="Times New Roman" w:hAnsi="Times New Roman"/>
          <w:lang w:val="en-US"/>
        </w:rPr>
        <w:t>System.</w:t>
      </w:r>
      <w:r>
        <w:rPr>
          <w:rFonts w:ascii="Times New Roman" w:hAnsi="Times New Roman"/>
          <w:lang w:val="en-US"/>
        </w:rPr>
        <w:t xml:space="preserve"> –</w:t>
      </w:r>
      <w:r w:rsidRPr="009C6ED3">
        <w:rPr>
          <w:rFonts w:ascii="Times New Roman" w:hAnsi="Times New Roman"/>
          <w:lang w:val="en-US"/>
        </w:rPr>
        <w:t xml:space="preserve"> </w:t>
      </w:r>
      <w:r w:rsidRPr="00653075">
        <w:rPr>
          <w:rFonts w:ascii="Times New Roman" w:hAnsi="Times New Roman"/>
          <w:lang w:val="en-US"/>
        </w:rPr>
        <w:t>Princeton</w:t>
      </w:r>
      <w:r w:rsidRPr="009C6ED3">
        <w:rPr>
          <w:rFonts w:ascii="Times New Roman" w:hAnsi="Times New Roman"/>
          <w:lang w:val="en-US"/>
        </w:rPr>
        <w:t>:</w:t>
      </w:r>
      <w:r>
        <w:rPr>
          <w:rFonts w:ascii="Times New Roman" w:hAnsi="Times New Roman"/>
          <w:lang w:val="en-US"/>
        </w:rPr>
        <w:t xml:space="preserve"> </w:t>
      </w:r>
      <w:smartTag w:uri="urn:schemas-microsoft-com:office:smarttags" w:element="place">
        <w:smartTag w:uri="urn:schemas-microsoft-com:office:smarttags" w:element="PlaceName">
          <w:r w:rsidRPr="00653075">
            <w:rPr>
              <w:rFonts w:ascii="Times New Roman" w:hAnsi="Times New Roman"/>
              <w:lang w:val="en-US"/>
            </w:rPr>
            <w:t>Princeton</w:t>
          </w:r>
        </w:smartTag>
        <w:r>
          <w:rPr>
            <w:rFonts w:ascii="Times New Roman" w:hAnsi="Times New Roman"/>
            <w:lang w:val="en-US"/>
          </w:rPr>
          <w:t xml:space="preserve"> </w:t>
        </w:r>
        <w:smartTag w:uri="urn:schemas-microsoft-com:office:smarttags" w:element="PlaceType">
          <w:r w:rsidRPr="00653075">
            <w:rPr>
              <w:rFonts w:ascii="Times New Roman" w:hAnsi="Times New Roman"/>
              <w:lang w:val="en-US"/>
            </w:rPr>
            <w:t>University</w:t>
          </w:r>
        </w:smartTag>
      </w:smartTag>
      <w:r>
        <w:rPr>
          <w:rFonts w:ascii="Times New Roman" w:hAnsi="Times New Roman"/>
          <w:lang w:val="en-US"/>
        </w:rPr>
        <w:t xml:space="preserve"> </w:t>
      </w:r>
      <w:r w:rsidRPr="00653075">
        <w:rPr>
          <w:rFonts w:ascii="Times New Roman" w:hAnsi="Times New Roman"/>
          <w:lang w:val="en-US"/>
        </w:rPr>
        <w:t>Press,</w:t>
      </w:r>
      <w:r>
        <w:rPr>
          <w:rFonts w:ascii="Times New Roman" w:hAnsi="Times New Roman"/>
          <w:lang w:val="en-US"/>
        </w:rPr>
        <w:t xml:space="preserve"> </w:t>
      </w:r>
      <w:r w:rsidRPr="00653075">
        <w:rPr>
          <w:rFonts w:ascii="Times New Roman" w:hAnsi="Times New Roman"/>
          <w:lang w:val="en-US"/>
        </w:rPr>
        <w:t>2008.</w:t>
      </w:r>
      <w:r>
        <w:rPr>
          <w:rFonts w:ascii="Times New Roman" w:hAnsi="Times New Roman"/>
          <w:lang w:val="en-US"/>
        </w:rPr>
        <w:t xml:space="preserve"> </w:t>
      </w:r>
      <w:r w:rsidRPr="009C6ED3">
        <w:rPr>
          <w:rFonts w:ascii="Times New Roman" w:hAnsi="Times New Roman"/>
          <w:lang w:val="en-US"/>
        </w:rPr>
        <w:t xml:space="preserve">- </w:t>
      </w:r>
      <w:r w:rsidRPr="00653075">
        <w:rPr>
          <w:rFonts w:ascii="Times New Roman" w:hAnsi="Times New Roman"/>
          <w:lang w:val="en-US"/>
        </w:rPr>
        <w:t>280</w:t>
      </w:r>
      <w:r>
        <w:rPr>
          <w:rFonts w:ascii="Times New Roman" w:hAnsi="Times New Roman"/>
          <w:lang w:val="en-US"/>
        </w:rPr>
        <w:t xml:space="preserve"> </w:t>
      </w:r>
      <w:r w:rsidRPr="00653075">
        <w:rPr>
          <w:rFonts w:ascii="Times New Roman" w:hAnsi="Times New Roman"/>
          <w:lang w:val="en-US"/>
        </w:rPr>
        <w:t>p.</w:t>
      </w:r>
    </w:p>
  </w:footnote>
  <w:footnote w:id="3">
    <w:p w:rsidR="00DC1DF6" w:rsidRDefault="00DC1DF6" w:rsidP="00653075">
      <w:pPr>
        <w:pStyle w:val="FootnoteText"/>
        <w:ind w:firstLine="709"/>
        <w:jc w:val="both"/>
      </w:pPr>
      <w:r w:rsidRPr="00653075">
        <w:rPr>
          <w:rStyle w:val="FootnoteReference"/>
          <w:rFonts w:ascii="Times New Roman" w:hAnsi="Times New Roman"/>
        </w:rPr>
        <w:footnoteRef/>
      </w:r>
      <w:r>
        <w:rPr>
          <w:rFonts w:ascii="Times New Roman" w:hAnsi="Times New Roman"/>
          <w:lang w:val="en-US"/>
        </w:rPr>
        <w:t xml:space="preserve"> </w:t>
      </w:r>
      <w:r w:rsidRPr="00653075">
        <w:rPr>
          <w:rFonts w:ascii="Times New Roman" w:hAnsi="Times New Roman"/>
          <w:lang w:val="en-US"/>
        </w:rPr>
        <w:t>Lin</w:t>
      </w:r>
      <w:r>
        <w:rPr>
          <w:rFonts w:ascii="Times New Roman" w:hAnsi="Times New Roman"/>
          <w:lang w:val="en-US"/>
        </w:rPr>
        <w:t xml:space="preserve"> </w:t>
      </w:r>
      <w:r w:rsidRPr="00653075">
        <w:rPr>
          <w:rFonts w:ascii="Times New Roman" w:hAnsi="Times New Roman"/>
          <w:lang w:val="en-US"/>
        </w:rPr>
        <w:t>J.Y.,</w:t>
      </w:r>
      <w:r>
        <w:rPr>
          <w:rFonts w:ascii="Times New Roman" w:hAnsi="Times New Roman"/>
          <w:lang w:val="en-US"/>
        </w:rPr>
        <w:t xml:space="preserve"> </w:t>
      </w:r>
      <w:r w:rsidRPr="00653075">
        <w:rPr>
          <w:rFonts w:ascii="Times New Roman" w:hAnsi="Times New Roman"/>
          <w:lang w:val="en-US"/>
        </w:rPr>
        <w:t>Fardoust</w:t>
      </w:r>
      <w:r>
        <w:rPr>
          <w:rFonts w:ascii="Times New Roman" w:hAnsi="Times New Roman"/>
          <w:lang w:val="en-US"/>
        </w:rPr>
        <w:t xml:space="preserve"> </w:t>
      </w:r>
      <w:r w:rsidRPr="00653075">
        <w:rPr>
          <w:rFonts w:ascii="Times New Roman" w:hAnsi="Times New Roman"/>
          <w:lang w:val="en-US"/>
        </w:rPr>
        <w:t>S.,</w:t>
      </w:r>
      <w:r>
        <w:rPr>
          <w:rFonts w:ascii="Times New Roman" w:hAnsi="Times New Roman"/>
          <w:lang w:val="en-US"/>
        </w:rPr>
        <w:t xml:space="preserve"> </w:t>
      </w:r>
      <w:r w:rsidRPr="00653075">
        <w:rPr>
          <w:rFonts w:ascii="Times New Roman" w:hAnsi="Times New Roman"/>
          <w:lang w:val="en-US"/>
        </w:rPr>
        <w:t>Rosenblatt</w:t>
      </w:r>
      <w:r>
        <w:rPr>
          <w:rFonts w:ascii="Times New Roman" w:hAnsi="Times New Roman"/>
          <w:lang w:val="en-US"/>
        </w:rPr>
        <w:t xml:space="preserve"> </w:t>
      </w:r>
      <w:r w:rsidRPr="00653075">
        <w:rPr>
          <w:rFonts w:ascii="Times New Roman" w:hAnsi="Times New Roman"/>
          <w:lang w:val="en-US"/>
        </w:rPr>
        <w:t>D.</w:t>
      </w:r>
      <w:r>
        <w:rPr>
          <w:rFonts w:ascii="Times New Roman" w:hAnsi="Times New Roman"/>
          <w:lang w:val="en-US"/>
        </w:rPr>
        <w:t xml:space="preserve"> </w:t>
      </w:r>
      <w:r w:rsidRPr="00653075">
        <w:rPr>
          <w:rFonts w:ascii="Times New Roman" w:hAnsi="Times New Roman"/>
          <w:lang w:val="en-US"/>
        </w:rPr>
        <w:t>Reform</w:t>
      </w:r>
      <w:r>
        <w:rPr>
          <w:rFonts w:ascii="Times New Roman" w:hAnsi="Times New Roman"/>
          <w:lang w:val="en-US"/>
        </w:rPr>
        <w:t xml:space="preserve"> </w:t>
      </w:r>
      <w:r w:rsidRPr="00653075">
        <w:rPr>
          <w:rFonts w:ascii="Times New Roman" w:hAnsi="Times New Roman"/>
          <w:lang w:val="en-US"/>
        </w:rPr>
        <w:t>of</w:t>
      </w:r>
      <w:r>
        <w:rPr>
          <w:rFonts w:ascii="Times New Roman" w:hAnsi="Times New Roman"/>
          <w:lang w:val="en-US"/>
        </w:rPr>
        <w:t xml:space="preserve"> </w:t>
      </w:r>
      <w:r w:rsidRPr="00653075">
        <w:rPr>
          <w:rFonts w:ascii="Times New Roman" w:hAnsi="Times New Roman"/>
          <w:lang w:val="en-US"/>
        </w:rPr>
        <w:t>the</w:t>
      </w:r>
      <w:r>
        <w:rPr>
          <w:rFonts w:ascii="Times New Roman" w:hAnsi="Times New Roman"/>
          <w:lang w:val="en-US"/>
        </w:rPr>
        <w:t xml:space="preserve"> </w:t>
      </w:r>
      <w:r w:rsidRPr="00653075">
        <w:rPr>
          <w:rFonts w:ascii="Times New Roman" w:hAnsi="Times New Roman"/>
          <w:lang w:val="en-US"/>
        </w:rPr>
        <w:t>International</w:t>
      </w:r>
      <w:r>
        <w:rPr>
          <w:rFonts w:ascii="Times New Roman" w:hAnsi="Times New Roman"/>
          <w:lang w:val="en-US"/>
        </w:rPr>
        <w:t xml:space="preserve"> </w:t>
      </w:r>
      <w:r w:rsidRPr="00653075">
        <w:rPr>
          <w:rFonts w:ascii="Times New Roman" w:hAnsi="Times New Roman"/>
          <w:lang w:val="en-US"/>
        </w:rPr>
        <w:t>Monetary</w:t>
      </w:r>
      <w:r>
        <w:rPr>
          <w:rFonts w:ascii="Times New Roman" w:hAnsi="Times New Roman"/>
          <w:lang w:val="en-US"/>
        </w:rPr>
        <w:t xml:space="preserve"> </w:t>
      </w:r>
      <w:r w:rsidRPr="00653075">
        <w:rPr>
          <w:rFonts w:ascii="Times New Roman" w:hAnsi="Times New Roman"/>
          <w:lang w:val="en-US"/>
        </w:rPr>
        <w:t>System:</w:t>
      </w:r>
      <w:r>
        <w:rPr>
          <w:rFonts w:ascii="Times New Roman" w:hAnsi="Times New Roman"/>
          <w:lang w:val="en-US"/>
        </w:rPr>
        <w:t xml:space="preserve"> </w:t>
      </w:r>
      <w:r w:rsidRPr="00653075">
        <w:rPr>
          <w:rFonts w:ascii="Times New Roman" w:hAnsi="Times New Roman"/>
          <w:lang w:val="en-US"/>
        </w:rPr>
        <w:t>A</w:t>
      </w:r>
      <w:r>
        <w:rPr>
          <w:rFonts w:ascii="Times New Roman" w:hAnsi="Times New Roman"/>
          <w:lang w:val="en-US"/>
        </w:rPr>
        <w:t xml:space="preserve"> </w:t>
      </w:r>
      <w:r w:rsidRPr="00653075">
        <w:rPr>
          <w:rFonts w:ascii="Times New Roman" w:hAnsi="Times New Roman"/>
          <w:lang w:val="en-US"/>
        </w:rPr>
        <w:t>Jagged</w:t>
      </w:r>
      <w:r>
        <w:rPr>
          <w:rFonts w:ascii="Times New Roman" w:hAnsi="Times New Roman"/>
          <w:lang w:val="en-US"/>
        </w:rPr>
        <w:t xml:space="preserve"> </w:t>
      </w:r>
      <w:r w:rsidRPr="00653075">
        <w:rPr>
          <w:rFonts w:ascii="Times New Roman" w:hAnsi="Times New Roman"/>
          <w:lang w:val="en-US"/>
        </w:rPr>
        <w:t>History</w:t>
      </w:r>
      <w:r>
        <w:rPr>
          <w:rFonts w:ascii="Times New Roman" w:hAnsi="Times New Roman"/>
          <w:lang w:val="en-US"/>
        </w:rPr>
        <w:t xml:space="preserve"> </w:t>
      </w:r>
      <w:r w:rsidRPr="00653075">
        <w:rPr>
          <w:rFonts w:ascii="Times New Roman" w:hAnsi="Times New Roman"/>
          <w:lang w:val="en-US"/>
        </w:rPr>
        <w:t>and</w:t>
      </w:r>
      <w:r>
        <w:rPr>
          <w:rFonts w:ascii="Times New Roman" w:hAnsi="Times New Roman"/>
          <w:lang w:val="en-US"/>
        </w:rPr>
        <w:t xml:space="preserve"> </w:t>
      </w:r>
      <w:r w:rsidRPr="00653075">
        <w:rPr>
          <w:rFonts w:ascii="Times New Roman" w:hAnsi="Times New Roman"/>
          <w:lang w:val="en-US"/>
        </w:rPr>
        <w:t>Uncertain</w:t>
      </w:r>
      <w:r>
        <w:rPr>
          <w:rFonts w:ascii="Times New Roman" w:hAnsi="Times New Roman"/>
          <w:lang w:val="en-US"/>
        </w:rPr>
        <w:t xml:space="preserve"> </w:t>
      </w:r>
      <w:r w:rsidRPr="00653075">
        <w:rPr>
          <w:rFonts w:ascii="Times New Roman" w:hAnsi="Times New Roman"/>
          <w:lang w:val="en-US"/>
        </w:rPr>
        <w:t>Prospects.</w:t>
      </w:r>
      <w:r>
        <w:rPr>
          <w:rFonts w:ascii="Times New Roman" w:hAnsi="Times New Roman"/>
          <w:lang w:val="en-US"/>
        </w:rPr>
        <w:t xml:space="preserve"> </w:t>
      </w:r>
      <w:r w:rsidRPr="00653075">
        <w:rPr>
          <w:rFonts w:ascii="Times New Roman" w:hAnsi="Times New Roman"/>
          <w:lang w:val="en-US"/>
        </w:rPr>
        <w:t>World</w:t>
      </w:r>
      <w:r>
        <w:rPr>
          <w:rFonts w:ascii="Times New Roman" w:hAnsi="Times New Roman"/>
          <w:lang w:val="en-US"/>
        </w:rPr>
        <w:t xml:space="preserve"> </w:t>
      </w:r>
      <w:r w:rsidRPr="00653075">
        <w:rPr>
          <w:rFonts w:ascii="Times New Roman" w:hAnsi="Times New Roman"/>
          <w:lang w:val="en-US"/>
        </w:rPr>
        <w:t>Bank</w:t>
      </w:r>
      <w:r>
        <w:rPr>
          <w:rFonts w:ascii="Times New Roman" w:hAnsi="Times New Roman"/>
          <w:lang w:val="en-US"/>
        </w:rPr>
        <w:t xml:space="preserve"> </w:t>
      </w:r>
      <w:r w:rsidRPr="00653075">
        <w:rPr>
          <w:rFonts w:ascii="Times New Roman" w:hAnsi="Times New Roman"/>
          <w:lang w:val="en-US"/>
        </w:rPr>
        <w:t>Policy</w:t>
      </w:r>
      <w:r>
        <w:rPr>
          <w:rFonts w:ascii="Times New Roman" w:hAnsi="Times New Roman"/>
          <w:lang w:val="en-US"/>
        </w:rPr>
        <w:t xml:space="preserve"> </w:t>
      </w:r>
      <w:r w:rsidRPr="00653075">
        <w:rPr>
          <w:rFonts w:ascii="Times New Roman" w:hAnsi="Times New Roman"/>
          <w:lang w:val="en-US"/>
        </w:rPr>
        <w:t>Research</w:t>
      </w:r>
      <w:r>
        <w:rPr>
          <w:rFonts w:ascii="Times New Roman" w:hAnsi="Times New Roman"/>
          <w:lang w:val="en-US"/>
        </w:rPr>
        <w:t xml:space="preserve"> </w:t>
      </w:r>
      <w:r w:rsidRPr="00653075">
        <w:rPr>
          <w:rFonts w:ascii="Times New Roman" w:hAnsi="Times New Roman"/>
          <w:lang w:val="en-US"/>
        </w:rPr>
        <w:t>Working</w:t>
      </w:r>
      <w:r>
        <w:rPr>
          <w:rFonts w:ascii="Times New Roman" w:hAnsi="Times New Roman"/>
          <w:lang w:val="en-US"/>
        </w:rPr>
        <w:t xml:space="preserve"> Paper</w:t>
      </w:r>
      <w:r w:rsidRPr="009C6ED3">
        <w:rPr>
          <w:rFonts w:ascii="Times New Roman" w:hAnsi="Times New Roman"/>
          <w:lang w:val="en-US"/>
        </w:rPr>
        <w:t>.</w:t>
      </w:r>
      <w:r>
        <w:rPr>
          <w:rFonts w:ascii="Times New Roman" w:hAnsi="Times New Roman"/>
          <w:lang w:val="en-US"/>
        </w:rPr>
        <w:t xml:space="preserve"> 2012. - N </w:t>
      </w:r>
      <w:r w:rsidRPr="00653075">
        <w:rPr>
          <w:rFonts w:ascii="Times New Roman" w:hAnsi="Times New Roman"/>
          <w:lang w:val="en-US"/>
        </w:rPr>
        <w:t>6070</w:t>
      </w:r>
      <w:r>
        <w:rPr>
          <w:rFonts w:ascii="Times New Roman" w:hAnsi="Times New Roman"/>
          <w:lang w:val="en-US"/>
        </w:rPr>
        <w:t>. - P</w:t>
      </w:r>
      <w:r w:rsidRPr="00653075">
        <w:rPr>
          <w:rFonts w:ascii="Times New Roman" w:hAnsi="Times New Roman"/>
          <w:lang w:val="en-US"/>
        </w:rPr>
        <w:t>.</w:t>
      </w:r>
      <w:r>
        <w:rPr>
          <w:rFonts w:ascii="Times New Roman" w:hAnsi="Times New Roman"/>
          <w:lang w:val="en-US"/>
        </w:rPr>
        <w:t xml:space="preserve"> </w:t>
      </w:r>
      <w:r w:rsidRPr="00653075">
        <w:rPr>
          <w:rFonts w:ascii="Times New Roman" w:hAnsi="Times New Roman"/>
          <w:lang w:val="en-US"/>
        </w:rPr>
        <w:t>16.</w:t>
      </w:r>
    </w:p>
  </w:footnote>
  <w:footnote w:id="4">
    <w:p w:rsidR="00DC1DF6" w:rsidRDefault="00DC1DF6" w:rsidP="00653075">
      <w:pPr>
        <w:pStyle w:val="FootnoteText"/>
        <w:ind w:firstLine="709"/>
        <w:jc w:val="both"/>
      </w:pPr>
      <w:r w:rsidRPr="00653075">
        <w:rPr>
          <w:rStyle w:val="FootnoteReference"/>
          <w:rFonts w:ascii="Times New Roman" w:hAnsi="Times New Roman"/>
        </w:rPr>
        <w:footnoteRef/>
      </w:r>
      <w:r>
        <w:rPr>
          <w:rFonts w:ascii="Times New Roman" w:hAnsi="Times New Roman"/>
          <w:lang w:val="en-US"/>
        </w:rPr>
        <w:t xml:space="preserve"> </w:t>
      </w:r>
      <w:r w:rsidRPr="00653075">
        <w:rPr>
          <w:rFonts w:ascii="Times New Roman" w:hAnsi="Times New Roman"/>
          <w:lang w:val="en-US"/>
        </w:rPr>
        <w:t>Kenan</w:t>
      </w:r>
      <w:r>
        <w:rPr>
          <w:rFonts w:ascii="Times New Roman" w:hAnsi="Times New Roman"/>
          <w:lang w:val="en-US"/>
        </w:rPr>
        <w:t xml:space="preserve"> </w:t>
      </w:r>
      <w:r w:rsidRPr="00653075">
        <w:rPr>
          <w:rFonts w:ascii="Times New Roman" w:hAnsi="Times New Roman"/>
          <w:lang w:val="en-US"/>
        </w:rPr>
        <w:t>P.B.</w:t>
      </w:r>
      <w:r>
        <w:rPr>
          <w:rFonts w:ascii="Times New Roman" w:hAnsi="Times New Roman"/>
          <w:lang w:val="en-US"/>
        </w:rPr>
        <w:t xml:space="preserve"> </w:t>
      </w:r>
      <w:r w:rsidRPr="00653075">
        <w:rPr>
          <w:rFonts w:ascii="Times New Roman" w:hAnsi="Times New Roman"/>
          <w:iCs/>
          <w:lang w:val="en-US"/>
        </w:rPr>
        <w:t>Currency</w:t>
      </w:r>
      <w:r>
        <w:rPr>
          <w:rFonts w:ascii="Times New Roman" w:hAnsi="Times New Roman"/>
          <w:iCs/>
          <w:lang w:val="en-US"/>
        </w:rPr>
        <w:t xml:space="preserve"> </w:t>
      </w:r>
      <w:r w:rsidRPr="00653075">
        <w:rPr>
          <w:rFonts w:ascii="Times New Roman" w:hAnsi="Times New Roman"/>
          <w:iCs/>
          <w:lang w:val="en-US"/>
        </w:rPr>
        <w:t>Internationalization</w:t>
      </w:r>
      <w:r>
        <w:rPr>
          <w:rFonts w:ascii="Times New Roman" w:hAnsi="Times New Roman"/>
          <w:iCs/>
          <w:lang w:val="en-US"/>
        </w:rPr>
        <w:t xml:space="preserve"> </w:t>
      </w:r>
      <w:r w:rsidRPr="00653075">
        <w:rPr>
          <w:rFonts w:ascii="Times New Roman" w:hAnsi="Times New Roman"/>
          <w:iCs/>
          <w:lang w:val="en-US"/>
        </w:rPr>
        <w:t>–</w:t>
      </w:r>
      <w:r>
        <w:rPr>
          <w:rFonts w:ascii="Times New Roman" w:hAnsi="Times New Roman"/>
          <w:iCs/>
          <w:lang w:val="en-US"/>
        </w:rPr>
        <w:t xml:space="preserve"> </w:t>
      </w:r>
      <w:r w:rsidRPr="00653075">
        <w:rPr>
          <w:rFonts w:ascii="Times New Roman" w:hAnsi="Times New Roman"/>
          <w:iCs/>
          <w:lang w:val="en-US"/>
        </w:rPr>
        <w:t>An</w:t>
      </w:r>
      <w:r>
        <w:rPr>
          <w:rFonts w:ascii="Times New Roman" w:hAnsi="Times New Roman"/>
          <w:iCs/>
          <w:lang w:val="en-US"/>
        </w:rPr>
        <w:t xml:space="preserve"> </w:t>
      </w:r>
      <w:r w:rsidRPr="00653075">
        <w:rPr>
          <w:rFonts w:ascii="Times New Roman" w:hAnsi="Times New Roman"/>
          <w:iCs/>
          <w:lang w:val="en-US"/>
        </w:rPr>
        <w:t>Overview</w:t>
      </w:r>
      <w:r w:rsidRPr="00653075">
        <w:rPr>
          <w:rFonts w:ascii="Times New Roman" w:hAnsi="Times New Roman"/>
          <w:lang w:val="en-US"/>
        </w:rPr>
        <w:t>.</w:t>
      </w:r>
      <w:r>
        <w:rPr>
          <w:rFonts w:ascii="Times New Roman" w:hAnsi="Times New Roman"/>
          <w:lang w:val="en-US"/>
        </w:rPr>
        <w:t xml:space="preserve"> </w:t>
      </w:r>
      <w:smartTag w:uri="urn:schemas-microsoft-com:office:smarttags" w:element="PlaceName">
        <w:smartTag w:uri="urn:schemas-microsoft-com:office:smarttags" w:element="place">
          <w:r w:rsidRPr="00653075">
            <w:rPr>
              <w:rFonts w:ascii="Times New Roman" w:hAnsi="Times New Roman"/>
              <w:lang w:val="en-US"/>
            </w:rPr>
            <w:t>Princeton</w:t>
          </w:r>
        </w:smartTag>
        <w:r w:rsidRPr="009C6ED3">
          <w:rPr>
            <w:rFonts w:ascii="Times New Roman" w:hAnsi="Times New Roman"/>
            <w:lang w:val="en-US"/>
          </w:rPr>
          <w:t xml:space="preserve"> </w:t>
        </w:r>
        <w:smartTag w:uri="urn:schemas-microsoft-com:office:smarttags" w:element="place">
          <w:r w:rsidRPr="00653075">
            <w:rPr>
              <w:rFonts w:ascii="Times New Roman" w:hAnsi="Times New Roman"/>
              <w:lang w:val="en-US"/>
            </w:rPr>
            <w:t>University</w:t>
          </w:r>
        </w:smartTag>
      </w:smartTag>
      <w:r>
        <w:rPr>
          <w:rFonts w:ascii="Times New Roman" w:hAnsi="Times New Roman"/>
          <w:lang w:val="en-US"/>
        </w:rPr>
        <w:t>,</w:t>
      </w:r>
      <w:r w:rsidRPr="009C6ED3">
        <w:rPr>
          <w:rFonts w:ascii="Times New Roman" w:hAnsi="Times New Roman"/>
          <w:lang w:val="en-US"/>
        </w:rPr>
        <w:t xml:space="preserve"> 2009.</w:t>
      </w:r>
    </w:p>
  </w:footnote>
  <w:footnote w:id="5">
    <w:p w:rsidR="00DC1DF6" w:rsidRDefault="00DC1DF6" w:rsidP="00653075">
      <w:pPr>
        <w:pStyle w:val="FootnoteText"/>
        <w:ind w:firstLine="709"/>
        <w:jc w:val="both"/>
      </w:pPr>
      <w:r w:rsidRPr="00653075">
        <w:rPr>
          <w:rStyle w:val="FootnoteReference"/>
          <w:rFonts w:ascii="Times New Roman" w:hAnsi="Times New Roman"/>
        </w:rPr>
        <w:footnoteRef/>
      </w:r>
      <w:r w:rsidRPr="009C6ED3">
        <w:rPr>
          <w:rFonts w:ascii="Times New Roman" w:hAnsi="Times New Roman"/>
          <w:lang w:val="en-US"/>
        </w:rPr>
        <w:t xml:space="preserve"> </w:t>
      </w:r>
      <w:r w:rsidRPr="00653075">
        <w:rPr>
          <w:rFonts w:ascii="Times New Roman" w:hAnsi="Times New Roman"/>
        </w:rPr>
        <w:t>Парагвай</w:t>
      </w:r>
      <w:r w:rsidRPr="009C6ED3">
        <w:rPr>
          <w:rFonts w:ascii="Times New Roman" w:hAnsi="Times New Roman"/>
          <w:lang w:val="en-US"/>
        </w:rPr>
        <w:t xml:space="preserve"> </w:t>
      </w:r>
      <w:r w:rsidRPr="00653075">
        <w:rPr>
          <w:rFonts w:ascii="Times New Roman" w:hAnsi="Times New Roman"/>
        </w:rPr>
        <w:t>не</w:t>
      </w:r>
      <w:r w:rsidRPr="009C6ED3">
        <w:rPr>
          <w:rFonts w:ascii="Times New Roman" w:hAnsi="Times New Roman"/>
          <w:lang w:val="en-US"/>
        </w:rPr>
        <w:t xml:space="preserve"> </w:t>
      </w:r>
      <w:r w:rsidRPr="00653075">
        <w:rPr>
          <w:rFonts w:ascii="Times New Roman" w:hAnsi="Times New Roman"/>
        </w:rPr>
        <w:t>осуществляет</w:t>
      </w:r>
      <w:r w:rsidRPr="009C6ED3">
        <w:rPr>
          <w:rFonts w:ascii="Times New Roman" w:hAnsi="Times New Roman"/>
          <w:lang w:val="en-US"/>
        </w:rPr>
        <w:t xml:space="preserve"> </w:t>
      </w:r>
      <w:r w:rsidRPr="00653075">
        <w:rPr>
          <w:rFonts w:ascii="Times New Roman" w:hAnsi="Times New Roman"/>
        </w:rPr>
        <w:t>выпуск</w:t>
      </w:r>
      <w:r w:rsidRPr="009C6ED3">
        <w:rPr>
          <w:rFonts w:ascii="Times New Roman" w:hAnsi="Times New Roman"/>
          <w:lang w:val="en-US"/>
        </w:rPr>
        <w:t xml:space="preserve"> </w:t>
      </w:r>
      <w:r w:rsidRPr="00653075">
        <w:rPr>
          <w:rFonts w:ascii="Times New Roman" w:hAnsi="Times New Roman"/>
        </w:rPr>
        <w:t>международных</w:t>
      </w:r>
      <w:r>
        <w:rPr>
          <w:rFonts w:ascii="Times New Roman" w:hAnsi="Times New Roman"/>
        </w:rPr>
        <w:t xml:space="preserve"> </w:t>
      </w:r>
      <w:r w:rsidRPr="00653075">
        <w:rPr>
          <w:rFonts w:ascii="Times New Roman" w:hAnsi="Times New Roman"/>
        </w:rPr>
        <w:t>облигаций,</w:t>
      </w:r>
      <w:r>
        <w:rPr>
          <w:rFonts w:ascii="Times New Roman" w:hAnsi="Times New Roman"/>
        </w:rPr>
        <w:t xml:space="preserve"> </w:t>
      </w:r>
      <w:r w:rsidRPr="00653075">
        <w:rPr>
          <w:rFonts w:ascii="Times New Roman" w:hAnsi="Times New Roman"/>
        </w:rPr>
        <w:t>выраженных</w:t>
      </w:r>
      <w:r>
        <w:rPr>
          <w:rFonts w:ascii="Times New Roman" w:hAnsi="Times New Roman"/>
        </w:rPr>
        <w:t xml:space="preserve"> </w:t>
      </w:r>
      <w:r w:rsidRPr="00653075">
        <w:rPr>
          <w:rFonts w:ascii="Times New Roman" w:hAnsi="Times New Roman"/>
        </w:rPr>
        <w:t>в</w:t>
      </w:r>
      <w:r>
        <w:rPr>
          <w:rFonts w:ascii="Times New Roman" w:hAnsi="Times New Roman"/>
        </w:rPr>
        <w:t xml:space="preserve"> </w:t>
      </w:r>
      <w:r w:rsidRPr="00653075">
        <w:rPr>
          <w:rFonts w:ascii="Times New Roman" w:hAnsi="Times New Roman"/>
        </w:rPr>
        <w:t>национальной</w:t>
      </w:r>
      <w:r>
        <w:rPr>
          <w:rFonts w:ascii="Times New Roman" w:hAnsi="Times New Roman"/>
        </w:rPr>
        <w:t xml:space="preserve"> </w:t>
      </w:r>
      <w:r w:rsidRPr="00653075">
        <w:rPr>
          <w:rFonts w:ascii="Times New Roman" w:hAnsi="Times New Roman"/>
        </w:rPr>
        <w:t>валюте.</w:t>
      </w:r>
    </w:p>
  </w:footnote>
  <w:footnote w:id="6">
    <w:p w:rsidR="00DC1DF6" w:rsidRDefault="00DC1DF6" w:rsidP="00653075">
      <w:pPr>
        <w:pStyle w:val="FootnoteText"/>
        <w:ind w:firstLine="709"/>
        <w:jc w:val="both"/>
      </w:pPr>
      <w:r w:rsidRPr="00653075">
        <w:rPr>
          <w:rStyle w:val="FootnoteReference"/>
          <w:rFonts w:ascii="Times New Roman" w:hAnsi="Times New Roman"/>
        </w:rPr>
        <w:footnoteRef/>
      </w:r>
      <w:r>
        <w:rPr>
          <w:rFonts w:ascii="Times New Roman" w:hAnsi="Times New Roman"/>
          <w:lang w:val="en-US"/>
        </w:rPr>
        <w:t xml:space="preserve"> </w:t>
      </w:r>
      <w:r w:rsidRPr="00653075">
        <w:rPr>
          <w:rFonts w:ascii="Times New Roman" w:hAnsi="Times New Roman"/>
          <w:color w:val="000000"/>
          <w:lang w:val="en-US"/>
        </w:rPr>
        <w:t>Brummer</w:t>
      </w:r>
      <w:r>
        <w:rPr>
          <w:rFonts w:ascii="Times New Roman" w:hAnsi="Times New Roman"/>
          <w:color w:val="000000"/>
          <w:lang w:val="en-US"/>
        </w:rPr>
        <w:t xml:space="preserve"> </w:t>
      </w:r>
      <w:r w:rsidRPr="00653075">
        <w:rPr>
          <w:rFonts w:ascii="Times New Roman" w:hAnsi="Times New Roman"/>
          <w:color w:val="000000"/>
          <w:lang w:val="en-US"/>
        </w:rPr>
        <w:t>C.</w:t>
      </w:r>
      <w:r>
        <w:rPr>
          <w:rFonts w:ascii="Times New Roman" w:hAnsi="Times New Roman"/>
          <w:color w:val="000000"/>
          <w:lang w:val="en-US"/>
        </w:rPr>
        <w:t xml:space="preserve"> </w:t>
      </w:r>
      <w:r w:rsidRPr="00653075">
        <w:rPr>
          <w:rFonts w:ascii="Times New Roman" w:hAnsi="Times New Roman"/>
          <w:iCs/>
          <w:color w:val="000000"/>
          <w:lang w:val="en-US"/>
        </w:rPr>
        <w:t>Minilateralism:</w:t>
      </w:r>
      <w:r>
        <w:rPr>
          <w:rFonts w:ascii="Times New Roman" w:hAnsi="Times New Roman"/>
          <w:iCs/>
          <w:color w:val="000000"/>
          <w:lang w:val="en-US"/>
        </w:rPr>
        <w:t xml:space="preserve"> </w:t>
      </w:r>
      <w:r w:rsidRPr="00653075">
        <w:rPr>
          <w:rFonts w:ascii="Times New Roman" w:hAnsi="Times New Roman"/>
          <w:iCs/>
          <w:color w:val="000000"/>
          <w:lang w:val="en-US"/>
        </w:rPr>
        <w:t>How</w:t>
      </w:r>
      <w:r>
        <w:rPr>
          <w:rFonts w:ascii="Times New Roman" w:hAnsi="Times New Roman"/>
          <w:iCs/>
          <w:color w:val="000000"/>
          <w:lang w:val="en-US"/>
        </w:rPr>
        <w:t xml:space="preserve"> </w:t>
      </w:r>
      <w:r w:rsidRPr="00653075">
        <w:rPr>
          <w:rFonts w:ascii="Times New Roman" w:hAnsi="Times New Roman"/>
          <w:iCs/>
          <w:color w:val="000000"/>
          <w:lang w:val="en-US"/>
        </w:rPr>
        <w:t>Trade</w:t>
      </w:r>
      <w:r>
        <w:rPr>
          <w:rFonts w:ascii="Times New Roman" w:hAnsi="Times New Roman"/>
          <w:iCs/>
          <w:color w:val="000000"/>
          <w:lang w:val="en-US"/>
        </w:rPr>
        <w:t xml:space="preserve"> </w:t>
      </w:r>
      <w:r w:rsidRPr="00653075">
        <w:rPr>
          <w:rFonts w:ascii="Times New Roman" w:hAnsi="Times New Roman"/>
          <w:iCs/>
          <w:color w:val="000000"/>
          <w:lang w:val="en-US"/>
        </w:rPr>
        <w:t>Alliances,</w:t>
      </w:r>
      <w:r>
        <w:rPr>
          <w:rFonts w:ascii="Times New Roman" w:hAnsi="Times New Roman"/>
          <w:iCs/>
          <w:color w:val="000000"/>
          <w:lang w:val="en-US"/>
        </w:rPr>
        <w:t xml:space="preserve"> </w:t>
      </w:r>
      <w:r w:rsidRPr="00653075">
        <w:rPr>
          <w:rFonts w:ascii="Times New Roman" w:hAnsi="Times New Roman"/>
          <w:iCs/>
          <w:color w:val="000000"/>
          <w:lang w:val="en-US"/>
        </w:rPr>
        <w:t>Soft</w:t>
      </w:r>
      <w:r>
        <w:rPr>
          <w:rFonts w:ascii="Times New Roman" w:hAnsi="Times New Roman"/>
          <w:iCs/>
          <w:color w:val="000000"/>
          <w:lang w:val="en-US"/>
        </w:rPr>
        <w:t xml:space="preserve"> </w:t>
      </w:r>
      <w:r w:rsidRPr="00653075">
        <w:rPr>
          <w:rFonts w:ascii="Times New Roman" w:hAnsi="Times New Roman"/>
          <w:iCs/>
          <w:color w:val="000000"/>
          <w:lang w:val="en-US"/>
        </w:rPr>
        <w:t>Law</w:t>
      </w:r>
      <w:r>
        <w:rPr>
          <w:rFonts w:ascii="Times New Roman" w:hAnsi="Times New Roman"/>
          <w:iCs/>
          <w:color w:val="000000"/>
          <w:lang w:val="en-US"/>
        </w:rPr>
        <w:t xml:space="preserve"> </w:t>
      </w:r>
      <w:r w:rsidRPr="00653075">
        <w:rPr>
          <w:rFonts w:ascii="Times New Roman" w:hAnsi="Times New Roman"/>
          <w:iCs/>
          <w:color w:val="000000"/>
          <w:lang w:val="en-US"/>
        </w:rPr>
        <w:t>and</w:t>
      </w:r>
      <w:r>
        <w:rPr>
          <w:rFonts w:ascii="Times New Roman" w:hAnsi="Times New Roman"/>
          <w:iCs/>
          <w:color w:val="000000"/>
          <w:lang w:val="en-US"/>
        </w:rPr>
        <w:t xml:space="preserve"> </w:t>
      </w:r>
      <w:r w:rsidRPr="00653075">
        <w:rPr>
          <w:rFonts w:ascii="Times New Roman" w:hAnsi="Times New Roman"/>
          <w:iCs/>
          <w:color w:val="000000"/>
          <w:lang w:val="en-US"/>
        </w:rPr>
        <w:t>Financial</w:t>
      </w:r>
      <w:r>
        <w:rPr>
          <w:rFonts w:ascii="Times New Roman" w:hAnsi="Times New Roman"/>
          <w:iCs/>
          <w:color w:val="000000"/>
          <w:lang w:val="en-US"/>
        </w:rPr>
        <w:t xml:space="preserve"> </w:t>
      </w:r>
      <w:r w:rsidRPr="00653075">
        <w:rPr>
          <w:rFonts w:ascii="Times New Roman" w:hAnsi="Times New Roman"/>
          <w:iCs/>
          <w:color w:val="000000"/>
          <w:lang w:val="en-US"/>
        </w:rPr>
        <w:t>Engineering</w:t>
      </w:r>
      <w:r>
        <w:rPr>
          <w:rFonts w:ascii="Times New Roman" w:hAnsi="Times New Roman"/>
          <w:iCs/>
          <w:color w:val="000000"/>
          <w:lang w:val="en-US"/>
        </w:rPr>
        <w:t xml:space="preserve"> </w:t>
      </w:r>
      <w:r w:rsidRPr="00653075">
        <w:rPr>
          <w:rFonts w:ascii="Times New Roman" w:hAnsi="Times New Roman"/>
          <w:iCs/>
          <w:color w:val="000000"/>
          <w:lang w:val="en-US"/>
        </w:rPr>
        <w:t>are</w:t>
      </w:r>
      <w:r>
        <w:rPr>
          <w:rFonts w:ascii="Times New Roman" w:hAnsi="Times New Roman"/>
          <w:iCs/>
          <w:color w:val="000000"/>
          <w:lang w:val="en-US"/>
        </w:rPr>
        <w:t xml:space="preserve"> </w:t>
      </w:r>
      <w:r w:rsidRPr="00653075">
        <w:rPr>
          <w:rFonts w:ascii="Times New Roman" w:hAnsi="Times New Roman"/>
          <w:iCs/>
          <w:color w:val="000000"/>
          <w:lang w:val="en-US"/>
        </w:rPr>
        <w:t>Redefining</w:t>
      </w:r>
      <w:r>
        <w:rPr>
          <w:rFonts w:ascii="Times New Roman" w:hAnsi="Times New Roman"/>
          <w:iCs/>
          <w:color w:val="000000"/>
          <w:lang w:val="en-US"/>
        </w:rPr>
        <w:t xml:space="preserve"> </w:t>
      </w:r>
      <w:r w:rsidRPr="00653075">
        <w:rPr>
          <w:rFonts w:ascii="Times New Roman" w:hAnsi="Times New Roman"/>
          <w:iCs/>
          <w:color w:val="000000"/>
          <w:lang w:val="en-US"/>
        </w:rPr>
        <w:t>Economic</w:t>
      </w:r>
      <w:r>
        <w:rPr>
          <w:rFonts w:ascii="Times New Roman" w:hAnsi="Times New Roman"/>
          <w:iCs/>
          <w:color w:val="000000"/>
          <w:lang w:val="en-US"/>
        </w:rPr>
        <w:t xml:space="preserve"> </w:t>
      </w:r>
      <w:r w:rsidRPr="00653075">
        <w:rPr>
          <w:rFonts w:ascii="Times New Roman" w:hAnsi="Times New Roman"/>
          <w:iCs/>
          <w:color w:val="000000"/>
          <w:lang w:val="en-US"/>
        </w:rPr>
        <w:t>Statecraft</w:t>
      </w:r>
      <w:r>
        <w:rPr>
          <w:rFonts w:ascii="Times New Roman" w:hAnsi="Times New Roman"/>
          <w:iCs/>
          <w:color w:val="000000"/>
          <w:lang w:val="en-US"/>
        </w:rPr>
        <w:t xml:space="preserve">. - </w:t>
      </w:r>
      <w:r w:rsidRPr="00653075">
        <w:rPr>
          <w:rFonts w:ascii="Times New Roman" w:hAnsi="Times New Roman"/>
          <w:color w:val="000000"/>
          <w:lang w:val="en-US"/>
        </w:rPr>
        <w:t>Cambridge:</w:t>
      </w:r>
      <w:r>
        <w:rPr>
          <w:rFonts w:ascii="Times New Roman" w:hAnsi="Times New Roman"/>
          <w:color w:val="000000"/>
          <w:lang w:val="en-US"/>
        </w:rPr>
        <w:t xml:space="preserve"> </w:t>
      </w:r>
      <w:r w:rsidRPr="00653075">
        <w:rPr>
          <w:rFonts w:ascii="Times New Roman" w:hAnsi="Times New Roman"/>
          <w:color w:val="000000"/>
          <w:lang w:val="en-US"/>
        </w:rPr>
        <w:t>Cambridge</w:t>
      </w:r>
      <w:r>
        <w:rPr>
          <w:rFonts w:ascii="Times New Roman" w:hAnsi="Times New Roman"/>
          <w:color w:val="000000"/>
          <w:lang w:val="en-US"/>
        </w:rPr>
        <w:t xml:space="preserve"> </w:t>
      </w:r>
      <w:r w:rsidRPr="00653075">
        <w:rPr>
          <w:rFonts w:ascii="Times New Roman" w:hAnsi="Times New Roman"/>
          <w:color w:val="000000"/>
          <w:lang w:val="en-US"/>
        </w:rPr>
        <w:t>University</w:t>
      </w:r>
      <w:r>
        <w:rPr>
          <w:rFonts w:ascii="Times New Roman" w:hAnsi="Times New Roman"/>
          <w:color w:val="000000"/>
          <w:lang w:val="en-US"/>
        </w:rPr>
        <w:t xml:space="preserve"> </w:t>
      </w:r>
      <w:r w:rsidRPr="00653075">
        <w:rPr>
          <w:rFonts w:ascii="Times New Roman" w:hAnsi="Times New Roman"/>
          <w:color w:val="000000"/>
          <w:lang w:val="en-US"/>
        </w:rPr>
        <w:t>Press</w:t>
      </w:r>
      <w:r>
        <w:rPr>
          <w:rFonts w:ascii="Times New Roman" w:hAnsi="Times New Roman"/>
          <w:color w:val="000000"/>
          <w:lang w:val="en-US"/>
        </w:rPr>
        <w:t xml:space="preserve">, </w:t>
      </w:r>
      <w:r w:rsidRPr="00653075">
        <w:rPr>
          <w:rFonts w:ascii="Times New Roman" w:hAnsi="Times New Roman"/>
          <w:color w:val="000000"/>
          <w:lang w:val="en-US"/>
        </w:rPr>
        <w:t>2014.</w:t>
      </w:r>
    </w:p>
  </w:footnote>
  <w:footnote w:id="7">
    <w:p w:rsidR="00DC1DF6" w:rsidRDefault="00DC1DF6" w:rsidP="00653075">
      <w:pPr>
        <w:pStyle w:val="FootnoteText"/>
        <w:ind w:firstLine="709"/>
        <w:jc w:val="both"/>
      </w:pPr>
      <w:r w:rsidRPr="00653075">
        <w:rPr>
          <w:rStyle w:val="FootnoteReference"/>
          <w:rFonts w:ascii="Times New Roman" w:hAnsi="Times New Roman"/>
        </w:rPr>
        <w:footnoteRef/>
      </w:r>
      <w:r>
        <w:rPr>
          <w:rFonts w:ascii="Times New Roman" w:hAnsi="Times New Roman"/>
          <w:lang w:val="en-US"/>
        </w:rPr>
        <w:t xml:space="preserve"> </w:t>
      </w:r>
      <w:r w:rsidRPr="00653075">
        <w:rPr>
          <w:rFonts w:ascii="Times New Roman" w:hAnsi="Times New Roman"/>
          <w:color w:val="000000"/>
          <w:lang w:val="en-US"/>
        </w:rPr>
        <w:t>Naim</w:t>
      </w:r>
      <w:r>
        <w:rPr>
          <w:rFonts w:ascii="Times New Roman" w:hAnsi="Times New Roman"/>
          <w:color w:val="000000"/>
          <w:lang w:val="en-US"/>
        </w:rPr>
        <w:t xml:space="preserve"> </w:t>
      </w:r>
      <w:r w:rsidRPr="00653075">
        <w:rPr>
          <w:rFonts w:ascii="Times New Roman" w:hAnsi="Times New Roman"/>
          <w:color w:val="000000"/>
          <w:lang w:val="en-US"/>
        </w:rPr>
        <w:t>M.</w:t>
      </w:r>
      <w:r>
        <w:rPr>
          <w:rFonts w:ascii="Times New Roman" w:hAnsi="Times New Roman"/>
          <w:color w:val="000000"/>
          <w:lang w:val="en-US"/>
        </w:rPr>
        <w:t xml:space="preserve"> </w:t>
      </w:r>
      <w:r w:rsidRPr="00653075">
        <w:rPr>
          <w:rFonts w:ascii="Times New Roman" w:hAnsi="Times New Roman"/>
          <w:color w:val="000000"/>
          <w:lang w:val="en-US"/>
        </w:rPr>
        <w:t>Minilateralism:</w:t>
      </w:r>
      <w:r>
        <w:rPr>
          <w:rFonts w:ascii="Times New Roman" w:hAnsi="Times New Roman"/>
          <w:color w:val="000000"/>
          <w:lang w:val="en-US"/>
        </w:rPr>
        <w:t xml:space="preserve"> </w:t>
      </w:r>
      <w:r w:rsidRPr="00653075">
        <w:rPr>
          <w:rFonts w:ascii="Times New Roman" w:hAnsi="Times New Roman"/>
          <w:color w:val="000000"/>
          <w:lang w:val="en-US"/>
        </w:rPr>
        <w:t>The</w:t>
      </w:r>
      <w:r>
        <w:rPr>
          <w:rFonts w:ascii="Times New Roman" w:hAnsi="Times New Roman"/>
          <w:color w:val="000000"/>
          <w:lang w:val="en-US"/>
        </w:rPr>
        <w:t xml:space="preserve"> </w:t>
      </w:r>
      <w:r w:rsidRPr="00653075">
        <w:rPr>
          <w:rFonts w:ascii="Times New Roman" w:hAnsi="Times New Roman"/>
          <w:color w:val="000000"/>
          <w:lang w:val="en-US"/>
        </w:rPr>
        <w:t>Magic</w:t>
      </w:r>
      <w:r>
        <w:rPr>
          <w:rFonts w:ascii="Times New Roman" w:hAnsi="Times New Roman"/>
          <w:color w:val="000000"/>
          <w:lang w:val="en-US"/>
        </w:rPr>
        <w:t xml:space="preserve"> </w:t>
      </w:r>
      <w:r w:rsidRPr="00653075">
        <w:rPr>
          <w:rFonts w:ascii="Times New Roman" w:hAnsi="Times New Roman"/>
          <w:color w:val="000000"/>
          <w:lang w:val="en-US"/>
        </w:rPr>
        <w:t>Number</w:t>
      </w:r>
      <w:r>
        <w:rPr>
          <w:rFonts w:ascii="Times New Roman" w:hAnsi="Times New Roman"/>
          <w:color w:val="000000"/>
          <w:lang w:val="en-US"/>
        </w:rPr>
        <w:t xml:space="preserve"> </w:t>
      </w:r>
      <w:r w:rsidRPr="00653075">
        <w:rPr>
          <w:rFonts w:ascii="Times New Roman" w:hAnsi="Times New Roman"/>
          <w:color w:val="000000"/>
          <w:lang w:val="en-US"/>
        </w:rPr>
        <w:t>to</w:t>
      </w:r>
      <w:r>
        <w:rPr>
          <w:rFonts w:ascii="Times New Roman" w:hAnsi="Times New Roman"/>
          <w:color w:val="000000"/>
          <w:lang w:val="en-US"/>
        </w:rPr>
        <w:t xml:space="preserve"> </w:t>
      </w:r>
      <w:r w:rsidRPr="00653075">
        <w:rPr>
          <w:rFonts w:ascii="Times New Roman" w:hAnsi="Times New Roman"/>
          <w:color w:val="000000"/>
          <w:lang w:val="en-US"/>
        </w:rPr>
        <w:t>Get</w:t>
      </w:r>
      <w:r>
        <w:rPr>
          <w:rFonts w:ascii="Times New Roman" w:hAnsi="Times New Roman"/>
          <w:color w:val="000000"/>
          <w:lang w:val="en-US"/>
        </w:rPr>
        <w:t xml:space="preserve"> </w:t>
      </w:r>
      <w:r w:rsidRPr="00653075">
        <w:rPr>
          <w:rFonts w:ascii="Times New Roman" w:hAnsi="Times New Roman"/>
          <w:color w:val="000000"/>
          <w:lang w:val="en-US"/>
        </w:rPr>
        <w:t>Real</w:t>
      </w:r>
      <w:r>
        <w:rPr>
          <w:rFonts w:ascii="Times New Roman" w:hAnsi="Times New Roman"/>
          <w:color w:val="000000"/>
          <w:lang w:val="en-US"/>
        </w:rPr>
        <w:t xml:space="preserve"> </w:t>
      </w:r>
      <w:r w:rsidRPr="00653075">
        <w:rPr>
          <w:rFonts w:ascii="Times New Roman" w:hAnsi="Times New Roman"/>
          <w:color w:val="000000"/>
          <w:lang w:val="en-US"/>
        </w:rPr>
        <w:t>International</w:t>
      </w:r>
      <w:r>
        <w:rPr>
          <w:rFonts w:ascii="Times New Roman" w:hAnsi="Times New Roman"/>
          <w:color w:val="000000"/>
          <w:lang w:val="en-US"/>
        </w:rPr>
        <w:t xml:space="preserve"> </w:t>
      </w:r>
      <w:r w:rsidRPr="00653075">
        <w:rPr>
          <w:rFonts w:ascii="Times New Roman" w:hAnsi="Times New Roman"/>
          <w:color w:val="000000"/>
          <w:lang w:val="en-US"/>
        </w:rPr>
        <w:t>Action</w:t>
      </w:r>
      <w:r>
        <w:rPr>
          <w:rFonts w:ascii="Times New Roman" w:hAnsi="Times New Roman"/>
          <w:color w:val="000000"/>
          <w:lang w:val="en-US"/>
        </w:rPr>
        <w:t xml:space="preserve"> </w:t>
      </w:r>
      <w:r w:rsidRPr="00653075">
        <w:rPr>
          <w:rFonts w:ascii="Times New Roman" w:hAnsi="Times New Roman"/>
          <w:color w:val="000000"/>
          <w:lang w:val="en-US"/>
        </w:rPr>
        <w:t>//</w:t>
      </w:r>
      <w:r>
        <w:rPr>
          <w:rFonts w:ascii="Times New Roman" w:hAnsi="Times New Roman"/>
          <w:color w:val="000000"/>
          <w:lang w:val="en-US"/>
        </w:rPr>
        <w:t xml:space="preserve"> </w:t>
      </w:r>
      <w:r w:rsidRPr="00653075">
        <w:rPr>
          <w:rFonts w:ascii="Times New Roman" w:hAnsi="Times New Roman"/>
          <w:iCs/>
          <w:color w:val="000000"/>
          <w:lang w:val="en-US"/>
        </w:rPr>
        <w:t>Foreign</w:t>
      </w:r>
      <w:r>
        <w:rPr>
          <w:rFonts w:ascii="Times New Roman" w:hAnsi="Times New Roman"/>
          <w:iCs/>
          <w:color w:val="000000"/>
          <w:lang w:val="en-US"/>
        </w:rPr>
        <w:t xml:space="preserve"> </w:t>
      </w:r>
      <w:r w:rsidRPr="00653075">
        <w:rPr>
          <w:rFonts w:ascii="Times New Roman" w:hAnsi="Times New Roman"/>
          <w:iCs/>
          <w:color w:val="000000"/>
          <w:lang w:val="en-US"/>
        </w:rPr>
        <w:t>Policy.</w:t>
      </w:r>
      <w:r>
        <w:rPr>
          <w:rFonts w:ascii="Times New Roman" w:hAnsi="Times New Roman"/>
          <w:iCs/>
          <w:color w:val="000000"/>
          <w:lang w:val="en-US"/>
        </w:rPr>
        <w:t xml:space="preserve"> </w:t>
      </w:r>
      <w:r w:rsidRPr="00653075">
        <w:rPr>
          <w:rFonts w:ascii="Times New Roman" w:hAnsi="Times New Roman"/>
          <w:color w:val="000000"/>
          <w:lang w:val="en-US"/>
        </w:rPr>
        <w:t>2009.</w:t>
      </w:r>
      <w:r>
        <w:rPr>
          <w:rFonts w:ascii="Times New Roman" w:hAnsi="Times New Roman"/>
          <w:color w:val="000000"/>
          <w:lang w:val="en-US"/>
        </w:rPr>
        <w:t xml:space="preserve"> – N </w:t>
      </w:r>
      <w:r w:rsidRPr="00653075">
        <w:rPr>
          <w:rFonts w:ascii="Times New Roman" w:hAnsi="Times New Roman"/>
          <w:color w:val="000000"/>
          <w:lang w:val="en-US"/>
        </w:rPr>
        <w:t>173.</w:t>
      </w:r>
      <w:r>
        <w:rPr>
          <w:rFonts w:ascii="Times New Roman" w:hAnsi="Times New Roman"/>
          <w:color w:val="000000"/>
          <w:lang w:val="en-US"/>
        </w:rPr>
        <w:t xml:space="preserve"> - </w:t>
      </w:r>
      <w:r w:rsidRPr="00653075">
        <w:rPr>
          <w:rFonts w:ascii="Times New Roman" w:hAnsi="Times New Roman"/>
          <w:color w:val="000000"/>
        </w:rPr>
        <w:t>Р</w:t>
      </w:r>
      <w:r w:rsidRPr="00653075">
        <w:rPr>
          <w:rFonts w:ascii="Times New Roman" w:hAnsi="Times New Roman"/>
          <w:color w:val="000000"/>
          <w:lang w:val="en-US"/>
        </w:rPr>
        <w:t>.135</w:t>
      </w:r>
      <w:r w:rsidRPr="00653075">
        <w:rPr>
          <w:rFonts w:ascii="Times New Roman" w:hAnsi="Times New Roman"/>
          <w:lang w:val="en-US"/>
        </w:rPr>
        <w:t>–</w:t>
      </w:r>
      <w:r w:rsidRPr="00653075">
        <w:rPr>
          <w:rFonts w:ascii="Times New Roman" w:hAnsi="Times New Roman"/>
          <w:color w:val="000000"/>
          <w:lang w:val="en-US"/>
        </w:rPr>
        <w:t>136.</w:t>
      </w:r>
    </w:p>
  </w:footnote>
  <w:footnote w:id="8">
    <w:p w:rsidR="00DC1DF6" w:rsidRDefault="00DC1DF6" w:rsidP="00653075">
      <w:pPr>
        <w:pStyle w:val="FootnoteText"/>
        <w:ind w:firstLine="709"/>
        <w:jc w:val="both"/>
      </w:pPr>
      <w:r w:rsidRPr="00653075">
        <w:rPr>
          <w:rStyle w:val="FootnoteReference"/>
          <w:rFonts w:ascii="Times New Roman" w:hAnsi="Times New Roman"/>
        </w:rPr>
        <w:footnoteRef/>
      </w:r>
      <w:r>
        <w:rPr>
          <w:rFonts w:ascii="Times New Roman" w:hAnsi="Times New Roman"/>
          <w:lang w:val="en-US"/>
        </w:rPr>
        <w:t xml:space="preserve"> </w:t>
      </w:r>
      <w:r w:rsidRPr="00653075">
        <w:rPr>
          <w:rFonts w:ascii="Times New Roman" w:hAnsi="Times New Roman"/>
          <w:lang w:val="en-US"/>
        </w:rPr>
        <w:t>Heever</w:t>
      </w:r>
      <w:r>
        <w:rPr>
          <w:rFonts w:ascii="Times New Roman" w:hAnsi="Times New Roman"/>
          <w:lang w:val="en-US"/>
        </w:rPr>
        <w:t xml:space="preserve"> </w:t>
      </w:r>
      <w:r w:rsidRPr="00653075">
        <w:rPr>
          <w:rFonts w:ascii="Times New Roman" w:hAnsi="Times New Roman"/>
          <w:lang w:val="en-US"/>
        </w:rPr>
        <w:t>J.,</w:t>
      </w:r>
      <w:r>
        <w:rPr>
          <w:rFonts w:ascii="Times New Roman" w:hAnsi="Times New Roman"/>
          <w:lang w:val="en-US"/>
        </w:rPr>
        <w:t xml:space="preserve"> </w:t>
      </w:r>
      <w:r w:rsidRPr="00653075">
        <w:rPr>
          <w:rFonts w:ascii="Times New Roman" w:hAnsi="Times New Roman"/>
          <w:lang w:val="en-US"/>
        </w:rPr>
        <w:t>van</w:t>
      </w:r>
      <w:r>
        <w:rPr>
          <w:rFonts w:ascii="Times New Roman" w:hAnsi="Times New Roman"/>
          <w:lang w:val="en-US"/>
        </w:rPr>
        <w:t xml:space="preserve"> </w:t>
      </w:r>
      <w:r w:rsidRPr="00653075">
        <w:rPr>
          <w:rFonts w:ascii="Times New Roman" w:hAnsi="Times New Roman"/>
          <w:lang w:val="en-US"/>
        </w:rPr>
        <w:t>den.</w:t>
      </w:r>
      <w:r>
        <w:rPr>
          <w:rFonts w:ascii="Times New Roman" w:hAnsi="Times New Roman"/>
          <w:lang w:val="en-US"/>
        </w:rPr>
        <w:t xml:space="preserve"> </w:t>
      </w:r>
      <w:r w:rsidRPr="00653075">
        <w:rPr>
          <w:rFonts w:ascii="Times New Roman" w:hAnsi="Times New Roman"/>
          <w:lang w:val="en-US"/>
        </w:rPr>
        <w:t>External</w:t>
      </w:r>
      <w:r>
        <w:rPr>
          <w:rFonts w:ascii="Times New Roman" w:hAnsi="Times New Roman"/>
          <w:lang w:val="en-US"/>
        </w:rPr>
        <w:t xml:space="preserve"> </w:t>
      </w:r>
      <w:r w:rsidRPr="00653075">
        <w:rPr>
          <w:rFonts w:ascii="Times New Roman" w:hAnsi="Times New Roman"/>
          <w:lang w:val="en-US"/>
        </w:rPr>
        <w:t>Use</w:t>
      </w:r>
      <w:r>
        <w:rPr>
          <w:rFonts w:ascii="Times New Roman" w:hAnsi="Times New Roman"/>
          <w:lang w:val="en-US"/>
        </w:rPr>
        <w:t xml:space="preserve"> </w:t>
      </w:r>
      <w:r w:rsidRPr="00653075">
        <w:rPr>
          <w:rFonts w:ascii="Times New Roman" w:hAnsi="Times New Roman"/>
          <w:lang w:val="en-US"/>
        </w:rPr>
        <w:t>of</w:t>
      </w:r>
      <w:r>
        <w:rPr>
          <w:rFonts w:ascii="Times New Roman" w:hAnsi="Times New Roman"/>
          <w:lang w:val="en-US"/>
        </w:rPr>
        <w:t xml:space="preserve"> </w:t>
      </w:r>
      <w:r w:rsidRPr="00653075">
        <w:rPr>
          <w:rFonts w:ascii="Times New Roman" w:hAnsi="Times New Roman"/>
          <w:lang w:val="en-US"/>
        </w:rPr>
        <w:t>the</w:t>
      </w:r>
      <w:r>
        <w:rPr>
          <w:rFonts w:ascii="Times New Roman" w:hAnsi="Times New Roman"/>
          <w:lang w:val="en-US"/>
        </w:rPr>
        <w:t xml:space="preserve"> </w:t>
      </w:r>
      <w:r w:rsidRPr="00653075">
        <w:rPr>
          <w:rFonts w:ascii="Times New Roman" w:hAnsi="Times New Roman"/>
          <w:lang w:val="en-US"/>
        </w:rPr>
        <w:t>South</w:t>
      </w:r>
      <w:r>
        <w:rPr>
          <w:rFonts w:ascii="Times New Roman" w:hAnsi="Times New Roman"/>
          <w:lang w:val="en-US"/>
        </w:rPr>
        <w:t xml:space="preserve"> </w:t>
      </w:r>
      <w:r w:rsidRPr="00653075">
        <w:rPr>
          <w:rFonts w:ascii="Times New Roman" w:hAnsi="Times New Roman"/>
          <w:lang w:val="en-US"/>
        </w:rPr>
        <w:t>African</w:t>
      </w:r>
      <w:r>
        <w:rPr>
          <w:rFonts w:ascii="Times New Roman" w:hAnsi="Times New Roman"/>
          <w:lang w:val="en-US"/>
        </w:rPr>
        <w:t xml:space="preserve"> </w:t>
      </w:r>
      <w:r w:rsidRPr="00653075">
        <w:rPr>
          <w:rFonts w:ascii="Times New Roman" w:hAnsi="Times New Roman"/>
          <w:lang w:val="en-US"/>
        </w:rPr>
        <w:t>Rand</w:t>
      </w:r>
      <w:r w:rsidRPr="00D538B1">
        <w:rPr>
          <w:rFonts w:ascii="Times New Roman" w:hAnsi="Times New Roman"/>
          <w:lang w:val="en-US"/>
        </w:rPr>
        <w:t xml:space="preserve"> //</w:t>
      </w:r>
      <w:r>
        <w:rPr>
          <w:rFonts w:ascii="Times New Roman" w:hAnsi="Times New Roman"/>
          <w:lang w:val="en-US"/>
        </w:rPr>
        <w:t xml:space="preserve"> </w:t>
      </w:r>
      <w:r w:rsidRPr="00653075">
        <w:rPr>
          <w:rFonts w:ascii="Times New Roman" w:hAnsi="Times New Roman"/>
          <w:lang w:val="en-US"/>
        </w:rPr>
        <w:t>In</w:t>
      </w:r>
      <w:r>
        <w:rPr>
          <w:rFonts w:ascii="Times New Roman" w:hAnsi="Times New Roman"/>
          <w:lang w:val="en-US"/>
        </w:rPr>
        <w:t xml:space="preserve"> </w:t>
      </w:r>
      <w:r w:rsidRPr="00653075">
        <w:rPr>
          <w:rFonts w:ascii="Times New Roman" w:hAnsi="Times New Roman"/>
          <w:iCs/>
          <w:lang w:val="en-US"/>
        </w:rPr>
        <w:t>Currency</w:t>
      </w:r>
      <w:r>
        <w:rPr>
          <w:rFonts w:ascii="Times New Roman" w:hAnsi="Times New Roman"/>
          <w:iCs/>
          <w:lang w:val="en-US"/>
        </w:rPr>
        <w:t xml:space="preserve"> </w:t>
      </w:r>
      <w:r w:rsidRPr="00653075">
        <w:rPr>
          <w:rFonts w:ascii="Times New Roman" w:hAnsi="Times New Roman"/>
          <w:iCs/>
          <w:lang w:val="en-US"/>
        </w:rPr>
        <w:t>Internationalisation:</w:t>
      </w:r>
      <w:r>
        <w:rPr>
          <w:rFonts w:ascii="Times New Roman" w:hAnsi="Times New Roman"/>
          <w:iCs/>
          <w:lang w:val="en-US"/>
        </w:rPr>
        <w:t xml:space="preserve"> </w:t>
      </w:r>
      <w:r w:rsidRPr="00653075">
        <w:rPr>
          <w:rFonts w:ascii="Times New Roman" w:hAnsi="Times New Roman"/>
          <w:iCs/>
          <w:lang w:val="en-US"/>
        </w:rPr>
        <w:t>Global</w:t>
      </w:r>
      <w:r>
        <w:rPr>
          <w:rFonts w:ascii="Times New Roman" w:hAnsi="Times New Roman"/>
          <w:lang w:val="en-US"/>
        </w:rPr>
        <w:t xml:space="preserve"> </w:t>
      </w:r>
      <w:r w:rsidRPr="00653075">
        <w:rPr>
          <w:rFonts w:ascii="Times New Roman" w:hAnsi="Times New Roman"/>
          <w:iCs/>
          <w:lang w:val="en-US"/>
        </w:rPr>
        <w:t>Experiences</w:t>
      </w:r>
      <w:r>
        <w:rPr>
          <w:rFonts w:ascii="Times New Roman" w:hAnsi="Times New Roman"/>
          <w:iCs/>
          <w:lang w:val="en-US"/>
        </w:rPr>
        <w:t xml:space="preserve"> </w:t>
      </w:r>
      <w:r w:rsidRPr="00653075">
        <w:rPr>
          <w:rFonts w:ascii="Times New Roman" w:hAnsi="Times New Roman"/>
          <w:iCs/>
          <w:lang w:val="en-US"/>
        </w:rPr>
        <w:t>and</w:t>
      </w:r>
      <w:r>
        <w:rPr>
          <w:rFonts w:ascii="Times New Roman" w:hAnsi="Times New Roman"/>
          <w:iCs/>
          <w:lang w:val="en-US"/>
        </w:rPr>
        <w:t xml:space="preserve"> </w:t>
      </w:r>
      <w:r w:rsidRPr="00653075">
        <w:rPr>
          <w:rFonts w:ascii="Times New Roman" w:hAnsi="Times New Roman"/>
          <w:iCs/>
          <w:lang w:val="en-US"/>
        </w:rPr>
        <w:t>Implications</w:t>
      </w:r>
      <w:r>
        <w:rPr>
          <w:rFonts w:ascii="Times New Roman" w:hAnsi="Times New Roman"/>
          <w:iCs/>
          <w:lang w:val="en-US"/>
        </w:rPr>
        <w:t xml:space="preserve"> </w:t>
      </w:r>
      <w:r w:rsidRPr="00653075">
        <w:rPr>
          <w:rFonts w:ascii="Times New Roman" w:hAnsi="Times New Roman"/>
          <w:iCs/>
          <w:lang w:val="en-US"/>
        </w:rPr>
        <w:t>for</w:t>
      </w:r>
      <w:r>
        <w:rPr>
          <w:rFonts w:ascii="Times New Roman" w:hAnsi="Times New Roman"/>
          <w:iCs/>
          <w:lang w:val="en-US"/>
        </w:rPr>
        <w:t xml:space="preserve"> </w:t>
      </w:r>
      <w:r w:rsidRPr="00653075">
        <w:rPr>
          <w:rFonts w:ascii="Times New Roman" w:hAnsi="Times New Roman"/>
          <w:iCs/>
          <w:lang w:val="en-US"/>
        </w:rPr>
        <w:t>the</w:t>
      </w:r>
      <w:r>
        <w:rPr>
          <w:rFonts w:ascii="Times New Roman" w:hAnsi="Times New Roman"/>
          <w:iCs/>
          <w:lang w:val="en-US"/>
        </w:rPr>
        <w:t xml:space="preserve"> </w:t>
      </w:r>
      <w:r w:rsidRPr="00653075">
        <w:rPr>
          <w:rFonts w:ascii="Times New Roman" w:hAnsi="Times New Roman"/>
          <w:iCs/>
          <w:lang w:val="en-US"/>
        </w:rPr>
        <w:t>Renminbi</w:t>
      </w:r>
      <w:r w:rsidRPr="00D538B1">
        <w:rPr>
          <w:rFonts w:ascii="Times New Roman" w:hAnsi="Times New Roman"/>
          <w:iCs/>
          <w:lang w:val="en-US"/>
        </w:rPr>
        <w:t xml:space="preserve"> /</w:t>
      </w:r>
      <w:r>
        <w:rPr>
          <w:rFonts w:ascii="Times New Roman" w:hAnsi="Times New Roman"/>
          <w:lang w:val="en-US"/>
        </w:rPr>
        <w:t xml:space="preserve"> Ed. </w:t>
      </w:r>
      <w:r w:rsidRPr="00653075">
        <w:rPr>
          <w:rFonts w:ascii="Times New Roman" w:hAnsi="Times New Roman"/>
          <w:lang w:val="en-US"/>
        </w:rPr>
        <w:t>by</w:t>
      </w:r>
      <w:r>
        <w:rPr>
          <w:rFonts w:ascii="Times New Roman" w:hAnsi="Times New Roman"/>
          <w:lang w:val="en-US"/>
        </w:rPr>
        <w:t xml:space="preserve"> </w:t>
      </w:r>
      <w:r w:rsidRPr="00653075">
        <w:rPr>
          <w:rFonts w:ascii="Times New Roman" w:hAnsi="Times New Roman"/>
          <w:lang w:val="en-US"/>
        </w:rPr>
        <w:t>Wensheng</w:t>
      </w:r>
      <w:r>
        <w:rPr>
          <w:rFonts w:ascii="Times New Roman" w:hAnsi="Times New Roman"/>
          <w:lang w:val="en-US"/>
        </w:rPr>
        <w:t xml:space="preserve"> </w:t>
      </w:r>
      <w:r w:rsidRPr="00653075">
        <w:rPr>
          <w:rFonts w:ascii="Times New Roman" w:hAnsi="Times New Roman"/>
          <w:lang w:val="en-US"/>
        </w:rPr>
        <w:t>Peng</w:t>
      </w:r>
      <w:r>
        <w:rPr>
          <w:rFonts w:ascii="Times New Roman" w:hAnsi="Times New Roman"/>
          <w:lang w:val="en-US"/>
        </w:rPr>
        <w:t xml:space="preserve"> </w:t>
      </w:r>
      <w:r w:rsidRPr="00653075">
        <w:rPr>
          <w:rFonts w:ascii="Times New Roman" w:hAnsi="Times New Roman"/>
          <w:lang w:val="en-US"/>
        </w:rPr>
        <w:t>and</w:t>
      </w:r>
      <w:r>
        <w:rPr>
          <w:rFonts w:ascii="Times New Roman" w:hAnsi="Times New Roman"/>
          <w:lang w:val="en-US"/>
        </w:rPr>
        <w:t xml:space="preserve"> </w:t>
      </w:r>
      <w:r w:rsidRPr="00653075">
        <w:rPr>
          <w:rFonts w:ascii="Times New Roman" w:hAnsi="Times New Roman"/>
          <w:lang w:val="en-US"/>
        </w:rPr>
        <w:t>Chang</w:t>
      </w:r>
      <w:r>
        <w:rPr>
          <w:rFonts w:ascii="Times New Roman" w:hAnsi="Times New Roman"/>
          <w:lang w:val="en-US"/>
        </w:rPr>
        <w:t xml:space="preserve"> </w:t>
      </w:r>
      <w:r w:rsidRPr="00653075">
        <w:rPr>
          <w:rFonts w:ascii="Times New Roman" w:hAnsi="Times New Roman"/>
          <w:lang w:val="en-US"/>
        </w:rPr>
        <w:t>Shu.</w:t>
      </w:r>
      <w:r>
        <w:rPr>
          <w:rFonts w:ascii="Times New Roman" w:hAnsi="Times New Roman"/>
          <w:lang w:val="en-US"/>
        </w:rPr>
        <w:t xml:space="preserve"> - </w:t>
      </w:r>
      <w:r w:rsidRPr="00653075">
        <w:rPr>
          <w:rFonts w:ascii="Times New Roman" w:hAnsi="Times New Roman"/>
          <w:lang w:val="en-US"/>
        </w:rPr>
        <w:t>N.Y.:</w:t>
      </w:r>
      <w:r>
        <w:rPr>
          <w:rFonts w:ascii="Times New Roman" w:hAnsi="Times New Roman"/>
          <w:lang w:val="en-US"/>
        </w:rPr>
        <w:t xml:space="preserve"> </w:t>
      </w:r>
      <w:r w:rsidRPr="00653075">
        <w:rPr>
          <w:rFonts w:ascii="Times New Roman" w:hAnsi="Times New Roman"/>
          <w:lang w:val="en-US"/>
        </w:rPr>
        <w:t>Palgrave</w:t>
      </w:r>
      <w:r>
        <w:rPr>
          <w:rFonts w:ascii="Times New Roman" w:hAnsi="Times New Roman"/>
          <w:lang w:val="en-US"/>
        </w:rPr>
        <w:t xml:space="preserve"> </w:t>
      </w:r>
      <w:r w:rsidRPr="00653075">
        <w:rPr>
          <w:rFonts w:ascii="Times New Roman" w:hAnsi="Times New Roman"/>
          <w:lang w:val="en-US"/>
        </w:rPr>
        <w:t>Macmillan,</w:t>
      </w:r>
      <w:r>
        <w:rPr>
          <w:rFonts w:ascii="Times New Roman" w:hAnsi="Times New Roman"/>
          <w:lang w:val="en-US"/>
        </w:rPr>
        <w:t xml:space="preserve"> </w:t>
      </w:r>
      <w:r w:rsidRPr="00653075">
        <w:rPr>
          <w:rFonts w:ascii="Times New Roman" w:hAnsi="Times New Roman"/>
          <w:lang w:val="en-US"/>
        </w:rPr>
        <w:t>2009.</w:t>
      </w:r>
      <w:r>
        <w:rPr>
          <w:rFonts w:ascii="Times New Roman" w:hAnsi="Times New Roman"/>
          <w:lang w:val="en-US"/>
        </w:rPr>
        <w:t xml:space="preserve"> - </w:t>
      </w:r>
      <w:r w:rsidRPr="00653075">
        <w:rPr>
          <w:rFonts w:ascii="Times New Roman" w:hAnsi="Times New Roman"/>
          <w:lang w:val="en-US"/>
        </w:rPr>
        <w:t>P.42–56.</w:t>
      </w:r>
    </w:p>
  </w:footnote>
  <w:footnote w:id="9">
    <w:p w:rsidR="00DC1DF6" w:rsidRDefault="00DC1DF6" w:rsidP="00653075">
      <w:pPr>
        <w:pStyle w:val="FootnoteText"/>
        <w:ind w:firstLine="709"/>
        <w:jc w:val="both"/>
      </w:pPr>
      <w:r w:rsidRPr="00653075">
        <w:rPr>
          <w:rStyle w:val="FootnoteReference"/>
          <w:rFonts w:ascii="Times New Roman" w:hAnsi="Times New Roman"/>
        </w:rPr>
        <w:footnoteRef/>
      </w:r>
      <w:r>
        <w:rPr>
          <w:rFonts w:ascii="Times New Roman" w:hAnsi="Times New Roman"/>
          <w:lang w:val="en-US"/>
        </w:rPr>
        <w:t xml:space="preserve"> </w:t>
      </w:r>
      <w:r w:rsidRPr="00653075">
        <w:rPr>
          <w:rFonts w:ascii="Times New Roman" w:hAnsi="Times New Roman"/>
          <w:lang w:val="en-US"/>
        </w:rPr>
        <w:t>SADC.</w:t>
      </w:r>
      <w:r>
        <w:rPr>
          <w:rFonts w:ascii="Times New Roman" w:hAnsi="Times New Roman"/>
          <w:lang w:val="en-US"/>
        </w:rPr>
        <w:t xml:space="preserve"> </w:t>
      </w:r>
      <w:r w:rsidRPr="00653075">
        <w:rPr>
          <w:rFonts w:ascii="Times New Roman" w:hAnsi="Times New Roman"/>
          <w:iCs/>
          <w:lang w:val="en-US"/>
        </w:rPr>
        <w:t>Regional</w:t>
      </w:r>
      <w:r>
        <w:rPr>
          <w:rFonts w:ascii="Times New Roman" w:hAnsi="Times New Roman"/>
          <w:iCs/>
          <w:lang w:val="en-US"/>
        </w:rPr>
        <w:t xml:space="preserve"> </w:t>
      </w:r>
      <w:r w:rsidRPr="00653075">
        <w:rPr>
          <w:rFonts w:ascii="Times New Roman" w:hAnsi="Times New Roman"/>
          <w:iCs/>
          <w:lang w:val="en-US"/>
        </w:rPr>
        <w:t>Indicative</w:t>
      </w:r>
      <w:r>
        <w:rPr>
          <w:rFonts w:ascii="Times New Roman" w:hAnsi="Times New Roman"/>
          <w:iCs/>
          <w:lang w:val="en-US"/>
        </w:rPr>
        <w:t xml:space="preserve"> </w:t>
      </w:r>
      <w:r w:rsidRPr="00653075">
        <w:rPr>
          <w:rFonts w:ascii="Times New Roman" w:hAnsi="Times New Roman"/>
          <w:iCs/>
          <w:lang w:val="en-US"/>
        </w:rPr>
        <w:t>Strategic</w:t>
      </w:r>
      <w:r>
        <w:rPr>
          <w:rFonts w:ascii="Times New Roman" w:hAnsi="Times New Roman"/>
          <w:iCs/>
          <w:lang w:val="en-US"/>
        </w:rPr>
        <w:t xml:space="preserve"> </w:t>
      </w:r>
      <w:r w:rsidRPr="00653075">
        <w:rPr>
          <w:rFonts w:ascii="Times New Roman" w:hAnsi="Times New Roman"/>
          <w:iCs/>
          <w:lang w:val="en-US"/>
        </w:rPr>
        <w:t>Development</w:t>
      </w:r>
      <w:r>
        <w:rPr>
          <w:rFonts w:ascii="Times New Roman" w:hAnsi="Times New Roman"/>
          <w:iCs/>
          <w:lang w:val="en-US"/>
        </w:rPr>
        <w:t xml:space="preserve"> </w:t>
      </w:r>
      <w:r w:rsidRPr="00653075">
        <w:rPr>
          <w:rFonts w:ascii="Times New Roman" w:hAnsi="Times New Roman"/>
          <w:iCs/>
          <w:lang w:val="en-US"/>
        </w:rPr>
        <w:t>Plan.</w:t>
      </w:r>
      <w:r>
        <w:rPr>
          <w:rFonts w:ascii="Times New Roman" w:hAnsi="Times New Roman"/>
          <w:iCs/>
          <w:lang w:val="en-US"/>
        </w:rPr>
        <w:t xml:space="preserve"> </w:t>
      </w:r>
      <w:r w:rsidRPr="00653075">
        <w:rPr>
          <w:rFonts w:ascii="Times New Roman" w:hAnsi="Times New Roman"/>
          <w:lang w:val="en-US"/>
        </w:rPr>
        <w:t>Gaborone:</w:t>
      </w:r>
      <w:r>
        <w:rPr>
          <w:rFonts w:ascii="Times New Roman" w:hAnsi="Times New Roman"/>
          <w:lang w:val="en-US"/>
        </w:rPr>
        <w:t xml:space="preserve"> </w:t>
      </w:r>
      <w:r w:rsidRPr="00653075">
        <w:rPr>
          <w:rFonts w:ascii="Times New Roman" w:hAnsi="Times New Roman"/>
          <w:lang w:val="en-US"/>
        </w:rPr>
        <w:t>SADC.</w:t>
      </w:r>
      <w:r>
        <w:rPr>
          <w:rFonts w:ascii="Times New Roman" w:hAnsi="Times New Roman"/>
          <w:lang w:val="en-US"/>
        </w:rPr>
        <w:t xml:space="preserve"> </w:t>
      </w:r>
      <w:r w:rsidRPr="00653075">
        <w:rPr>
          <w:rFonts w:ascii="Times New Roman" w:hAnsi="Times New Roman"/>
          <w:lang w:val="en-US"/>
        </w:rPr>
        <w:t>2003.</w:t>
      </w:r>
      <w:r>
        <w:rPr>
          <w:rFonts w:ascii="Times New Roman" w:hAnsi="Times New Roman"/>
          <w:lang w:val="en-US"/>
        </w:rPr>
        <w:t xml:space="preserve"> - </w:t>
      </w:r>
      <w:r w:rsidRPr="00653075">
        <w:rPr>
          <w:rFonts w:ascii="Times New Roman" w:hAnsi="Times New Roman"/>
          <w:lang w:val="en-US"/>
        </w:rPr>
        <w:t>www.sadc.int/</w:t>
      </w:r>
      <w:r>
        <w:rPr>
          <w:rFonts w:ascii="Times New Roman" w:hAnsi="Times New Roman"/>
          <w:lang w:val="en-US"/>
        </w:rPr>
        <w:t xml:space="preserve"> </w:t>
      </w:r>
      <w:r w:rsidRPr="00653075">
        <w:rPr>
          <w:rFonts w:ascii="Times New Roman" w:hAnsi="Times New Roman"/>
          <w:lang w:val="en-US"/>
        </w:rPr>
        <w:t>about-sadc/overview/</w:t>
      </w:r>
      <w:r>
        <w:rPr>
          <w:rFonts w:ascii="Times New Roman" w:hAnsi="Times New Roman"/>
          <w:lang w:val="en-US"/>
        </w:rPr>
        <w:t xml:space="preserve"> </w:t>
      </w:r>
      <w:r w:rsidRPr="00653075">
        <w:rPr>
          <w:rFonts w:ascii="Times New Roman" w:hAnsi="Times New Roman"/>
          <w:lang w:val="en-US"/>
        </w:rPr>
        <w:t>strategic-pl/regional-indicativestrategic-development-plan/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87F"/>
    <w:rsid w:val="00024A76"/>
    <w:rsid w:val="00026F6E"/>
    <w:rsid w:val="00092413"/>
    <w:rsid w:val="00101D3F"/>
    <w:rsid w:val="001D1E3C"/>
    <w:rsid w:val="001E08EF"/>
    <w:rsid w:val="001E3C44"/>
    <w:rsid w:val="00207A86"/>
    <w:rsid w:val="00253257"/>
    <w:rsid w:val="002B686E"/>
    <w:rsid w:val="002C3F08"/>
    <w:rsid w:val="00322270"/>
    <w:rsid w:val="00376EB1"/>
    <w:rsid w:val="003A61A5"/>
    <w:rsid w:val="003B058F"/>
    <w:rsid w:val="004A6764"/>
    <w:rsid w:val="00582F26"/>
    <w:rsid w:val="0061551A"/>
    <w:rsid w:val="00636C3B"/>
    <w:rsid w:val="00653075"/>
    <w:rsid w:val="0067187F"/>
    <w:rsid w:val="0068402E"/>
    <w:rsid w:val="0072259A"/>
    <w:rsid w:val="00742173"/>
    <w:rsid w:val="00770B4B"/>
    <w:rsid w:val="00773248"/>
    <w:rsid w:val="007C1737"/>
    <w:rsid w:val="007E5211"/>
    <w:rsid w:val="008348D8"/>
    <w:rsid w:val="00867A8F"/>
    <w:rsid w:val="008A735E"/>
    <w:rsid w:val="009C6ED3"/>
    <w:rsid w:val="00AD640A"/>
    <w:rsid w:val="00AF6206"/>
    <w:rsid w:val="00B07546"/>
    <w:rsid w:val="00B44E60"/>
    <w:rsid w:val="00B85DC2"/>
    <w:rsid w:val="00BA3D0A"/>
    <w:rsid w:val="00C421C2"/>
    <w:rsid w:val="00D538B1"/>
    <w:rsid w:val="00D9256A"/>
    <w:rsid w:val="00DC19DA"/>
    <w:rsid w:val="00DC1DF6"/>
    <w:rsid w:val="00E56C0A"/>
    <w:rsid w:val="00EF6967"/>
    <w:rsid w:val="00FD00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257"/>
    <w:rPr>
      <w:rFonts w:cs="Times New Roman"/>
      <w:color w:val="0000FF"/>
      <w:u w:val="single"/>
    </w:rPr>
  </w:style>
  <w:style w:type="paragraph" w:styleId="FootnoteText">
    <w:name w:val="footnote text"/>
    <w:basedOn w:val="Normal"/>
    <w:link w:val="FootnoteTextChar"/>
    <w:uiPriority w:val="99"/>
    <w:semiHidden/>
    <w:rsid w:val="001D1E3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D1E3C"/>
    <w:rPr>
      <w:rFonts w:cs="Times New Roman"/>
      <w:sz w:val="20"/>
      <w:szCs w:val="20"/>
    </w:rPr>
  </w:style>
  <w:style w:type="character" w:styleId="FootnoteReference">
    <w:name w:val="footnote reference"/>
    <w:basedOn w:val="DefaultParagraphFont"/>
    <w:uiPriority w:val="99"/>
    <w:rsid w:val="001D1E3C"/>
    <w:rPr>
      <w:rFonts w:cs="Times New Roman"/>
      <w:vertAlign w:val="superscript"/>
    </w:rPr>
  </w:style>
  <w:style w:type="paragraph" w:styleId="Header">
    <w:name w:val="header"/>
    <w:basedOn w:val="Normal"/>
    <w:link w:val="HeaderChar"/>
    <w:uiPriority w:val="99"/>
    <w:rsid w:val="00BA3D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A3D0A"/>
    <w:rPr>
      <w:rFonts w:cs="Times New Roman"/>
    </w:rPr>
  </w:style>
  <w:style w:type="paragraph" w:styleId="Footer">
    <w:name w:val="footer"/>
    <w:basedOn w:val="Normal"/>
    <w:link w:val="FooterChar"/>
    <w:uiPriority w:val="99"/>
    <w:rsid w:val="00BA3D0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A3D0A"/>
    <w:rPr>
      <w:rFonts w:cs="Times New Roman"/>
    </w:rPr>
  </w:style>
  <w:style w:type="paragraph" w:styleId="BalloonText">
    <w:name w:val="Balloon Text"/>
    <w:basedOn w:val="Normal"/>
    <w:link w:val="BalloonTextChar"/>
    <w:uiPriority w:val="99"/>
    <w:semiHidden/>
    <w:rsid w:val="00AF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206"/>
    <w:rPr>
      <w:rFonts w:ascii="Tahoma" w:hAnsi="Tahoma" w:cs="Tahoma"/>
      <w:sz w:val="16"/>
      <w:szCs w:val="16"/>
    </w:rPr>
  </w:style>
  <w:style w:type="paragraph" w:styleId="ListParagraph">
    <w:name w:val="List Paragraph"/>
    <w:basedOn w:val="Normal"/>
    <w:uiPriority w:val="99"/>
    <w:qFormat/>
    <w:rsid w:val="003B058F"/>
    <w:pPr>
      <w:ind w:left="720"/>
      <w:contextualSpacing/>
    </w:pPr>
  </w:style>
  <w:style w:type="character" w:styleId="PageNumber">
    <w:name w:val="page number"/>
    <w:basedOn w:val="DefaultParagraphFont"/>
    <w:uiPriority w:val="99"/>
    <w:rsid w:val="0065307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14</Pages>
  <Words>4281</Words>
  <Characters>24406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Жариков Михаил Вячеславович</dc:title>
  <dc:subject/>
  <dc:creator>acer</dc:creator>
  <cp:keywords/>
  <dc:description/>
  <cp:lastModifiedBy>1</cp:lastModifiedBy>
  <cp:revision>4</cp:revision>
  <dcterms:created xsi:type="dcterms:W3CDTF">2015-11-29T16:51:00Z</dcterms:created>
  <dcterms:modified xsi:type="dcterms:W3CDTF">2015-12-17T18:00:00Z</dcterms:modified>
</cp:coreProperties>
</file>