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3A5F">
        <w:rPr>
          <w:rFonts w:ascii="Times New Roman" w:hAnsi="Times New Roman"/>
          <w:b/>
          <w:i/>
          <w:sz w:val="24"/>
          <w:szCs w:val="24"/>
        </w:rPr>
        <w:t xml:space="preserve">Аракелян С.М.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д.ф.-м.н., </w:t>
      </w:r>
      <w:r w:rsidRPr="00EA3A5F">
        <w:rPr>
          <w:rFonts w:ascii="Times New Roman" w:hAnsi="Times New Roman"/>
          <w:sz w:val="24"/>
          <w:szCs w:val="24"/>
        </w:rPr>
        <w:t>профессор Владимирск</w:t>
      </w:r>
      <w:r>
        <w:rPr>
          <w:rFonts w:ascii="Times New Roman" w:hAnsi="Times New Roman"/>
          <w:sz w:val="24"/>
          <w:szCs w:val="24"/>
        </w:rPr>
        <w:t>ого</w:t>
      </w:r>
      <w:r w:rsidRPr="00EA3A5F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EA3A5F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</w:p>
    <w:p w:rsidR="00F13A64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A64" w:rsidRPr="00EA3A5F" w:rsidRDefault="00F13A64" w:rsidP="00EA3A5F">
      <w:pPr>
        <w:widowControl w:val="0"/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bCs/>
          <w:sz w:val="24"/>
          <w:szCs w:val="24"/>
        </w:rPr>
        <w:t>РОССИЯ КАК МИРОВОЙ ЛИДЕР В ПЕРСПЕКТИВНЫХ ИССЛЕДОВАНИЯХ И РАЗРАБОТКАХ – УСЛОВИЕ УСПЕШНОСТИ ДЕЯТЕЛЬНОСТИ БРИКС В КОНКУРЕНТНОМ МИРОВОМ ПРОСТРАНСТВЕ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Ключевые слова</w:t>
      </w:r>
      <w:r w:rsidRPr="00EA3A5F">
        <w:rPr>
          <w:rFonts w:ascii="Times New Roman" w:hAnsi="Times New Roman"/>
          <w:sz w:val="24"/>
          <w:szCs w:val="24"/>
        </w:rPr>
        <w:t xml:space="preserve">: современные вызовы, высокие технологии; интеграция; роль России; наука, образование и бизнес.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A3A5F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EA3A5F">
        <w:rPr>
          <w:rFonts w:ascii="Times New Roman" w:hAnsi="Times New Roman"/>
          <w:sz w:val="24"/>
          <w:szCs w:val="24"/>
          <w:lang w:val="en-US"/>
        </w:rPr>
        <w:t xml:space="preserve">: modern challenges; high-tech; collaboration; </w:t>
      </w:r>
      <w:smartTag w:uri="urn:schemas-microsoft-com:office:smarttags" w:element="country-region">
        <w:smartTag w:uri="urn:schemas-microsoft-com:office:smarttags" w:element="place">
          <w:r w:rsidRPr="00EA3A5F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EA3A5F">
        <w:rPr>
          <w:rFonts w:ascii="Times New Roman" w:hAnsi="Times New Roman"/>
          <w:sz w:val="24"/>
          <w:szCs w:val="24"/>
          <w:lang w:val="en-US"/>
        </w:rPr>
        <w:t xml:space="preserve"> contribution; science, education and business.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Введение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Высокотехнологичные сектора промышленности, которые являются основной национальной безопасности России и реализации ее геополитических стратегий, должны учитывать особенности современного периода развития ОПК </w:t>
      </w:r>
      <w:r w:rsidRPr="00EA3A5F">
        <w:rPr>
          <w:rFonts w:ascii="Times New Roman" w:hAnsi="Times New Roman"/>
          <w:iCs/>
          <w:sz w:val="24"/>
          <w:szCs w:val="24"/>
        </w:rPr>
        <w:t>(как в нашей стране, так и за рубежом), когда происходит б</w:t>
      </w:r>
      <w:r w:rsidRPr="00EA3A5F">
        <w:rPr>
          <w:rFonts w:ascii="Times New Roman" w:hAnsi="Times New Roman"/>
          <w:bCs/>
          <w:sz w:val="24"/>
          <w:szCs w:val="24"/>
        </w:rPr>
        <w:t>ыстрый рост</w:t>
      </w:r>
      <w:r w:rsidRPr="00EA3A5F">
        <w:rPr>
          <w:rFonts w:ascii="Times New Roman" w:hAnsi="Times New Roman"/>
          <w:sz w:val="24"/>
          <w:szCs w:val="24"/>
        </w:rPr>
        <w:t>, в первую очередь, гражданских (в т.ч. массового спроса) отраслей, которые только затем используются в системах вооружения (до 80-х годов прошлого века ситуация была обратной). При этом в</w:t>
      </w:r>
      <w:r w:rsidRPr="00EA3A5F">
        <w:rPr>
          <w:rFonts w:ascii="Times New Roman" w:hAnsi="Times New Roman"/>
          <w:bCs/>
          <w:sz w:val="24"/>
          <w:szCs w:val="24"/>
        </w:rPr>
        <w:t>овлечение</w:t>
      </w:r>
      <w:r w:rsidRPr="00EA3A5F">
        <w:rPr>
          <w:rFonts w:ascii="Times New Roman" w:hAnsi="Times New Roman"/>
          <w:sz w:val="24"/>
          <w:szCs w:val="24"/>
        </w:rPr>
        <w:t xml:space="preserve"> в военную тематику успешных и известных (часто, монопольных) гражданских фирм (по сути, производящих массовую гражданскую продукцию широкого назначения для потребителя низкой профессиональной квалификации) является </w:t>
      </w:r>
      <w:r w:rsidRPr="00EA3A5F">
        <w:rPr>
          <w:rFonts w:ascii="Times New Roman" w:hAnsi="Times New Roman"/>
          <w:bCs/>
          <w:iCs/>
          <w:sz w:val="24"/>
          <w:szCs w:val="24"/>
        </w:rPr>
        <w:t>общемировой тенденцией сегодняшнего дня. Ее проекция на Россию с ее боевой мощью должна быть реализована при сотрудничестве стран в рамках БРИКС.</w:t>
      </w:r>
      <w:r w:rsidRPr="00EA3A5F">
        <w:rPr>
          <w:rFonts w:ascii="Times New Roman" w:hAnsi="Times New Roman"/>
          <w:bCs/>
          <w:sz w:val="24"/>
          <w:szCs w:val="24"/>
        </w:rPr>
        <w:t xml:space="preserve"> Это создаст необходимую мотивацию зарубежных участников к союзу с Россией в условиях нового миропорядка и разделения сфер влияния разных стран.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Базовые принципы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Диалог и сотрудничество стран БРИКС, как сказано в документах этого межгосударственного объединения, служат не только общим интересам стран с формирующимися рыночными экономиками и развивающихся стран, но и способствуют строительству гармоничного мира, в котором были бы обеспечены прочный мир и общее процветание. При этом важно общее видение партнерами по БРИКС путей выхода мировой экономики из финансово-экономического кризиса в современном многополярном мире.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Для России особенно важно в условиях растущей экономической мощи государств-участников БРИКС, усиления их роли в развитии глобальной экономики, а также при значительной численности населения и наличии богатых природных ресурсов, обозначить себя как безусловного лидера (данного сообщества), способного решать самые трудные вопросы. Хотя в современном мире трудно следовать принципам БРИКС – открытости, прагматизму, солидарности, не блоковому характеру, и не направленности против третьих сторон – Россия здесь должна найти разумный компромисс </w:t>
      </w:r>
      <w:r>
        <w:rPr>
          <w:rFonts w:ascii="Times New Roman" w:hAnsi="Times New Roman"/>
          <w:sz w:val="24"/>
          <w:szCs w:val="24"/>
        </w:rPr>
        <w:t>и</w:t>
      </w:r>
      <w:r w:rsidRPr="00EA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непременно</w:t>
      </w:r>
      <w:r w:rsidRPr="00EA3A5F">
        <w:rPr>
          <w:rFonts w:ascii="Times New Roman" w:hAnsi="Times New Roman"/>
          <w:sz w:val="24"/>
          <w:szCs w:val="24"/>
        </w:rPr>
        <w:t xml:space="preserve"> реализовывать свои геополитические интересы (что и делают ведущие мировые державы), особенно в вопросах национальной безопасности.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По этому стратегическому направлению выбор «Повестки дня» для России – в условиях конкурентного мира и конфронтации на разных уровнях (особенно, с США) – требует адекватных ответов на существующие вызовы. Прежде всего, в сфере </w:t>
      </w:r>
      <w:r w:rsidRPr="00EA3A5F">
        <w:rPr>
          <w:rFonts w:ascii="Times New Roman" w:hAnsi="Times New Roman"/>
          <w:sz w:val="24"/>
          <w:szCs w:val="24"/>
          <w:lang w:val="en-US"/>
        </w:rPr>
        <w:t>Hi</w:t>
      </w:r>
      <w:r w:rsidRPr="00EA3A5F">
        <w:rPr>
          <w:rFonts w:ascii="Times New Roman" w:hAnsi="Times New Roman"/>
          <w:sz w:val="24"/>
          <w:szCs w:val="24"/>
        </w:rPr>
        <w:t>-</w:t>
      </w:r>
      <w:r w:rsidRPr="00EA3A5F">
        <w:rPr>
          <w:rFonts w:ascii="Times New Roman" w:hAnsi="Times New Roman"/>
          <w:sz w:val="24"/>
          <w:szCs w:val="24"/>
          <w:lang w:val="en-US"/>
        </w:rPr>
        <w:t>Tech</w:t>
      </w:r>
      <w:r w:rsidRPr="00EA3A5F">
        <w:rPr>
          <w:rFonts w:ascii="Times New Roman" w:hAnsi="Times New Roman"/>
          <w:sz w:val="24"/>
          <w:szCs w:val="24"/>
        </w:rPr>
        <w:t xml:space="preserve"> глобального и регионального уровней. Фотоника и лазерные системы – это как раз один из этих возможных ответов. Сотрудничество стран в рамках БРИКС по данному направлению должно иметь в </w:t>
      </w:r>
      <w:r w:rsidRPr="00EA3A5F">
        <w:rPr>
          <w:rFonts w:ascii="Times New Roman" w:hAnsi="Times New Roman"/>
          <w:bCs/>
          <w:iCs/>
          <w:sz w:val="24"/>
          <w:szCs w:val="24"/>
        </w:rPr>
        <w:t>приоритете такие блоки деятельности как производство вооружений, военной и специальной техники.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При этом в соответствии с мировыми тенденциями и вызовами акцент необходимо сделать на следующих тематиках: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 сверхмощные лазеры на прозрачной оптической керамике с полупроводниковой накачкой;</w:t>
      </w:r>
    </w:p>
    <w:p w:rsidR="00F13A64" w:rsidRPr="00EA3A5F" w:rsidRDefault="00F13A64" w:rsidP="00EA3A5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 лазерные навигационные системы, системы передачи сигналов и системы обнаружения движущихся объектов в наземных/подводных условиях, в атмосфере и космосе;</w:t>
      </w:r>
    </w:p>
    <w:p w:rsidR="00F13A64" w:rsidRPr="00EA3A5F" w:rsidRDefault="00F13A64" w:rsidP="00EA3A5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 сверхточные гироскопические комплексы и системы стабилизации нового поколения для различных динамических систем;</w:t>
      </w:r>
    </w:p>
    <w:p w:rsidR="00F13A64" w:rsidRPr="00EA3A5F" w:rsidRDefault="00F13A64" w:rsidP="00EA3A5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 многофункциональные лазеры на парах щелочных металлов различных типов и режимов работы.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Таким образом, стратегической практической задачей сотрудничества в рамках БРИКС является, в первую очередь, обеспечение решения вопросов национальной безопасности участников при общей лидирующей роли России. Для России формат такой деятельности определен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в соответствии с требованиями Президента РФ от 15 мая 2014 года [1] и программой </w:t>
      </w:r>
      <w:r w:rsidRPr="00EA3A5F">
        <w:rPr>
          <w:rFonts w:ascii="Times New Roman" w:hAnsi="Times New Roman"/>
          <w:sz w:val="24"/>
          <w:szCs w:val="24"/>
        </w:rPr>
        <w:t xml:space="preserve">импортозамещения в сфере ОПК на путях кооперации деятельности отечественных научных школ, внедрения достижений НИОКР/НИОКТР и НИР на интеграционных принципах с профильным бизнес-сообществом. Речь идет о </w:t>
      </w:r>
      <w:r w:rsidRPr="00EA3A5F">
        <w:rPr>
          <w:rFonts w:ascii="Times New Roman" w:hAnsi="Times New Roman"/>
          <w:bCs/>
          <w:iCs/>
          <w:sz w:val="24"/>
          <w:szCs w:val="24"/>
        </w:rPr>
        <w:t>партнерстве РАН, высшей школы, высокотехнологичных секторов промышленности</w:t>
      </w:r>
      <w:r w:rsidRPr="00EA3A5F">
        <w:rPr>
          <w:rFonts w:ascii="Times New Roman" w:hAnsi="Times New Roman"/>
          <w:bCs/>
          <w:sz w:val="24"/>
          <w:szCs w:val="24"/>
        </w:rPr>
        <w:t xml:space="preserve">, </w:t>
      </w:r>
      <w:r w:rsidRPr="00EA3A5F">
        <w:rPr>
          <w:rFonts w:ascii="Times New Roman" w:hAnsi="Times New Roman"/>
          <w:sz w:val="24"/>
          <w:szCs w:val="24"/>
        </w:rPr>
        <w:t>в т.ч. с необходимым кадровым обеспечением – подготовкой/переподготовкой и повышением квалификации кадров, развитием системы дополнительного образования по всем уровням профессионального образования, особенно инженерно-технического профиля.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Сформулированные на сегодняшний день приоритеты инновационно-технологического развития в странах БРИКС в условиях конкурентной мировой экономики предполагают в качестве обязательного условия консолидацию потенциала и ресурсов стран в рамках БРИКС и их партнеров. При этом Россия должна позиционировать себя как мировой лидер в перспективных исследованиях и разработках. Без этого трудно будет удерживать в данном объединении партнеров, весьма прагматичных и с собственными интересами, в конкурентном мировом сообществе.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Условия для этого в России есть, и базовым документом реализации данных амбициозных планов является стратегия инновационного развития Российской Федерации на период до 2020 года [2], которая включает в себя: </w:t>
      </w:r>
      <w:r w:rsidRPr="00EA3A5F">
        <w:rPr>
          <w:rFonts w:ascii="Times New Roman" w:hAnsi="Times New Roman"/>
          <w:sz w:val="24"/>
          <w:szCs w:val="24"/>
        </w:rPr>
        <w:t>формирование компетенций инновационной деятельности, формирование эффективной науки, формирование инфраструктуры инноваций, развитие инновационного бизнеса, развитие территорий инноваций.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При этом определены инструменты поддержки развития исследований и разработок для высокотехнологичных отраслей экономики. В частности, особенно эффективным для этих целей является Постановление Правительства Российской Федерации от 9 апреля 2010 года №218 [3]. Для успешных предприятий высокотехнологичных секторов промышленности оно дает уникальную возможность развития производства на конкурентном поле мировой экономики.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Действительно, первые 3 года даются на проведение НИОКТР (вуз/институт РАН – в интересах и с привлечением индустриального партнера), а в последующие 5 лет должна быть выполнена коммерциализация этих разработок с выпуском конкурентной конечной продукции. В частности, ВлГУ имеет успешный опыт работы по данному формату с 4-мя проектами по годам: 2011-2013; 2013-2015; 2014-2016; 2016-2018 (новый проект).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Другими инструментами реализации этих планов являются текущие п</w:t>
      </w:r>
      <w:r w:rsidRPr="00EA3A5F">
        <w:rPr>
          <w:rFonts w:ascii="Times New Roman" w:hAnsi="Times New Roman"/>
          <w:bCs/>
          <w:sz w:val="24"/>
          <w:szCs w:val="24"/>
        </w:rPr>
        <w:t xml:space="preserve">рограммы инновационного развития госкорпораций и предприятий с государственным участием, функционирование инновационных территориальных кластеров, создание и развитие инжиниринговых центров </w:t>
      </w:r>
      <w:r w:rsidRPr="00EA3A5F">
        <w:rPr>
          <w:rFonts w:ascii="Times New Roman" w:hAnsi="Times New Roman"/>
          <w:sz w:val="24"/>
          <w:szCs w:val="24"/>
        </w:rPr>
        <w:t>(</w:t>
      </w:r>
      <w:r w:rsidRPr="00EA3A5F">
        <w:rPr>
          <w:rFonts w:ascii="Times New Roman" w:hAnsi="Times New Roman"/>
          <w:iCs/>
          <w:sz w:val="24"/>
          <w:szCs w:val="24"/>
        </w:rPr>
        <w:t>по направлениям</w:t>
      </w:r>
      <w:r w:rsidRPr="00EA3A5F">
        <w:rPr>
          <w:rFonts w:ascii="Times New Roman" w:hAnsi="Times New Roman"/>
          <w:sz w:val="24"/>
          <w:szCs w:val="24"/>
        </w:rPr>
        <w:t>), а также п</w:t>
      </w:r>
      <w:r w:rsidRPr="00EA3A5F">
        <w:rPr>
          <w:rFonts w:ascii="Times New Roman" w:hAnsi="Times New Roman"/>
          <w:bCs/>
          <w:sz w:val="24"/>
          <w:szCs w:val="24"/>
        </w:rPr>
        <w:t>атентно-лицензионная активность участников этих структур.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Для финансовой поддержки наиболее перспективных проектов в России существуют соответствующих институты развития: </w:t>
      </w:r>
      <w:r w:rsidRPr="00EA3A5F">
        <w:rPr>
          <w:rFonts w:ascii="Times New Roman" w:hAnsi="Times New Roman"/>
          <w:sz w:val="24"/>
          <w:szCs w:val="24"/>
        </w:rPr>
        <w:t>Фонд перспективных исследований; Фонд развития инновационного центра «Сколково»; ОАО «Роснано»; ОАО «Российская венчурная компания» (РВК); ФГБУ «Фонд содействия развитию малых форм предприятий в научно-технической сфере»; ФГАУ «Российский фонд технологического развития» (Фонд развития промышленности); Банк ВТБ (публичное акционерное общество). Именно эти институты развития могут служить механизмом для сотрудничества и взаимного трансфера технологий России со странами БРИКС.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Существующие проблемы и риски</w:t>
      </w:r>
    </w:p>
    <w:p w:rsidR="00F13A64" w:rsidRPr="00EA3A5F" w:rsidRDefault="00F13A64" w:rsidP="00EA3A5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Однако основная проблема России в реализации данных планов связана, по мнению экспертов, с недостаточным влиянием экономики на те задачи, которые ставит научный сектор – наука и бизнес выступают с претензиями друг к другу: ученые говорят, что бизнес не восприимчив к инновациям; бизнес утверждает, что разработки ученых мало относятся к реальной жизни [4]. При этом при общей доле наукоемкой продукции на мировом рынке в 2 триллиона 300 миллиардов долларов,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вклад России составляет менее 1%. В сравнении – </w:t>
      </w:r>
      <w:r w:rsidRPr="00EA3A5F">
        <w:rPr>
          <w:rFonts w:ascii="Times New Roman" w:hAnsi="Times New Roman"/>
          <w:iCs/>
          <w:sz w:val="24"/>
          <w:szCs w:val="24"/>
        </w:rPr>
        <w:t xml:space="preserve">США, Япония и Германия совместно контролируют </w:t>
      </w:r>
      <w:r w:rsidRPr="00EA3A5F">
        <w:rPr>
          <w:rFonts w:ascii="Times New Roman" w:hAnsi="Times New Roman"/>
          <w:bCs/>
          <w:iCs/>
          <w:sz w:val="24"/>
          <w:szCs w:val="24"/>
        </w:rPr>
        <w:t>70%</w:t>
      </w:r>
      <w:r w:rsidRPr="00EA3A5F">
        <w:rPr>
          <w:rFonts w:ascii="Times New Roman" w:hAnsi="Times New Roman"/>
          <w:iCs/>
          <w:sz w:val="24"/>
          <w:szCs w:val="24"/>
        </w:rPr>
        <w:t xml:space="preserve"> рынка </w:t>
      </w:r>
      <w:r w:rsidRPr="00EA3A5F">
        <w:rPr>
          <w:rFonts w:ascii="Times New Roman" w:hAnsi="Times New Roman"/>
          <w:sz w:val="24"/>
          <w:szCs w:val="24"/>
        </w:rPr>
        <w:t xml:space="preserve">(по сравнению с 2000 годом действующие затраты на исследования и разработки увеличились в этих странах в 3 раза) [5]. Хотя в соответствии с «майскими» указами Президента в России необходимо увеличить долю научных разработок в экономике до 1.77% ВВП [6], но существующая </w:t>
      </w:r>
      <w:r w:rsidRPr="00EA3A5F">
        <w:rPr>
          <w:rFonts w:ascii="Times New Roman" w:hAnsi="Times New Roman"/>
          <w:bCs/>
          <w:sz w:val="24"/>
          <w:szCs w:val="24"/>
        </w:rPr>
        <w:t>практика основывается на реалиях, когда наука дает столько результатов, сколько бизнес воспринимает, т.е. это взаимодействие в основном зависит от состояния экономики.</w:t>
      </w:r>
    </w:p>
    <w:p w:rsidR="00F13A64" w:rsidRPr="00EA3A5F" w:rsidRDefault="00F13A64" w:rsidP="00EA3A5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Поэтому сотрудничество стран БРИКС, в частности в обрабатывающей промышленности, может изменить ситуацию для России в лучшую сторону. Но приоритетом все же должно быть преодоление этой проблемы, прежде всего, в самой России. </w:t>
      </w:r>
    </w:p>
    <w:p w:rsidR="00F13A64" w:rsidRPr="00EA3A5F" w:rsidRDefault="00F13A64" w:rsidP="00EA3A5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Выход из данной ситуации может быть связан с двумя факторами. Во-первых, в этой 1%-й доле России надо найти приоритетные сферы, где наша страна может быть конкурентной и лидером в сравнении с мировыми достижениями. Например, фотоника, лазерная тематика, нанотехнологии – это как раз из такого перечня приоритетных направлений. Во-вторых, необходимо развивать/восстанавливать отраслевую/к</w:t>
      </w:r>
      <w:r w:rsidRPr="00EA3A5F">
        <w:rPr>
          <w:rFonts w:ascii="Times New Roman" w:hAnsi="Times New Roman"/>
          <w:bCs/>
          <w:iCs/>
          <w:sz w:val="24"/>
          <w:szCs w:val="24"/>
        </w:rPr>
        <w:t>орпоративн</w:t>
      </w:r>
      <w:r>
        <w:rPr>
          <w:rFonts w:ascii="Times New Roman" w:hAnsi="Times New Roman"/>
          <w:bCs/>
          <w:iCs/>
          <w:sz w:val="24"/>
          <w:szCs w:val="24"/>
        </w:rPr>
        <w:t>ую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 науку, действующую в интересах высокотехнологичного бизнеса, но на базе фундаментальных знаний.</w:t>
      </w:r>
    </w:p>
    <w:p w:rsidR="00F13A64" w:rsidRPr="00EA3A5F" w:rsidRDefault="00F13A64" w:rsidP="00EA3A5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В развитых странах на это уходит 50-60 % от финансирования всей науки. В России государство определяет приоритеты, в т.ч. для бизнеса, через адресные механизмы финансирования, когда необходимо, чтобы </w:t>
      </w:r>
      <w:r w:rsidRPr="00EA3A5F">
        <w:rPr>
          <w:rFonts w:ascii="Times New Roman" w:hAnsi="Times New Roman"/>
          <w:iCs/>
          <w:sz w:val="24"/>
          <w:szCs w:val="24"/>
        </w:rPr>
        <w:t>комплексные проекты, поддержанные бюджетным финансированием в паритете с внебюджетным софинансированием на инвестиционных принципах, через 5 лет окупались (в 5-10 раз!) в условиях коммерциализации соответствующей продукции.</w:t>
      </w:r>
      <w:r w:rsidRPr="00EA3A5F">
        <w:rPr>
          <w:rFonts w:ascii="Times New Roman" w:hAnsi="Times New Roman"/>
          <w:sz w:val="24"/>
          <w:szCs w:val="24"/>
        </w:rPr>
        <w:t xml:space="preserve">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Этим целям и служат Постановление Правительства РФ №218 от 9 апреля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A5F">
        <w:rPr>
          <w:rFonts w:ascii="Times New Roman" w:hAnsi="Times New Roman"/>
          <w:sz w:val="24"/>
          <w:szCs w:val="24"/>
        </w:rPr>
        <w:t xml:space="preserve">г. и ФЦП «Исследования и разработки по приоритетным направлениям развития научно-технологического комплекса России» [7] и др. Необходимо добиться, чтобы хотя бы для проведения НИОКР 30% финансирования обеспечивал бизнес, а 70% – государство. При этом </w:t>
      </w:r>
      <w:r w:rsidRPr="00EA3A5F">
        <w:rPr>
          <w:rFonts w:ascii="Times New Roman" w:hAnsi="Times New Roman"/>
          <w:bCs/>
          <w:iCs/>
          <w:sz w:val="24"/>
          <w:szCs w:val="24"/>
        </w:rPr>
        <w:t>за счет господдержки</w:t>
      </w:r>
      <w:r w:rsidRPr="00EA3A5F">
        <w:rPr>
          <w:rFonts w:ascii="Times New Roman" w:hAnsi="Times New Roman"/>
          <w:sz w:val="24"/>
          <w:szCs w:val="24"/>
        </w:rPr>
        <w:t xml:space="preserve"> будет р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азвиваться инфраструктура инноваций. В странах БРИКС в основном реализуется подобная схема развития высокотехнологичных секторов промышленности.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В России современные приоритеты данного подхода в системе Минобрнауки связаны с поддержкой т</w:t>
      </w:r>
      <w:r w:rsidRPr="00EA3A5F">
        <w:rPr>
          <w:rFonts w:ascii="Times New Roman" w:hAnsi="Times New Roman"/>
          <w:iCs/>
          <w:sz w:val="24"/>
          <w:szCs w:val="24"/>
        </w:rPr>
        <w:t>ехнопарков/индустриальных парков, инновационно-технологических центров/кластеров, бизнес-инкубаторов, инжиниринговых центров, центров трансфера технологий, центров коллективного пользования, которые предполагается развивать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 через институты развития – прежде всего</w:t>
      </w:r>
      <w:r w:rsidRPr="00EA3A5F">
        <w:rPr>
          <w:rFonts w:ascii="Times New Roman" w:hAnsi="Times New Roman"/>
          <w:sz w:val="24"/>
          <w:szCs w:val="24"/>
        </w:rPr>
        <w:t xml:space="preserve"> РВК, ОАО «Роснано», Внешэкономбанк.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Важный компонент этой модели развития – малые инновационные предприятия (в т.ч. созданные по 217 ФЗ [8]) </w:t>
      </w:r>
      <w:r w:rsidRPr="00EA3A5F">
        <w:rPr>
          <w:rFonts w:ascii="Times New Roman" w:hAnsi="Times New Roman"/>
          <w:bCs/>
          <w:iCs/>
          <w:sz w:val="24"/>
          <w:szCs w:val="24"/>
        </w:rPr>
        <w:t>как центры коммерциализации, которые оперативно и гибко могут быть ассоциированы с профильными предприятиями стран БРИКС. Успешность работы таких предприятий определяется разными показателями, но в нынешних условиях можно считать н</w:t>
      </w:r>
      <w:r w:rsidRPr="00EA3A5F">
        <w:rPr>
          <w:rFonts w:ascii="Times New Roman" w:hAnsi="Times New Roman"/>
          <w:sz w:val="24"/>
          <w:szCs w:val="24"/>
        </w:rPr>
        <w:t xml:space="preserve">ормальным, когда из </w:t>
      </w:r>
      <w:r w:rsidRPr="00EA3A5F">
        <w:rPr>
          <w:rFonts w:ascii="Times New Roman" w:hAnsi="Times New Roman"/>
          <w:bCs/>
          <w:sz w:val="24"/>
          <w:szCs w:val="24"/>
        </w:rPr>
        <w:t>10</w:t>
      </w:r>
      <w:r w:rsidRPr="00EA3A5F">
        <w:rPr>
          <w:rFonts w:ascii="Times New Roman" w:hAnsi="Times New Roman"/>
          <w:sz w:val="24"/>
          <w:szCs w:val="24"/>
        </w:rPr>
        <w:t xml:space="preserve"> профинансированных проектов «выстрелят» </w:t>
      </w:r>
      <w:r w:rsidRPr="00EA3A5F">
        <w:rPr>
          <w:rFonts w:ascii="Times New Roman" w:hAnsi="Times New Roman"/>
          <w:bCs/>
          <w:sz w:val="24"/>
          <w:szCs w:val="24"/>
        </w:rPr>
        <w:t xml:space="preserve">3 </w:t>
      </w:r>
      <w:r w:rsidRPr="00EA3A5F">
        <w:rPr>
          <w:rFonts w:ascii="Times New Roman" w:hAnsi="Times New Roman"/>
          <w:sz w:val="24"/>
          <w:szCs w:val="24"/>
        </w:rPr>
        <w:t>(т.е. затраты государства с большим запасом окупятся для этих 3-х предприятий с целевым выпуском продукции).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Принципиальный вопрос р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азрешения существующего противоречия </w:t>
      </w:r>
      <w:r w:rsidRPr="00EA3A5F">
        <w:rPr>
          <w:rFonts w:ascii="Times New Roman" w:hAnsi="Times New Roman"/>
          <w:sz w:val="24"/>
          <w:szCs w:val="24"/>
        </w:rPr>
        <w:t xml:space="preserve">между необходимостью для экономики страны развития инженерного образования и нынешними приоритетами у молодежи в непроизводственной сфере – через инновационные образовательные программы по переподготовке кадров/дополнительному образованию. При этом </w:t>
      </w:r>
      <w:r w:rsidRPr="00EA3A5F">
        <w:rPr>
          <w:rFonts w:ascii="Times New Roman" w:hAnsi="Times New Roman"/>
          <w:bCs/>
          <w:sz w:val="24"/>
          <w:szCs w:val="24"/>
        </w:rPr>
        <w:t>возрастает роль</w:t>
      </w:r>
      <w:r w:rsidRPr="00EA3A5F">
        <w:rPr>
          <w:rFonts w:ascii="Times New Roman" w:hAnsi="Times New Roman"/>
          <w:sz w:val="24"/>
          <w:szCs w:val="24"/>
        </w:rPr>
        <w:t xml:space="preserve"> корпоративных институтов при вузах, и связи их кафедр с бизнес-сообществом (базовые кафедры предприятий).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Конкретная деятельность в России по решению задач импортозамещения/импортоопережения и привлечения инвесторов определяется следующими подходами, которые должны получить свое обоснование и в рамках сотрудничества БРИКС.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A3A5F">
        <w:rPr>
          <w:rFonts w:ascii="Times New Roman" w:hAnsi="Times New Roman"/>
          <w:iCs/>
          <w:sz w:val="24"/>
          <w:szCs w:val="24"/>
        </w:rPr>
        <w:t>Первое, импортозамещение/импортоопережение не означает натурального хозяйства, а определяет целый комплекс мероприятий по привлечению прорывных технологий в условиях локализации производства с учетом самых последних мировых достижений, в т.ч. с привлечением инвесторов. Здесь необходимо следовать, например, опыту Китая, который сформулировал требования со стороны государства к иностранным партнерам о полной локализации производства в стране через 3-5 лет после организации зарубежного производства на своей территории. При этом для продукции регионального уровня такую локализацию целесообразно осуществлять в пределах территориальной зоны до 30 км.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iCs/>
          <w:sz w:val="24"/>
          <w:szCs w:val="24"/>
        </w:rPr>
        <w:t>Второе, необходимо определить, в первую очередь: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(а) перечень проектов с полноценными бизнес-планами (в кооперации – партнеры из научно-образовательной сферы и бизнес-сообщества);</w:t>
      </w:r>
    </w:p>
    <w:p w:rsidR="00F13A64" w:rsidRPr="00EA3A5F" w:rsidRDefault="00F13A64" w:rsidP="00EA3A5F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(б) перечень НИОКТР-проектов с несомненной внедренческой перспективой;</w:t>
      </w:r>
    </w:p>
    <w:p w:rsidR="00F13A64" w:rsidRPr="00EA3A5F" w:rsidRDefault="00F13A64" w:rsidP="00EA3A5F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(в) перечень/реестр приоритетных проектов коммерциализации;</w:t>
      </w:r>
    </w:p>
    <w:p w:rsidR="00F13A64" w:rsidRPr="00EA3A5F" w:rsidRDefault="00F13A64" w:rsidP="00EA3A5F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(г) инфраструктурные проекты.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Третье, п</w:t>
      </w:r>
      <w:r w:rsidRPr="00EA3A5F">
        <w:rPr>
          <w:rFonts w:ascii="Times New Roman" w:hAnsi="Times New Roman"/>
          <w:bCs/>
          <w:sz w:val="24"/>
          <w:szCs w:val="24"/>
        </w:rPr>
        <w:t xml:space="preserve">роблема малых предприятий, которые наиболее динамичны для сотрудничества, сводится к необходимости доминирования предприятий типа Spin-off («спин-офф»), а не Start-up («старт-ап»). Дело в том, что </w:t>
      </w:r>
      <w:r w:rsidRPr="00EA3A5F">
        <w:rPr>
          <w:rFonts w:ascii="Times New Roman" w:hAnsi="Times New Roman"/>
          <w:sz w:val="24"/>
          <w:szCs w:val="24"/>
        </w:rPr>
        <w:t xml:space="preserve">стимулирование малых компаний типа «спин-офф», ассоциированных с крупным бизнесом (устойчиво стоящим на рынке), позволяют им сразу включиться в высокотехнологичное производство в условиях гибкого реагирования на запросы рынка в отличие от «посевных» малых предприятий типа «старт-ап», действующих изолированно и которые еще должны побороться за свое место на рынке. При этом снимается также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противоречие малого бизнеса с крупным бизнесом (в современных условиях все большей тенденции к централизации производства, к монополизму и т.д.), если реализуется их работа через госкорпорации и другие крупные индустриальные структуры под соответствующее производство, востребованное на рынке.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Четвертое, в условиях широкой кооперации России с другими участниками БРИКС, необходимо акцент сделать на создании новых ниш рынка, еще не представленных в мировом сообществе («предложение рождает спрос», а не наоборот), и на разработке новых прорывных технологий, не имеющих мировых аналогов (в отличие от улучшающих технологий).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A3A5F">
        <w:rPr>
          <w:rFonts w:ascii="Times New Roman" w:hAnsi="Times New Roman"/>
          <w:b/>
          <w:bCs/>
          <w:sz w:val="24"/>
          <w:szCs w:val="24"/>
        </w:rPr>
        <w:t>Н</w:t>
      </w:r>
      <w:r w:rsidRPr="00EA3A5F">
        <w:rPr>
          <w:rFonts w:ascii="Times New Roman" w:hAnsi="Times New Roman"/>
          <w:b/>
          <w:bCs/>
          <w:iCs/>
          <w:sz w:val="24"/>
          <w:szCs w:val="24"/>
        </w:rPr>
        <w:t>овые направления и организационные формы сотрудничества в рамках кооперации стран БРИКС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 xml:space="preserve">Если говорить о </w:t>
      </w:r>
      <w:r w:rsidRPr="00EA3A5F">
        <w:rPr>
          <w:rFonts w:ascii="Times New Roman" w:hAnsi="Times New Roman"/>
          <w:bCs/>
          <w:sz w:val="24"/>
          <w:szCs w:val="24"/>
        </w:rPr>
        <w:t xml:space="preserve">вызовах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A3A5F">
        <w:rPr>
          <w:rFonts w:ascii="Times New Roman" w:hAnsi="Times New Roman"/>
          <w:bCs/>
          <w:sz w:val="24"/>
          <w:szCs w:val="24"/>
        </w:rPr>
        <w:t xml:space="preserve"> века для разных уровней и масштабов деятельности, то для каждого из них существуют свои приоритеты.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Первый уровень – для БРИКС в целом, – в первую очередь необходимо разработать м</w:t>
      </w:r>
      <w:r w:rsidRPr="00EA3A5F">
        <w:rPr>
          <w:rFonts w:ascii="Times New Roman" w:hAnsi="Times New Roman"/>
          <w:sz w:val="24"/>
          <w:szCs w:val="24"/>
        </w:rPr>
        <w:t xml:space="preserve">еханизмы взаимодействия в рамках уже сформулированной научно-исследовательской Инновационной Инициативы БРИКС [9]. Она включает в себя: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1) сотрудничество в рамках крупных исследовательских инфраструктур, включая мегасайенс-проекты;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2) координацию существующих крупномасштабных национальных программ стран БРИКС;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3) реализацию рамочной программы для финансирования многосторонних совместных научно-исследовательских проектов;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4) реализацию проектов в области коммерциализации технологий и инновационных проектов с использованием механизма </w:t>
      </w:r>
      <w:r w:rsidRPr="00EA3A5F">
        <w:rPr>
          <w:rFonts w:ascii="Times New Roman" w:hAnsi="Times New Roman"/>
          <w:sz w:val="24"/>
          <w:szCs w:val="24"/>
          <w:lang w:val="en-US"/>
        </w:rPr>
        <w:t>ERA</w:t>
      </w:r>
      <w:r w:rsidRPr="00EA3A5F">
        <w:rPr>
          <w:rFonts w:ascii="Times New Roman" w:hAnsi="Times New Roman"/>
          <w:sz w:val="24"/>
          <w:szCs w:val="24"/>
        </w:rPr>
        <w:t>-</w:t>
      </w:r>
      <w:r w:rsidRPr="00EA3A5F">
        <w:rPr>
          <w:rFonts w:ascii="Times New Roman" w:hAnsi="Times New Roman"/>
          <w:sz w:val="24"/>
          <w:szCs w:val="24"/>
          <w:lang w:val="en-US"/>
        </w:rPr>
        <w:t>Net</w:t>
      </w:r>
      <w:r w:rsidRPr="00EA3A5F">
        <w:rPr>
          <w:rFonts w:ascii="Times New Roman" w:hAnsi="Times New Roman"/>
          <w:sz w:val="24"/>
          <w:szCs w:val="24"/>
        </w:rPr>
        <w:t xml:space="preserve"> и создание совместной научно-исследовательской и инновационной платформы для обеспечения основательного и скоординированного подхода внутри исследовательского сообщества стран БРИКС по ряду – пяти уже согласованным для высокотехнологичного производства и закрепленным за странами – тематическим областям научно-технической кооперации </w:t>
      </w:r>
      <w:r w:rsidRPr="00EA3A5F">
        <w:rPr>
          <w:rFonts w:ascii="Times New Roman" w:hAnsi="Times New Roman"/>
          <w:iCs/>
          <w:sz w:val="24"/>
          <w:szCs w:val="24"/>
        </w:rPr>
        <w:t>(биомедицина, ИКТ, океаны, наноматериалы, фотоника)</w:t>
      </w:r>
      <w:r w:rsidRPr="00EA3A5F">
        <w:rPr>
          <w:rFonts w:ascii="Times New Roman" w:hAnsi="Times New Roman"/>
          <w:sz w:val="24"/>
          <w:szCs w:val="24"/>
        </w:rPr>
        <w:t>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Второй уровень – для России в частности,</w:t>
      </w:r>
      <w:r w:rsidRPr="00EA3A5F">
        <w:rPr>
          <w:rFonts w:ascii="Times New Roman" w:hAnsi="Times New Roman"/>
          <w:bCs/>
          <w:i/>
          <w:iCs/>
          <w:sz w:val="24"/>
          <w:szCs w:val="24"/>
        </w:rPr>
        <w:t xml:space="preserve"> –</w:t>
      </w:r>
      <w:r w:rsidRPr="00EA3A5F">
        <w:rPr>
          <w:rFonts w:ascii="Times New Roman" w:hAnsi="Times New Roman"/>
          <w:sz w:val="24"/>
          <w:szCs w:val="24"/>
        </w:rPr>
        <w:t xml:space="preserve">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приоритетно создание </w:t>
      </w:r>
      <w:r w:rsidRPr="00EA3A5F">
        <w:rPr>
          <w:rFonts w:ascii="Times New Roman" w:hAnsi="Times New Roman"/>
          <w:sz w:val="24"/>
          <w:szCs w:val="24"/>
        </w:rPr>
        <w:t xml:space="preserve">инновационной (несырьевой) экономики на инвестиционных принципах, и решение задач импортозамещения, которое предполагает диверсификацию и локализацию производства. При этом важно не только наличие </w:t>
      </w:r>
      <w:r w:rsidRPr="00EA3A5F">
        <w:rPr>
          <w:rFonts w:ascii="Times New Roman" w:hAnsi="Times New Roman"/>
          <w:bCs/>
          <w:iCs/>
          <w:sz w:val="24"/>
          <w:szCs w:val="24"/>
        </w:rPr>
        <w:t>финансов</w:t>
      </w:r>
      <w:r w:rsidRPr="00EA3A5F">
        <w:rPr>
          <w:rFonts w:ascii="Times New Roman" w:hAnsi="Times New Roman"/>
          <w:sz w:val="24"/>
          <w:szCs w:val="24"/>
        </w:rPr>
        <w:t xml:space="preserve"> и квалифицированного </w:t>
      </w:r>
      <w:r w:rsidRPr="00EA3A5F">
        <w:rPr>
          <w:rFonts w:ascii="Times New Roman" w:hAnsi="Times New Roman"/>
          <w:bCs/>
          <w:iCs/>
          <w:sz w:val="24"/>
          <w:szCs w:val="24"/>
        </w:rPr>
        <w:t>менеджмента</w:t>
      </w:r>
      <w:r w:rsidRPr="00EA3A5F">
        <w:rPr>
          <w:rFonts w:ascii="Times New Roman" w:hAnsi="Times New Roman"/>
          <w:sz w:val="24"/>
          <w:szCs w:val="24"/>
        </w:rPr>
        <w:t xml:space="preserve">, но, принципиально, наличие </w:t>
      </w:r>
      <w:r w:rsidRPr="00EA3A5F">
        <w:rPr>
          <w:rFonts w:ascii="Times New Roman" w:hAnsi="Times New Roman"/>
          <w:bCs/>
          <w:iCs/>
          <w:sz w:val="24"/>
          <w:szCs w:val="24"/>
        </w:rPr>
        <w:t>конкурентных технологий, развиваемых в России и/или привлекаемых из-за рубежа.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 xml:space="preserve">Однако при этом требуется предварительно решить ряд административно-правовых проблем, ключевыми из которых являются: 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разработка модели государственно-частного партнерства и взаимодействия бюджетов разных уровней;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 xml:space="preserve">встраивание импортозамещения в экспортные процедуры; 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3A5F">
        <w:rPr>
          <w:rFonts w:ascii="Times New Roman" w:hAnsi="Times New Roman"/>
          <w:bCs/>
          <w:iCs/>
          <w:sz w:val="24"/>
          <w:szCs w:val="24"/>
        </w:rPr>
        <w:t>обеспечение экспертного и правового ландшафта инновационной деятельности, в т.ч. в части, касающейся взаимодействия университетов с бизнес-сообществом; лучший формат для этого – работа в рамках (№217-ФЗ) [8].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Третий уровень – для регионов в особенности, – поскольку в любом случае в мероприятия по сотрудничеству в рамках БРИКС должны быть вовлечены конкретные территории России. Например,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для Владимирской области </w:t>
      </w:r>
      <w:r w:rsidRPr="00EA3A5F">
        <w:rPr>
          <w:rFonts w:ascii="Times New Roman" w:hAnsi="Times New Roman"/>
          <w:sz w:val="24"/>
          <w:szCs w:val="24"/>
        </w:rPr>
        <w:t>(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в отсутствие ископаемых ресурсов – </w:t>
      </w:r>
      <w:r w:rsidRPr="00EA3A5F">
        <w:rPr>
          <w:rFonts w:ascii="Times New Roman" w:hAnsi="Times New Roman"/>
          <w:sz w:val="24"/>
          <w:szCs w:val="24"/>
        </w:rPr>
        <w:t xml:space="preserve">нефти, газа, алмазов и т.д.), но </w:t>
      </w:r>
      <w:r w:rsidRPr="00EA3A5F">
        <w:rPr>
          <w:rFonts w:ascii="Times New Roman" w:hAnsi="Times New Roman"/>
          <w:bCs/>
          <w:iCs/>
          <w:sz w:val="24"/>
          <w:szCs w:val="24"/>
        </w:rPr>
        <w:t>при наличии</w:t>
      </w:r>
      <w:r w:rsidRPr="00EA3A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A3A5F">
        <w:rPr>
          <w:rFonts w:ascii="Times New Roman" w:hAnsi="Times New Roman"/>
          <w:sz w:val="24"/>
          <w:szCs w:val="24"/>
        </w:rPr>
        <w:t>интеллектуальных ресурсов и высокотехнологичных секторов промышленности, включая ОПК</w:t>
      </w:r>
      <w:r>
        <w:rPr>
          <w:rFonts w:ascii="Times New Roman" w:hAnsi="Times New Roman"/>
          <w:sz w:val="24"/>
          <w:szCs w:val="24"/>
        </w:rPr>
        <w:t>,</w:t>
      </w:r>
      <w:r w:rsidRPr="00EA3A5F">
        <w:rPr>
          <w:rFonts w:ascii="Times New Roman" w:hAnsi="Times New Roman"/>
          <w:sz w:val="24"/>
          <w:szCs w:val="24"/>
        </w:rPr>
        <w:t xml:space="preserve"> необходимо разработать новые (а не только улучшающие) технологии и освоить новые ниши рынка, а также четко сформулировать приоритеты развития с нацеленностью на конечную продукцию, конкурентоспособную на мирового рынке (при этом важен не процесс производства, а его конечный результат – «предложение рождает спрос»). Приоритет должен быть отдан гибкой динамике непрерывного развития с возрастающим компонентом НИОКТР в выпускаемой продукции (в формате Постановления Правительства № 218 от 09.04.2010 г.) [3].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В этом аспекте Россия уже сделала свой выбор тех ниш, где она может достойно конкурировать с передовым</w:t>
      </w:r>
      <w:r>
        <w:rPr>
          <w:rFonts w:ascii="Times New Roman" w:hAnsi="Times New Roman"/>
          <w:sz w:val="24"/>
          <w:szCs w:val="24"/>
        </w:rPr>
        <w:t>и</w:t>
      </w:r>
      <w:r w:rsidRPr="00EA3A5F">
        <w:rPr>
          <w:rFonts w:ascii="Times New Roman" w:hAnsi="Times New Roman"/>
          <w:sz w:val="24"/>
          <w:szCs w:val="24"/>
        </w:rPr>
        <w:t xml:space="preserve"> странами.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Речь идет, во-первых, о разработке </w:t>
      </w:r>
      <w:r w:rsidRPr="00EA3A5F">
        <w:rPr>
          <w:rFonts w:ascii="Times New Roman" w:hAnsi="Times New Roman"/>
          <w:bCs/>
          <w:sz w:val="24"/>
          <w:szCs w:val="24"/>
        </w:rPr>
        <w:t>«Дорожной карты» по развитию фотоники на период до 2018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3A5F">
        <w:rPr>
          <w:rFonts w:ascii="Times New Roman" w:hAnsi="Times New Roman"/>
          <w:bCs/>
          <w:sz w:val="24"/>
          <w:szCs w:val="24"/>
        </w:rPr>
        <w:t>г. [10]. Результаты, которые предполагается достичь к 2018 г. в результате реализации данной «Дорожной карты»: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увеличение объема производства продукции фотоники в России в 4-5 раз (до 40-50 млрд</w:t>
      </w:r>
      <w:r>
        <w:rPr>
          <w:rFonts w:ascii="Times New Roman" w:hAnsi="Times New Roman"/>
          <w:bCs/>
          <w:sz w:val="24"/>
          <w:szCs w:val="24"/>
        </w:rPr>
        <w:t>.</w:t>
      </w:r>
      <w:r w:rsidRPr="00EA3A5F">
        <w:rPr>
          <w:rFonts w:ascii="Times New Roman" w:hAnsi="Times New Roman"/>
          <w:bCs/>
          <w:sz w:val="24"/>
          <w:szCs w:val="24"/>
        </w:rPr>
        <w:t xml:space="preserve"> руб/год);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увеличение объема экспорта такой продукции не менее, чем в 5-6 раз (до 3-4 млрд</w:t>
      </w:r>
      <w:r>
        <w:rPr>
          <w:rFonts w:ascii="Times New Roman" w:hAnsi="Times New Roman"/>
          <w:bCs/>
          <w:sz w:val="24"/>
          <w:szCs w:val="24"/>
        </w:rPr>
        <w:t>.</w:t>
      </w:r>
      <w:r w:rsidRPr="00EA3A5F">
        <w:rPr>
          <w:rFonts w:ascii="Times New Roman" w:hAnsi="Times New Roman"/>
          <w:bCs/>
          <w:sz w:val="24"/>
          <w:szCs w:val="24"/>
        </w:rPr>
        <w:t xml:space="preserve"> руб/год);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увеличение числа высокотехнологичных рабочих мест, занимаемых создателями и пользователями фотоники в 1.7 раза (до 60 тыс.);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рост числа патентов по фотонике и ее применениям, получаемых в России за год в 2 раза (до 500 в год);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организация региональных программ освоения технологий фотоники для модернизации региональной экономики в 50 регионах РФ;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- увеличение объема привлеченных в отрасль внебюджетных средств не </w:t>
      </w:r>
      <w:r>
        <w:rPr>
          <w:rFonts w:ascii="Times New Roman" w:hAnsi="Times New Roman"/>
          <w:bCs/>
          <w:sz w:val="24"/>
          <w:szCs w:val="24"/>
        </w:rPr>
        <w:t>менее</w:t>
      </w:r>
      <w:r w:rsidRPr="00EA3A5F">
        <w:rPr>
          <w:rFonts w:ascii="Times New Roman" w:hAnsi="Times New Roman"/>
          <w:bCs/>
          <w:sz w:val="24"/>
          <w:szCs w:val="24"/>
        </w:rPr>
        <w:t xml:space="preserve"> чем в 2.5 раза (до 17.5 млрд</w:t>
      </w:r>
      <w:r>
        <w:rPr>
          <w:rFonts w:ascii="Times New Roman" w:hAnsi="Times New Roman"/>
          <w:bCs/>
          <w:sz w:val="24"/>
          <w:szCs w:val="24"/>
        </w:rPr>
        <w:t>.</w:t>
      </w:r>
      <w:r w:rsidRPr="00EA3A5F">
        <w:rPr>
          <w:rFonts w:ascii="Times New Roman" w:hAnsi="Times New Roman"/>
          <w:bCs/>
          <w:sz w:val="24"/>
          <w:szCs w:val="24"/>
        </w:rPr>
        <w:t xml:space="preserve"> руб/год).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Принципиальное значение для реализации данной «Дорожной карты» имеет ее высокий государственный статус. Действительно, </w:t>
      </w:r>
      <w:r w:rsidRPr="00EA3A5F">
        <w:rPr>
          <w:rFonts w:ascii="Times New Roman" w:hAnsi="Times New Roman"/>
          <w:bCs/>
          <w:iCs/>
          <w:sz w:val="24"/>
          <w:szCs w:val="24"/>
        </w:rPr>
        <w:t>Минпромторгу России поручено осуществлять мониторинг и контроль выполнения плана, ежеквартально представляя доклад в Правительство о ходе его реализации.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Во-вторых, разработана также «Дорожная карта» по квантовой обработке информации [11]. </w:t>
      </w:r>
      <w:r w:rsidRPr="00EA3A5F">
        <w:rPr>
          <w:rFonts w:ascii="Times New Roman" w:hAnsi="Times New Roman"/>
          <w:bCs/>
          <w:iCs/>
          <w:sz w:val="24"/>
          <w:szCs w:val="24"/>
        </w:rPr>
        <w:t>Одно из приоритетных направлений деятельности в рамках данного мегапроекта будет выполнение комплексных работ по разработке на новых физических принципах и по созданию многофункциональных модулей и схем для квантовой обработки информации на основе волноводных структур и поляритонных состояний в твердых микро- наноструктурах и структурах низкоразмерных решеток полупроводниковых материалов. Эти направления нанофотоники представляют особый интерес для стран БРИКС.</w:t>
      </w:r>
      <w:r w:rsidRPr="00EA3A5F">
        <w:rPr>
          <w:rFonts w:ascii="Times New Roman" w:hAnsi="Times New Roman"/>
          <w:bCs/>
          <w:sz w:val="24"/>
          <w:szCs w:val="24"/>
        </w:rPr>
        <w:t xml:space="preserve">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Кроме того, на сегодняшний день в России уже создан инфраструктурный ландшафт деятельности и разработана </w:t>
      </w:r>
      <w:r w:rsidRPr="00EA3A5F">
        <w:rPr>
          <w:rFonts w:ascii="Times New Roman" w:hAnsi="Times New Roman"/>
          <w:sz w:val="24"/>
          <w:szCs w:val="24"/>
        </w:rPr>
        <w:t>госполитика поощрения партнерства на принципах интеграции научно-образовательной сферы и бизнеса, в т.ч. приемлемые для сотрудничества стран БРИКС. Ряд текущих примеров.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Во-первых, 16 октября 2015 г. </w:t>
      </w:r>
      <w:r w:rsidRPr="00EA3A5F">
        <w:rPr>
          <w:rFonts w:ascii="Times New Roman" w:hAnsi="Times New Roman"/>
          <w:sz w:val="24"/>
          <w:szCs w:val="24"/>
        </w:rPr>
        <w:t xml:space="preserve">подписан приказ о проведении конкурсного отбора образовательных организаций высшего образования на финансовое обеспечение программ развития и создания на базе образовательных организаций </w:t>
      </w:r>
      <w:r w:rsidRPr="00EA3A5F">
        <w:rPr>
          <w:rFonts w:ascii="Times New Roman" w:hAnsi="Times New Roman"/>
          <w:bCs/>
          <w:sz w:val="24"/>
          <w:szCs w:val="24"/>
        </w:rPr>
        <w:t>опорных университетов [12]</w:t>
      </w:r>
      <w:r w:rsidRPr="00EA3A5F">
        <w:rPr>
          <w:rFonts w:ascii="Times New Roman" w:hAnsi="Times New Roman"/>
          <w:sz w:val="24"/>
          <w:szCs w:val="24"/>
        </w:rPr>
        <w:t xml:space="preserve">. На сегодняшний день на участие в конкурсном отборе по созданию таких опорных университетов подали заявки 15 вузов.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Во-вторых, вышел Приказ Минобрнауки России № 811 от 7 августа 2015 г. «О проведении конкурсного отбора образовательных организаций высшего образования на финансовое обеспечение программ развития федеральных государственных образовательных организаций высшего образования за счет средств федерального бюджета в 2016-2018 годах» [13].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В-третьих, в декабре 2015 г. был проведен открытый публичный конкурс по созданию Межрегиональных центров компетенций (МЦК) в рамках Федеральной целевой программы развития образования на 2016-2020 годы. В итоге, определено 6 регионов-победителей: Тюменская область – МЦК в области искусства, дизайна и сферы услуг; Московская область – МЦК в области строительства; Республика Татарстан – МЦК в области информационных и коммуникационных технологий; Ульяновская область – МЦК в области обслуживания транспорта и логистики; Республика Чувашия – МЦК в области промышленных и инженерных технологий (специализация «Автоматизация, радиотехника и электроника»); Свердловская область – МЦК в области промышленных и инженерных технологий (специализация «Машиностроение, управление сложными техническими системами, обработка материалов») [14].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В-четвертых, 22.12.2015 г. объявлено о проведении в 2016 году конкурсного отбора дополнительных профессиональных программ повышения квалификации инженерно-технических кадров [15].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Региональный аспект сотрудничества стран БРИКС; вклад ВлГУ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В целом во Владимирской области разработана программа реиндустриализации для поиска путей интеграции производства, образования и науки в соответствии с приоритетами развития современной России путем создания научно-производственных объединений, интегрированных с научно-образовательным сектором. В свое время такой формат организации сотрудничества способствовал формированию космической, ядерной и других прорывных (ОПК) технологических программ, которые принесли славу СССР и стали большим вкладом в мировую науку и практику. Страны БРИКС могут воспользоваться этим успешным историческим опытом (кстати, востребованным в ряде передовых стран) и достойно конкурировать в сфере </w:t>
      </w:r>
      <w:r w:rsidRPr="00EA3A5F">
        <w:rPr>
          <w:rFonts w:ascii="Times New Roman" w:hAnsi="Times New Roman"/>
          <w:bCs/>
          <w:sz w:val="24"/>
          <w:szCs w:val="24"/>
          <w:lang w:val="en-US"/>
        </w:rPr>
        <w:t>Hi</w:t>
      </w:r>
      <w:r w:rsidRPr="00EA3A5F">
        <w:rPr>
          <w:rFonts w:ascii="Times New Roman" w:hAnsi="Times New Roman"/>
          <w:bCs/>
          <w:sz w:val="24"/>
          <w:szCs w:val="24"/>
        </w:rPr>
        <w:t>-</w:t>
      </w:r>
      <w:r w:rsidRPr="00EA3A5F">
        <w:rPr>
          <w:rFonts w:ascii="Times New Roman" w:hAnsi="Times New Roman"/>
          <w:bCs/>
          <w:sz w:val="24"/>
          <w:szCs w:val="24"/>
          <w:lang w:val="en-US"/>
        </w:rPr>
        <w:t>Tech</w:t>
      </w:r>
      <w:r w:rsidRPr="00EA3A5F">
        <w:rPr>
          <w:rFonts w:ascii="Times New Roman" w:hAnsi="Times New Roman"/>
          <w:bCs/>
          <w:sz w:val="24"/>
          <w:szCs w:val="24"/>
        </w:rPr>
        <w:t xml:space="preserve"> мирового сообщества.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Региональный аспект реиндустриализации Владимирской области включает в себя 18 направлений, которые охватывают: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(1) поиск нового пути экономического развития региона в соответствии с требованиями и вызовами времени, в частности обеспечение взаимодействия и сотрудничества с госкорпорациями и предприятиями с государственным участием в рамках реализации их программ инновационного развития (ОАО «РЖД», Ростех и др.); одновременно – развитие секторов малого и среднего бизнеса как участников реализации прорывных технологий;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(2) социально-ориентированное развитие рыночной экономики с акцентом на высокотехнологичное производство (приоритетные направления для региона), решение социально-экономических проблем и создание базовых условий для развития личности человека (особенно, привлечение и закрепление молодежи в высокотехнологичных секторах экономики);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(3) создание сети отраслевых центров импортозамещения (на интеграционных принципах).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Таким образом, сотрудничество в рамках БРИКС может реализовываться на принципах масштабирования – от геополитики страны в целом, через развитие региона со значимой ролью опорного университета, в частности. При этом используются модели развития региональных индустриальных (промышленных) парков/технологических инжиниринговых кластеров при кооперации науки, образования и бизнеса в условиях государственно-частного партнерства.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На территории Владимирской области речь идет о следующих структурах: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- кластер точного и сложного машиностроения;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лазерный кластер (в интересах национальной безопасности);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биотехнологический кластер;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кластер мембранных технологий;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нанотехнологический кластер;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- кластер перспективных разработок фотоники, оптоэлектронных и квантовых компьютерных технологий.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Это является хорошей базой для сотрудничества в рамках БРИКС.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Если говорить о конкретной работе ВлГУ при реализации концепции: </w:t>
      </w:r>
      <w:r w:rsidRPr="00EA3A5F">
        <w:rPr>
          <w:rFonts w:ascii="Times New Roman" w:hAnsi="Times New Roman"/>
          <w:bCs/>
          <w:iCs/>
          <w:sz w:val="24"/>
          <w:szCs w:val="24"/>
        </w:rPr>
        <w:t xml:space="preserve">«Россия – мировой лидер для ряда новых направлений </w:t>
      </w:r>
      <w:r w:rsidRPr="00EA3A5F">
        <w:rPr>
          <w:rFonts w:ascii="Times New Roman" w:hAnsi="Times New Roman"/>
          <w:bCs/>
          <w:iCs/>
          <w:sz w:val="24"/>
          <w:szCs w:val="24"/>
          <w:lang w:val="en-US"/>
        </w:rPr>
        <w:t>Hi</w:t>
      </w:r>
      <w:r w:rsidRPr="00EA3A5F">
        <w:rPr>
          <w:rFonts w:ascii="Times New Roman" w:hAnsi="Times New Roman"/>
          <w:bCs/>
          <w:iCs/>
          <w:sz w:val="24"/>
          <w:szCs w:val="24"/>
        </w:rPr>
        <w:t>-</w:t>
      </w:r>
      <w:r w:rsidRPr="00EA3A5F">
        <w:rPr>
          <w:rFonts w:ascii="Times New Roman" w:hAnsi="Times New Roman"/>
          <w:bCs/>
          <w:iCs/>
          <w:sz w:val="24"/>
          <w:szCs w:val="24"/>
          <w:lang w:val="en-US"/>
        </w:rPr>
        <w:t>Tech</w:t>
      </w:r>
      <w:r w:rsidRPr="00EA3A5F">
        <w:rPr>
          <w:rFonts w:ascii="Times New Roman" w:hAnsi="Times New Roman"/>
          <w:bCs/>
          <w:iCs/>
          <w:sz w:val="24"/>
          <w:szCs w:val="24"/>
        </w:rPr>
        <w:t>», то приоритетными направлениями для возможного сотрудничества в рамках БРИКС являются следующие: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фемтонанофотоника (лазерные, оптоэлектронные технологии создания наноструктурированных элементов и систем для высокотехнологичных секторов промышленности с заданными функциональными и конструкционными свойствами изделий);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лазерно-индуцированные тонкопленочные и нанокластерные полупроводниковые структуры с управляемыми/требуемыми характеристиками</w:t>
      </w:r>
      <w:r w:rsidRPr="00EA3A5F">
        <w:rPr>
          <w:rFonts w:ascii="Times New Roman" w:hAnsi="Times New Roman"/>
          <w:iCs/>
          <w:sz w:val="24"/>
          <w:szCs w:val="24"/>
        </w:rPr>
        <w:t xml:space="preserve">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A3A5F">
        <w:rPr>
          <w:rFonts w:ascii="Times New Roman" w:hAnsi="Times New Roman"/>
          <w:iCs/>
          <w:sz w:val="24"/>
          <w:szCs w:val="24"/>
        </w:rPr>
        <w:t xml:space="preserve">(3) </w:t>
      </w:r>
      <w:r w:rsidRPr="00EA3A5F">
        <w:rPr>
          <w:rFonts w:ascii="Times New Roman" w:hAnsi="Times New Roman"/>
          <w:sz w:val="24"/>
          <w:szCs w:val="24"/>
        </w:rPr>
        <w:t xml:space="preserve">лазерные автоматизированные технологические комплексы специального/двойного назначения;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(4) новые физические принципы обработки информации и оптических вычислений – квантовая информация, квантовая память, квантовая криптография;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(5) прототипирование и аддитивные технологии разного предназначения.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>Кроме того, хорошие перспективы для стран БРИКС могут иметь следующие направления, развиваемые в ВлГУ по блокам прогнозно-аналитической деятельности и по распознаванию динамических образов: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бюджетирование совместных проектов и текущий контроль устойчивого целевого финансирования;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распределенная система мониторинга природных ЧС – роль глобальных природных факторов в зонировании рисков территорий; 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антитеррор – распознавание лиц в динамическом потоке информации. </w:t>
      </w:r>
    </w:p>
    <w:p w:rsidR="00F13A64" w:rsidRPr="00EA3A5F" w:rsidRDefault="00F13A64" w:rsidP="00EA3A5F">
      <w:pPr>
        <w:pStyle w:val="ListParagraph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3A5F">
        <w:rPr>
          <w:rFonts w:ascii="Times New Roman" w:hAnsi="Times New Roman"/>
          <w:b/>
          <w:bCs/>
          <w:sz w:val="24"/>
          <w:szCs w:val="24"/>
        </w:rPr>
        <w:t xml:space="preserve">Этапы интеграции и содержание работ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Министры науки, технологий и инноваций стран БРИКС подписали 28.10.2015 г. </w:t>
      </w:r>
      <w:r w:rsidRPr="00EA3A5F">
        <w:rPr>
          <w:rFonts w:ascii="Times New Roman" w:hAnsi="Times New Roman"/>
          <w:bCs/>
          <w:iCs/>
          <w:sz w:val="24"/>
          <w:szCs w:val="24"/>
        </w:rPr>
        <w:t>Декларацию</w:t>
      </w:r>
      <w:r w:rsidRPr="00EA3A5F">
        <w:rPr>
          <w:rFonts w:ascii="Times New Roman" w:hAnsi="Times New Roman"/>
          <w:bCs/>
          <w:sz w:val="24"/>
          <w:szCs w:val="24"/>
        </w:rPr>
        <w:t xml:space="preserve"> о сотрудничестве по реализации многосторонних исследовательских проектов (г. Москва) [16]. Она включает в себя следующие направления деятельности. </w:t>
      </w:r>
    </w:p>
    <w:p w:rsidR="00F13A64" w:rsidRPr="00C3150A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150A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r w:rsidRPr="00EA3A5F">
        <w:rPr>
          <w:rFonts w:ascii="Times New Roman" w:hAnsi="Times New Roman"/>
          <w:sz w:val="24"/>
          <w:szCs w:val="24"/>
          <w:lang w:val="en-US"/>
        </w:rPr>
        <w:t>BRICS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  <w:lang w:val="en-US"/>
        </w:rPr>
        <w:t>Research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  <w:lang w:val="en-US"/>
        </w:rPr>
        <w:t>and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A3A5F">
        <w:rPr>
          <w:rFonts w:ascii="Times New Roman" w:hAnsi="Times New Roman"/>
          <w:sz w:val="24"/>
          <w:szCs w:val="24"/>
          <w:lang w:val="en-US"/>
        </w:rPr>
        <w:t>novation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  <w:lang w:val="en-US"/>
        </w:rPr>
        <w:t>Initiative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3A5F">
        <w:rPr>
          <w:rFonts w:ascii="Times New Roman" w:hAnsi="Times New Roman"/>
          <w:sz w:val="24"/>
          <w:szCs w:val="24"/>
        </w:rPr>
        <w:t>основные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</w:rPr>
        <w:t>положения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A5F">
        <w:rPr>
          <w:rFonts w:ascii="Times New Roman" w:hAnsi="Times New Roman"/>
          <w:sz w:val="24"/>
          <w:szCs w:val="24"/>
        </w:rPr>
        <w:t>которой</w:t>
      </w:r>
      <w:r w:rsidRPr="00C3150A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а) взаимодействие стран в области использования возможностей крупных исследовательских инфраструктур;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б) координация существующих исследовательских программ стран БРИКС;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в) подготовка многосторонней Рамочной программы поддержки совместных научно-технологических и инновационных проектов;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г) сетевое взаимодействие научных организаций и университетов стран БРИКС в рамках Research and Innovation Networking Platform.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2. </w:t>
      </w:r>
      <w:r w:rsidRPr="00EA3A5F">
        <w:rPr>
          <w:rFonts w:ascii="Times New Roman" w:hAnsi="Times New Roman"/>
          <w:sz w:val="24"/>
          <w:szCs w:val="24"/>
        </w:rPr>
        <w:t>Создание совместной научно-исследовательской и инновационной платформы для обеспечения основательного и скоординированного подхода внутри исследовательского сообщества стран БРИКС по пяти согласованным закрепленным за странами тематическим областям научно-технической кооперации (Бразилия – предотвращение и смягчение отрицательных последствий природных катаклизмов; Россия – водные ресурсы и борьба с загрязнением воды; Индия – геопространственные технологии и их применение; Китай – новые и возобновляемые источники энергии, энергоэффективность; Южная Африка – астрономия).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3. </w:t>
      </w:r>
      <w:r w:rsidRPr="00EA3A5F">
        <w:rPr>
          <w:rFonts w:ascii="Times New Roman" w:hAnsi="Times New Roman"/>
          <w:sz w:val="24"/>
          <w:szCs w:val="24"/>
        </w:rPr>
        <w:t>Поддержка создания сетевой кооперации по тематическим направлениям: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биомедицина, здоровье людей и нейронауки;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- информационные технологии, программное обеспечение, высокопроизводительные вычислительные машины;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по океанам, полярным исследованиям и технологиям;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координация материалов по нанотехнологиям;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фотоника.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4. </w:t>
      </w:r>
      <w:r w:rsidRPr="00EA3A5F">
        <w:rPr>
          <w:rFonts w:ascii="Times New Roman" w:hAnsi="Times New Roman"/>
          <w:sz w:val="24"/>
          <w:szCs w:val="24"/>
        </w:rPr>
        <w:t>Постоянно действующий элемент научно-технического сотрудничества стран – форум молодых ученых БРИКС.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В аспекте выполнения этих положений (в разных соглашениях) п</w:t>
      </w:r>
      <w:r w:rsidRPr="00EA3A5F">
        <w:rPr>
          <w:rFonts w:ascii="Times New Roman" w:hAnsi="Times New Roman"/>
          <w:bCs/>
          <w:sz w:val="24"/>
          <w:szCs w:val="24"/>
        </w:rPr>
        <w:t>ервоочередными задачами и рекомендациями для сотрудничества содружества стран БРИКС, в т.ч</w:t>
      </w:r>
      <w:r>
        <w:rPr>
          <w:rFonts w:ascii="Times New Roman" w:hAnsi="Times New Roman"/>
          <w:bCs/>
          <w:sz w:val="24"/>
          <w:szCs w:val="24"/>
        </w:rPr>
        <w:t>.</w:t>
      </w:r>
      <w:r w:rsidRPr="00EA3A5F">
        <w:rPr>
          <w:rFonts w:ascii="Times New Roman" w:hAnsi="Times New Roman"/>
          <w:bCs/>
          <w:sz w:val="24"/>
          <w:szCs w:val="24"/>
        </w:rPr>
        <w:t xml:space="preserve"> в проекции на регионы России/Владимирскую область, являются следующие </w:t>
      </w:r>
      <w:r>
        <w:rPr>
          <w:rFonts w:ascii="Times New Roman" w:hAnsi="Times New Roman"/>
          <w:bCs/>
          <w:sz w:val="24"/>
          <w:szCs w:val="24"/>
        </w:rPr>
        <w:t>позиции: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1. Определение приоритетных секторов развития экономики на ближайшую, среднесрочную и долгосрочную перспективы на основе новых механизмов прогнозирования и планирования, в т.ч. с учетом обсуждений на ежегодных экономических форумах разного уровня, с контролем/ мониторингом хода их выполнения в численных показателях, допускающих независимую экспертную оценку.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2. Разработка Программы/Паспорта развития инноваций и импортозамещения/дорожной карты по конкретным направлениям с привлечением соответствующих производителей.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3. Составление перечня стран/фирм, через которые может осуществляться экспорт передовых технологий и продукции даже в условиях эмбарго со стороны основных их производителей (через механизмы БРИКС и др.).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4. Участие в работе технологических платформ РФ, в т.ч. в аспекте создания интегрированных структур и организации кооперации.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5. Обеспечение прямого доступа к западным технологиям из передовых стран через спецканалы (по конкретному/закрытому списку технологий и оборудования, в т.ч. в интересах национальной безопасности страны).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6. Поддержка создания новых ниш рынка – текущих и на перспективу с соответствующей маркетинговой деятельностью (</w:t>
      </w:r>
      <w:r w:rsidRPr="00EA3A5F">
        <w:rPr>
          <w:rFonts w:ascii="Times New Roman" w:hAnsi="Times New Roman"/>
          <w:bCs/>
          <w:sz w:val="24"/>
          <w:szCs w:val="24"/>
        </w:rPr>
        <w:t>«предложение рождает спрос»</w:t>
      </w:r>
      <w:r w:rsidRPr="00EA3A5F">
        <w:rPr>
          <w:rFonts w:ascii="Times New Roman" w:hAnsi="Times New Roman"/>
          <w:sz w:val="24"/>
          <w:szCs w:val="24"/>
        </w:rPr>
        <w:t>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7. Привлечение инвестиций от традиционных (и новых) зарубежных партнеров.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8. Поддержка развития фундаментальной и отраслевой науки для создания опережающего научно-технического задела для различных отраслей экономики. Механизм – путем отбора целевых проектов НИОКТР для реализации в кооперации представителей научно-образовательной сферы и бизнес-сообщества с учетом приоритетов развития научно-технологического, инновационного комплексов страны и импортозамещающих технологий, обозначенных в соответствующих Программах деятельности технологических платформ и территориальных кластеров, с целью их дальнейшей коммерциализации.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9. Развитие тотальной системы дополнительного/опережающего образования и переподготовки кадров в интересах и с участием работодателей/базовые кафедры – Региональные центры подготовки/переподготовки инженерно-технических кадров.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10. Разработка и интенсификация ресурсосберегающих технологий обезвоживания и переработки техногенных отходов в целях повышения экологической безопасности предприятий металлургии и машиностроения.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Все это позволит перейти, по терминологии ОАО «Роснано» для специализированных структур – технологических инжиниринговых компаний [17], от технологий традиционного предпринимательства (главная мотивация – доход) к технологическому предпринимательству (главная мотивация – новый продукт/технология) [18].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A5F">
        <w:rPr>
          <w:rFonts w:ascii="Times New Roman" w:hAnsi="Times New Roman"/>
          <w:b/>
          <w:sz w:val="24"/>
          <w:szCs w:val="24"/>
        </w:rPr>
        <w:t>Заключение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bCs/>
          <w:sz w:val="24"/>
          <w:szCs w:val="24"/>
        </w:rPr>
        <w:t xml:space="preserve">Механизмы реализации сотрудничества стран БРИКС с доминирующей ролью России должны основываться на базовых мероприятиях, которые можно сформулировать следующим образом: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использование институтов развития страны для поддержки инфраструктуры высокотехнологичных секторов промышленности, в т.ч. в регионах (с использованием обширных кредитных линий из разных источников);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привлечение федеральных средств различных фондов, ФЦП, по Постановлениям Правительства (в т.ч. № 218 от 09.04.2010 г.) и в рамках отраслевых НТП под целевые проекты, в т.ч. для молодежи (привлечение в высокотехнологичные отрасли и закрепление в них при соответствующем предложении социального пакета и карьерного роста);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инвентаризация существующих/вакантных промышленно-производственных площадок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A5F">
        <w:rPr>
          <w:rFonts w:ascii="Times New Roman" w:hAnsi="Times New Roman"/>
          <w:sz w:val="24"/>
          <w:szCs w:val="24"/>
        </w:rPr>
        <w:t>для привлечения на них производителей продукции, особенно малого и среднего высокотехнологичного бизнеса;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усиление роли гособоронзаказа для предприятий ОПК (вертикальные связи по линии федеральных ведомств) с одновременным выстраиванием горизонтальных связей с профильными организациями гражданской продукции (по регионам и за их пределами) по производству продукции двойного назначения на предприятиях ОПК (включая ЗАТО) с поддержкой со стороны региональных властей их широкой кооперации;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преференции для малого и среднего высокотехнологичного бизнеса, работающего в сфере импортозамещения, и разработка мер по стимулированию их инновационной активности (включая адресную поддержку молодежи).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- координирующая роль областных администраций для усиления интеграционных процессов в сфере образования, науки и производства по механизму государственно-частного партнерства.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Кроме того, необходимо поддерживать и двусторонние связи; только за последние несколько месяцев резко интенсифицировались такие двусторонние контакты участников содружества стран БРИКС. Несколько примеров.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ОАО «РОСНАНО» и Всекитайская аэрокосмическая корпорация науки и промышленности заключили Соглашение о стратегическом сотрудничестве [19].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В России появится инжиниринговый центр электроники нового поколения, ориентированный на широкое международное сотрудничество [20].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Подписаны совместные российско-китайские документы о сотрудничестве в энергетике, науке, экономике, инвестициях [21].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 xml:space="preserve">Россия и Индия продолжают развивать стратегическое партнерство [22]. 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Сотрудничество России и ЮАР в области образования [23].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Кроме того, в период нынешнего российского председательства в БРИКС планируется расширение взаимодействия по линии образования, науки и молодежной политик</w:t>
      </w:r>
      <w:r>
        <w:rPr>
          <w:rFonts w:ascii="Times New Roman" w:hAnsi="Times New Roman"/>
          <w:sz w:val="24"/>
          <w:szCs w:val="24"/>
        </w:rPr>
        <w:t>и</w:t>
      </w:r>
      <w:r w:rsidRPr="00EA3A5F">
        <w:rPr>
          <w:rFonts w:ascii="Times New Roman" w:hAnsi="Times New Roman"/>
          <w:sz w:val="24"/>
          <w:szCs w:val="24"/>
        </w:rPr>
        <w:t>, в том числе проведение Молодежного саммита и Глобального университетского саммита БРИКС, учреждение Сетевого университета БРИКС, расширение приема граждан стран БРИКС в российские высшие учебные заведения, проведение Форума молодых дипломатов стран БРИКС, проведение Форума молодых ученых и предпринимателей стран БРИКС др.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5F">
        <w:rPr>
          <w:rFonts w:ascii="Times New Roman" w:hAnsi="Times New Roman"/>
          <w:sz w:val="24"/>
          <w:szCs w:val="24"/>
        </w:rPr>
        <w:t>Хочется надеяться, что благодаря всем этим мероприятиям деятельность стран БРИКС приведет к новому устройству экономического и интеллектуального миропорядка и к новым центрам притяжения разного типа для других стран.</w:t>
      </w:r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3A64" w:rsidRPr="00EA3A5F" w:rsidRDefault="00F13A64" w:rsidP="00EA3A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источников</w:t>
      </w:r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Указы Президента Российской Федерации от 07 мая 2012 года. - </w:t>
      </w:r>
      <w:hyperlink r:id="rId7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http://минобрнауки.рф/%D0%B4%D0%BE%D0%BA%D1%83%D0%BC%D0%B5%D0%BD%D1%82%D1%8B/2257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Распоряжение Правительства РФ от 8.12.2011 г. N 2227-р О Стратегии инновационного развития РФ на период до 2020 г.  - </w:t>
      </w:r>
      <w:hyperlink r:id="rId8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garant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products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ipo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prime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</w:t>
        </w:r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/70006124/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9 апреля 2010 года № 218. - </w:t>
      </w:r>
      <w:hyperlink r:id="rId9" w:history="1">
        <w:r w:rsidRPr="0091746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http://минобрнауки.рф/%D0%B4%D0%BE%D0%BA%D1%83%D0%BC%D0%B5%D0%BD%D1%82%D1%8B/1994/%D1%84%D0%B0%D0%B9%D0%BB/1237/10.04.09-%D0%9F%D0%BE%D1%81%D1%82%D0%B0%D0%BD%D0%BE%D0%B2%D0%BB%D0%B5%D0%BD%D0%B8%D0%B5_218.pdf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bCs/>
          <w:iCs/>
          <w:sz w:val="24"/>
          <w:szCs w:val="24"/>
        </w:rPr>
        <w:t>Материалы конференции: «Перспективы финансирования науки и инноваций в текущих экономических условиях» при поддержке Министерства образования и науки РФ (16.10.2015 г.). Выступление Г.Шепелева</w:t>
      </w:r>
      <w:r w:rsidRPr="0091746C">
        <w:rPr>
          <w:rFonts w:ascii="Times New Roman" w:hAnsi="Times New Roman"/>
          <w:iCs/>
          <w:sz w:val="24"/>
          <w:szCs w:val="24"/>
        </w:rPr>
        <w:t xml:space="preserve">, заместителя начальника Управления Президента Российской Федерации по научно-образовательной политике. - </w:t>
      </w:r>
      <w:hyperlink r:id="rId10" w:history="1">
        <w:r w:rsidRPr="0091746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http://www.nanonewsnet.ru/news/2015/v-moskve-obsudili-perspektivy-finansirovaniya-nauki-innovatsii-v-tekushchikh-ekonomicheski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bCs/>
          <w:iCs/>
          <w:sz w:val="24"/>
          <w:szCs w:val="24"/>
        </w:rPr>
        <w:t>Материалы конференции: «Перспективы финансирования науки и инноваций в текущих экономических условиях» при поддержке Министерства образования и науки РФ (16.10.2015 г.). Выступление М.Попова</w:t>
      </w:r>
      <w:r w:rsidRPr="0091746C">
        <w:rPr>
          <w:rFonts w:ascii="Times New Roman" w:hAnsi="Times New Roman"/>
          <w:iCs/>
          <w:sz w:val="24"/>
          <w:szCs w:val="24"/>
        </w:rPr>
        <w:t xml:space="preserve">, директора Департамента управления программами и конкурсных процедур Министерства образования и науки РФ. - </w:t>
      </w:r>
      <w:hyperlink r:id="rId11" w:history="1">
        <w:r w:rsidRPr="0091746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http://www.nanonewsnet.ru/news/2015/v-moskve-obsudili-perspektivy-finansirovaniya-nauki-innovatsii-v-tekushchikh-ekonomicheski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bCs/>
          <w:iCs/>
          <w:sz w:val="24"/>
          <w:szCs w:val="24"/>
        </w:rPr>
        <w:t xml:space="preserve">Материалы конференции: «Перспективы финансирования науки и инноваций в текущих экономических условиях» при поддержке Министерства образования и науки РФ (16.10.2015 г.). Выступление Л.Духаниной, </w:t>
      </w:r>
      <w:r w:rsidRPr="0091746C">
        <w:rPr>
          <w:rFonts w:ascii="Times New Roman" w:hAnsi="Times New Roman"/>
          <w:iCs/>
          <w:sz w:val="24"/>
          <w:szCs w:val="24"/>
        </w:rPr>
        <w:t>председателя Комиссии по развитию науки и образования Общественной палаты РФ. -</w:t>
      </w:r>
      <w:r w:rsidRPr="0091746C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12" w:history="1">
        <w:r w:rsidRPr="0091746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http://www.nanonewsnet.ru/news/2015/v-moskve-obsudili-perspektivy-finansirovaniya-nauki-innovatsii-v-tekushchikh-ekonomicheski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ФЦП «Исследования и разработки по приоритетным направлениям развития научно-технологического комплекса России». - </w:t>
      </w:r>
      <w:hyperlink r:id="rId13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http://2014.fcpir.ru/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iCs/>
          <w:sz w:val="24"/>
          <w:szCs w:val="24"/>
        </w:rPr>
        <w:t xml:space="preserve">Федеральный закон от 02.08.2009 N 217-ФЗ (ред. от 29.12.2012)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 - </w:t>
      </w:r>
      <w:hyperlink r:id="rId14" w:history="1">
        <w:r w:rsidRPr="0091746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http://www.consultant.ru/document/cons_doc_LAW_90201/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Научно-исследовательская и инновационная инициатива БРИКС. - </w:t>
      </w:r>
      <w:hyperlink r:id="rId15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http://www.nias.res.in/BRICS/brics.html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№ 1305-р от 24 июля 2013 г. - </w:t>
      </w:r>
      <w:hyperlink r:id="rId16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http://government.ru/media/files/41d47df26b496588f061.pdf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Дорожная карта по созданию в Российской Федерации технологий квантовой обработки информации / Фонд перспективный исследований. 2015. - </w:t>
      </w:r>
      <w:hyperlink r:id="rId17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http://fpi.gov.ru/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Приказ о проведении конкурсного отбора образовательных организаций высшего образования на финансовое обеспечение программ развития и создания на базе образовательных организаций </w:t>
      </w:r>
      <w:r w:rsidRPr="0091746C">
        <w:rPr>
          <w:rFonts w:ascii="Times New Roman" w:hAnsi="Times New Roman"/>
          <w:bCs/>
          <w:sz w:val="24"/>
          <w:szCs w:val="24"/>
        </w:rPr>
        <w:t xml:space="preserve">опорных университетов (16.10.2015). - </w:t>
      </w:r>
      <w:hyperlink r:id="rId18" w:history="1">
        <w:r w:rsidRPr="0091746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http://минобрнауки.рф/%D1%81/%D0%BD%D0%BE%D0%B2%D0%BE%D1%81%D1%82%D0%B8/6469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bCs/>
          <w:sz w:val="24"/>
          <w:szCs w:val="24"/>
        </w:rPr>
        <w:t>Приказ Минобрнауки России № 811 от 7.08.2015 г. «</w:t>
      </w:r>
      <w:r w:rsidRPr="0091746C">
        <w:rPr>
          <w:rFonts w:ascii="Times New Roman" w:hAnsi="Times New Roman"/>
          <w:sz w:val="24"/>
          <w:szCs w:val="24"/>
        </w:rPr>
        <w:t>О проведении конкурсного отбора образовательных организаций высшего образования на финансовое обеспечение программ развития федеральных государственных образовательных организаций высшего образования за счет средств федерального бюджета в 2016-2018 годах</w:t>
      </w:r>
      <w:r w:rsidRPr="0091746C">
        <w:rPr>
          <w:rFonts w:ascii="Times New Roman" w:hAnsi="Times New Roman"/>
          <w:bCs/>
          <w:sz w:val="24"/>
          <w:szCs w:val="24"/>
        </w:rPr>
        <w:t xml:space="preserve">». - </w:t>
      </w:r>
      <w:hyperlink r:id="rId19" w:history="1">
        <w:r w:rsidRPr="0091746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http://минобрнауки.рф/%D0%B4%D0%BE%D0%BA%D1%83%D0%BC%D0%B5%D0%BD%D1%82%D1%8B/6072/%D1%84%D0%B0%D0%B9%D0%BB/5094/Prikaz_%E2%84%96_692_ot_07.07.2015.pdf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Создание Межрегиональных центров компетенции в рамках Федеральной целевой программы развития образования на 2016-2020 годы. - </w:t>
      </w:r>
      <w:hyperlink r:id="rId20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http://www.strf.ru/material.aspx?CatalogId=221&amp;d_no=112739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Объявление о проведении в 2016 году конкурсного отбора дополнительных профессиональных программ повышения квалификации инженерно-технических кадров. -  </w:t>
      </w:r>
      <w:hyperlink r:id="rId21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http://минобрнауки.рф/%D0%BD%D0%BE%D0%B2%D0%BE%D1%81%D1%82%D0%B8/7407/%D1%84%D0%B0%D0%B9%D0%BB/6274/06-3191vn_prilozhenie.pdf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Декларация о сотрудничестве по реализации многосторонних исследовательских проектов, 28.10.2015. - </w:t>
      </w:r>
      <w:hyperlink r:id="rId22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http://минобрнауки.рф/%D1%81%D0%BE%D0%B1%D1%8B%D1%82%D0%B8%D1%8F/6878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Технологические инжиниринговые компании. - </w:t>
      </w:r>
      <w:hyperlink r:id="rId23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http://www.rusnano.com/upload/images/infrastructure/%D0%A4%D0%98%D0%9E%D0%9F_%D0%A0%D0%9E%D0%A1%D0%9D%D0%90%D0%9D%D0%9E_%D0%9A%D0%BE%D0%BD%D1%86%D0%B5%D0%BF%D1%86%D0%B8%D1%8F_%D0%A2%D0%98%D0%9A_2013.pdf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46C">
        <w:rPr>
          <w:rFonts w:ascii="Times New Roman" w:hAnsi="Times New Roman"/>
          <w:sz w:val="24"/>
          <w:szCs w:val="24"/>
        </w:rPr>
        <w:t xml:space="preserve">Чубайс А.Б. Инновационная экономика и технологическое предпринимательство (лекция), МФТИ, Долгопрудный, Моск. обл., 7.09.2011. - </w:t>
      </w:r>
      <w:hyperlink r:id="rId24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http://www.rusnano.com/about/structure/chubais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http://www.nanonewsnet.ru/news/2015/rosnano-vsekitaiskaya-aerokosmicheskaya-korporatsiya-nauki-promyshlennosti-zaklyuchili-sog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http://www.nanonewsnet.ru/news/2015/v-rossii-poyavitsya-inzhiniringovyi-tsentr-elektroniki-novogo-pokoleniya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http://www.nanonewsnet.ru/news/2015/podpisany-sovmestnye-rossiisko-kitaiskie-dokumenty-o-sotrudnichestve-v-energetike-nauke-ek</w:t>
        </w:r>
      </w:hyperlink>
    </w:p>
    <w:p w:rsidR="00F13A64" w:rsidRPr="0091746C" w:rsidRDefault="00F13A64" w:rsidP="00EA3A5F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http://ria.ru/politics/20151224/1348170488.html</w:t>
        </w:r>
      </w:hyperlink>
    </w:p>
    <w:p w:rsidR="00F13A64" w:rsidRPr="0091746C" w:rsidRDefault="00F13A64" w:rsidP="0091746C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sz w:val="20"/>
        </w:rPr>
      </w:pPr>
      <w:hyperlink r:id="rId29" w:history="1">
        <w:r w:rsidRPr="009174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http://минобрнауки.рф/%D1%81%D0%BF%D0%B5%D1%86%D0%BF%D1%80%D0%BE%D0%B5%D0%BA%D1%82%D1%8B/%D0%91%D0%A0%D0%98%D0%9A%D0%A1</w:t>
        </w:r>
      </w:hyperlink>
    </w:p>
    <w:sectPr w:rsidR="00F13A64" w:rsidRPr="0091746C" w:rsidSect="00EA3A5F">
      <w:footerReference w:type="even" r:id="rId30"/>
      <w:footerReference w:type="default" r:id="rId31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64" w:rsidRDefault="00F13A64" w:rsidP="0001328B">
      <w:pPr>
        <w:spacing w:after="0" w:line="240" w:lineRule="auto"/>
      </w:pPr>
      <w:r>
        <w:separator/>
      </w:r>
    </w:p>
  </w:endnote>
  <w:endnote w:type="continuationSeparator" w:id="0">
    <w:p w:rsidR="00F13A64" w:rsidRDefault="00F13A64" w:rsidP="000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64" w:rsidRDefault="00F13A64" w:rsidP="00EA3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A64" w:rsidRDefault="00F13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64" w:rsidRPr="00EA3A5F" w:rsidRDefault="00F13A64" w:rsidP="00EA3A5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A3A5F">
      <w:rPr>
        <w:rStyle w:val="PageNumber"/>
        <w:rFonts w:ascii="Times New Roman" w:hAnsi="Times New Roman"/>
        <w:sz w:val="24"/>
        <w:szCs w:val="24"/>
      </w:rPr>
      <w:fldChar w:fldCharType="begin"/>
    </w:r>
    <w:r w:rsidRPr="00EA3A5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A3A5F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EA3A5F">
      <w:rPr>
        <w:rStyle w:val="PageNumber"/>
        <w:rFonts w:ascii="Times New Roman" w:hAnsi="Times New Roman"/>
        <w:sz w:val="24"/>
        <w:szCs w:val="24"/>
      </w:rPr>
      <w:fldChar w:fldCharType="end"/>
    </w:r>
  </w:p>
  <w:p w:rsidR="00F13A64" w:rsidRPr="00EA3A5F" w:rsidRDefault="00F13A6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64" w:rsidRDefault="00F13A64" w:rsidP="0001328B">
      <w:pPr>
        <w:spacing w:after="0" w:line="240" w:lineRule="auto"/>
      </w:pPr>
      <w:r>
        <w:separator/>
      </w:r>
    </w:p>
  </w:footnote>
  <w:footnote w:type="continuationSeparator" w:id="0">
    <w:p w:rsidR="00F13A64" w:rsidRDefault="00F13A64" w:rsidP="0001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AB"/>
    <w:multiLevelType w:val="hybridMultilevel"/>
    <w:tmpl w:val="FCD4F666"/>
    <w:lvl w:ilvl="0" w:tplc="6476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8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A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F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A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0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D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8F3A4F"/>
    <w:multiLevelType w:val="hybridMultilevel"/>
    <w:tmpl w:val="2E6A0094"/>
    <w:lvl w:ilvl="0" w:tplc="981C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2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4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2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C6908"/>
    <w:multiLevelType w:val="hybridMultilevel"/>
    <w:tmpl w:val="50264226"/>
    <w:lvl w:ilvl="0" w:tplc="D6B8F4A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24B0A55"/>
    <w:multiLevelType w:val="hybridMultilevel"/>
    <w:tmpl w:val="2F16A608"/>
    <w:lvl w:ilvl="0" w:tplc="1A8013F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B039E"/>
    <w:multiLevelType w:val="hybridMultilevel"/>
    <w:tmpl w:val="50264226"/>
    <w:lvl w:ilvl="0" w:tplc="D6B8F4A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14263A6A"/>
    <w:multiLevelType w:val="hybridMultilevel"/>
    <w:tmpl w:val="4A58A02C"/>
    <w:lvl w:ilvl="0" w:tplc="D688DCE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5F6E23"/>
    <w:multiLevelType w:val="hybridMultilevel"/>
    <w:tmpl w:val="E16CAC22"/>
    <w:lvl w:ilvl="0" w:tplc="314C8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D483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00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92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380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8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5C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C63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DC2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C2D4C"/>
    <w:multiLevelType w:val="hybridMultilevel"/>
    <w:tmpl w:val="03FAC8EE"/>
    <w:lvl w:ilvl="0" w:tplc="CAE8D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87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87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81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27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F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C1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8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20F4F"/>
    <w:multiLevelType w:val="hybridMultilevel"/>
    <w:tmpl w:val="5DEEFCA6"/>
    <w:lvl w:ilvl="0" w:tplc="0ACC8BB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F61022"/>
    <w:multiLevelType w:val="hybridMultilevel"/>
    <w:tmpl w:val="58BA67A4"/>
    <w:lvl w:ilvl="0" w:tplc="5570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2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E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0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72BA6"/>
    <w:multiLevelType w:val="hybridMultilevel"/>
    <w:tmpl w:val="661EFA42"/>
    <w:lvl w:ilvl="0" w:tplc="4FD6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C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C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2D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F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2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644130"/>
    <w:multiLevelType w:val="hybridMultilevel"/>
    <w:tmpl w:val="468CD464"/>
    <w:lvl w:ilvl="0" w:tplc="AA6ED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A9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6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A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6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464D45"/>
    <w:multiLevelType w:val="hybridMultilevel"/>
    <w:tmpl w:val="35F43976"/>
    <w:lvl w:ilvl="0" w:tplc="D190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A1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A4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E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CF6DA2"/>
    <w:multiLevelType w:val="hybridMultilevel"/>
    <w:tmpl w:val="79EAA788"/>
    <w:lvl w:ilvl="0" w:tplc="8E7E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8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8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C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A4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4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2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570BA7"/>
    <w:multiLevelType w:val="hybridMultilevel"/>
    <w:tmpl w:val="7A5C8AF8"/>
    <w:lvl w:ilvl="0" w:tplc="F2DC7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B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C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330FCF"/>
    <w:multiLevelType w:val="hybridMultilevel"/>
    <w:tmpl w:val="56742398"/>
    <w:lvl w:ilvl="0" w:tplc="F4A4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A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E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E0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6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9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B84087"/>
    <w:multiLevelType w:val="hybridMultilevel"/>
    <w:tmpl w:val="83C815D0"/>
    <w:lvl w:ilvl="0" w:tplc="B35C56D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2A60BC"/>
    <w:multiLevelType w:val="hybridMultilevel"/>
    <w:tmpl w:val="C818FB30"/>
    <w:lvl w:ilvl="0" w:tplc="1E3E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E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8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0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E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B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A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686258"/>
    <w:multiLevelType w:val="hybridMultilevel"/>
    <w:tmpl w:val="2F505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5F73BC"/>
    <w:multiLevelType w:val="hybridMultilevel"/>
    <w:tmpl w:val="95600A70"/>
    <w:lvl w:ilvl="0" w:tplc="CF14CB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A032A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56119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4C5AE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54737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927F5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028C1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284C2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8C18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A91A6C"/>
    <w:multiLevelType w:val="hybridMultilevel"/>
    <w:tmpl w:val="A6162572"/>
    <w:lvl w:ilvl="0" w:tplc="0C9C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2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6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2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4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814841"/>
    <w:multiLevelType w:val="hybridMultilevel"/>
    <w:tmpl w:val="4A76E836"/>
    <w:lvl w:ilvl="0" w:tplc="0E62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C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E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0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E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D9021E"/>
    <w:multiLevelType w:val="hybridMultilevel"/>
    <w:tmpl w:val="B044985E"/>
    <w:lvl w:ilvl="0" w:tplc="B20CE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E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2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E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22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4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B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F41ED3"/>
    <w:multiLevelType w:val="hybridMultilevel"/>
    <w:tmpl w:val="B86C7BE8"/>
    <w:lvl w:ilvl="0" w:tplc="6F2677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D9E0F1A"/>
    <w:multiLevelType w:val="hybridMultilevel"/>
    <w:tmpl w:val="033C8AD0"/>
    <w:lvl w:ilvl="0" w:tplc="CCB0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2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0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A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7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F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846F83"/>
    <w:multiLevelType w:val="hybridMultilevel"/>
    <w:tmpl w:val="8780ABA4"/>
    <w:lvl w:ilvl="0" w:tplc="5A981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CD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606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C1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85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E4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1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E131C"/>
    <w:multiLevelType w:val="hybridMultilevel"/>
    <w:tmpl w:val="A57E59EE"/>
    <w:lvl w:ilvl="0" w:tplc="6484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D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6E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8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87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68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E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432965"/>
    <w:multiLevelType w:val="hybridMultilevel"/>
    <w:tmpl w:val="8ACA0DB2"/>
    <w:lvl w:ilvl="0" w:tplc="D7EAC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C637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4B7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A25F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1A8C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D2DE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642E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0451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476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764B75"/>
    <w:multiLevelType w:val="hybridMultilevel"/>
    <w:tmpl w:val="1D7A37C0"/>
    <w:lvl w:ilvl="0" w:tplc="0D4E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B60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261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4AB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B4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F48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3EF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CA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2EE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F43C7B"/>
    <w:multiLevelType w:val="hybridMultilevel"/>
    <w:tmpl w:val="110C596C"/>
    <w:lvl w:ilvl="0" w:tplc="1C5C6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A06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42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B6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14A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367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162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20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D88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25"/>
  </w:num>
  <w:num w:numId="8">
    <w:abstractNumId w:val="7"/>
  </w:num>
  <w:num w:numId="9">
    <w:abstractNumId w:val="24"/>
  </w:num>
  <w:num w:numId="10">
    <w:abstractNumId w:val="29"/>
  </w:num>
  <w:num w:numId="11">
    <w:abstractNumId w:val="15"/>
  </w:num>
  <w:num w:numId="12">
    <w:abstractNumId w:val="27"/>
  </w:num>
  <w:num w:numId="13">
    <w:abstractNumId w:val="14"/>
  </w:num>
  <w:num w:numId="14">
    <w:abstractNumId w:val="19"/>
  </w:num>
  <w:num w:numId="15">
    <w:abstractNumId w:val="28"/>
  </w:num>
  <w:num w:numId="16">
    <w:abstractNumId w:val="9"/>
  </w:num>
  <w:num w:numId="17">
    <w:abstractNumId w:val="22"/>
  </w:num>
  <w:num w:numId="18">
    <w:abstractNumId w:val="0"/>
  </w:num>
  <w:num w:numId="19">
    <w:abstractNumId w:val="12"/>
  </w:num>
  <w:num w:numId="20">
    <w:abstractNumId w:val="13"/>
  </w:num>
  <w:num w:numId="21">
    <w:abstractNumId w:val="11"/>
  </w:num>
  <w:num w:numId="22">
    <w:abstractNumId w:val="26"/>
  </w:num>
  <w:num w:numId="23">
    <w:abstractNumId w:val="23"/>
  </w:num>
  <w:num w:numId="24">
    <w:abstractNumId w:val="8"/>
  </w:num>
  <w:num w:numId="25">
    <w:abstractNumId w:val="18"/>
  </w:num>
  <w:num w:numId="26">
    <w:abstractNumId w:val="3"/>
  </w:num>
  <w:num w:numId="27">
    <w:abstractNumId w:val="16"/>
  </w:num>
  <w:num w:numId="28">
    <w:abstractNumId w:val="5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46"/>
    <w:rsid w:val="0001328B"/>
    <w:rsid w:val="0002174D"/>
    <w:rsid w:val="000B2187"/>
    <w:rsid w:val="000B326C"/>
    <w:rsid w:val="000C54DE"/>
    <w:rsid w:val="00132D5F"/>
    <w:rsid w:val="0014553E"/>
    <w:rsid w:val="00161F14"/>
    <w:rsid w:val="00186183"/>
    <w:rsid w:val="00195240"/>
    <w:rsid w:val="001B69FE"/>
    <w:rsid w:val="001C73DF"/>
    <w:rsid w:val="001E561C"/>
    <w:rsid w:val="001F4012"/>
    <w:rsid w:val="00215829"/>
    <w:rsid w:val="0023424C"/>
    <w:rsid w:val="00236D2A"/>
    <w:rsid w:val="00241835"/>
    <w:rsid w:val="00257636"/>
    <w:rsid w:val="002670E9"/>
    <w:rsid w:val="002B680F"/>
    <w:rsid w:val="0030130B"/>
    <w:rsid w:val="0030362A"/>
    <w:rsid w:val="0031039A"/>
    <w:rsid w:val="00310CA7"/>
    <w:rsid w:val="00351987"/>
    <w:rsid w:val="003C0AE2"/>
    <w:rsid w:val="003C71C7"/>
    <w:rsid w:val="00411229"/>
    <w:rsid w:val="004218D9"/>
    <w:rsid w:val="00462235"/>
    <w:rsid w:val="00490ECA"/>
    <w:rsid w:val="004A22CD"/>
    <w:rsid w:val="004B151A"/>
    <w:rsid w:val="004C1340"/>
    <w:rsid w:val="004C6CF4"/>
    <w:rsid w:val="004D34D9"/>
    <w:rsid w:val="00537133"/>
    <w:rsid w:val="0054646D"/>
    <w:rsid w:val="00563845"/>
    <w:rsid w:val="00564077"/>
    <w:rsid w:val="00566058"/>
    <w:rsid w:val="0056708F"/>
    <w:rsid w:val="00586F46"/>
    <w:rsid w:val="005B2973"/>
    <w:rsid w:val="005E06F0"/>
    <w:rsid w:val="00633765"/>
    <w:rsid w:val="006B4F7E"/>
    <w:rsid w:val="006C4C79"/>
    <w:rsid w:val="006D54BE"/>
    <w:rsid w:val="006D7733"/>
    <w:rsid w:val="00714036"/>
    <w:rsid w:val="00714CD7"/>
    <w:rsid w:val="007178CC"/>
    <w:rsid w:val="00731A5C"/>
    <w:rsid w:val="00755AFD"/>
    <w:rsid w:val="00755BEE"/>
    <w:rsid w:val="0078297B"/>
    <w:rsid w:val="00791DCF"/>
    <w:rsid w:val="00794769"/>
    <w:rsid w:val="007B07FB"/>
    <w:rsid w:val="007B7777"/>
    <w:rsid w:val="007C50B2"/>
    <w:rsid w:val="007C7CB4"/>
    <w:rsid w:val="007E0292"/>
    <w:rsid w:val="00801F9A"/>
    <w:rsid w:val="00844F95"/>
    <w:rsid w:val="00886252"/>
    <w:rsid w:val="0089755D"/>
    <w:rsid w:val="008A35FE"/>
    <w:rsid w:val="008D04F9"/>
    <w:rsid w:val="008E2130"/>
    <w:rsid w:val="0091746C"/>
    <w:rsid w:val="009355D4"/>
    <w:rsid w:val="00970102"/>
    <w:rsid w:val="00976B6A"/>
    <w:rsid w:val="00990B18"/>
    <w:rsid w:val="009954F8"/>
    <w:rsid w:val="009B6449"/>
    <w:rsid w:val="009D21E9"/>
    <w:rsid w:val="00A20C89"/>
    <w:rsid w:val="00A44361"/>
    <w:rsid w:val="00A50E0A"/>
    <w:rsid w:val="00A5392E"/>
    <w:rsid w:val="00A64DF6"/>
    <w:rsid w:val="00A7104A"/>
    <w:rsid w:val="00A9084B"/>
    <w:rsid w:val="00A974D4"/>
    <w:rsid w:val="00AA19AD"/>
    <w:rsid w:val="00AD5D77"/>
    <w:rsid w:val="00AD771D"/>
    <w:rsid w:val="00AE5AD5"/>
    <w:rsid w:val="00B07B53"/>
    <w:rsid w:val="00B11A5E"/>
    <w:rsid w:val="00B241B7"/>
    <w:rsid w:val="00B25783"/>
    <w:rsid w:val="00B26271"/>
    <w:rsid w:val="00B525FB"/>
    <w:rsid w:val="00B53830"/>
    <w:rsid w:val="00B71800"/>
    <w:rsid w:val="00B74367"/>
    <w:rsid w:val="00B97D06"/>
    <w:rsid w:val="00BC5199"/>
    <w:rsid w:val="00BD0D7A"/>
    <w:rsid w:val="00C02D04"/>
    <w:rsid w:val="00C03214"/>
    <w:rsid w:val="00C0659C"/>
    <w:rsid w:val="00C10C2A"/>
    <w:rsid w:val="00C3150A"/>
    <w:rsid w:val="00C42D27"/>
    <w:rsid w:val="00C42EEF"/>
    <w:rsid w:val="00C558BA"/>
    <w:rsid w:val="00C6288F"/>
    <w:rsid w:val="00C96FBA"/>
    <w:rsid w:val="00CF24C2"/>
    <w:rsid w:val="00D01707"/>
    <w:rsid w:val="00D21B63"/>
    <w:rsid w:val="00D328AD"/>
    <w:rsid w:val="00D470B7"/>
    <w:rsid w:val="00D602D5"/>
    <w:rsid w:val="00D83A47"/>
    <w:rsid w:val="00D878B9"/>
    <w:rsid w:val="00DF13E7"/>
    <w:rsid w:val="00E205A4"/>
    <w:rsid w:val="00E45930"/>
    <w:rsid w:val="00E56D38"/>
    <w:rsid w:val="00E618CC"/>
    <w:rsid w:val="00E619BB"/>
    <w:rsid w:val="00E925B0"/>
    <w:rsid w:val="00EA3A5F"/>
    <w:rsid w:val="00EC10AF"/>
    <w:rsid w:val="00F13A64"/>
    <w:rsid w:val="00F212F8"/>
    <w:rsid w:val="00F51F7C"/>
    <w:rsid w:val="00F73051"/>
    <w:rsid w:val="00F80118"/>
    <w:rsid w:val="00F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6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2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28B"/>
    <w:rPr>
      <w:rFonts w:cs="Times New Roman"/>
    </w:rPr>
  </w:style>
  <w:style w:type="character" w:styleId="Hyperlink">
    <w:name w:val="Hyperlink"/>
    <w:basedOn w:val="DefaultParagraphFont"/>
    <w:uiPriority w:val="99"/>
    <w:rsid w:val="00564077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618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18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18C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1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8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18C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0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A3A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3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520">
                      <w:marLeft w:val="0"/>
                      <w:marRight w:val="0"/>
                      <w:marTop w:val="27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53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2" w:space="0" w:color="E3E3E3"/>
                        <w:right w:val="single" w:sz="6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7131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05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04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06124/" TargetMode="External"/><Relationship Id="rId13" Type="http://schemas.openxmlformats.org/officeDocument/2006/relationships/hyperlink" Target="http://2014.fcpir.ru/" TargetMode="External"/><Relationship Id="rId18" Type="http://schemas.openxmlformats.org/officeDocument/2006/relationships/hyperlink" Target="http://&#1084;&#1080;&#1085;&#1086;&#1073;&#1088;&#1085;&#1072;&#1091;&#1082;&#1080;.&#1088;&#1092;/%D1%81/%D0%BD%D0%BE%D0%B2%D0%BE%D1%81%D1%82%D0%B8/6469" TargetMode="External"/><Relationship Id="rId26" Type="http://schemas.openxmlformats.org/officeDocument/2006/relationships/hyperlink" Target="http://www.nanonewsnet.ru/news/2015/v-rossii-poyavitsya-inzhiniringovyi-tsentr-elektroniki-novogo-pokol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%D0%BD%D0%BE%D0%B2%D0%BE%D1%81%D1%82%D0%B8/7407/%D1%84%D0%B0%D0%B9%D0%BB/6274/06-3191vn_prilozhenie.pdf" TargetMode="External"/><Relationship Id="rId7" Type="http://schemas.openxmlformats.org/officeDocument/2006/relationships/hyperlink" Target="http://&#1084;&#1080;&#1085;&#1086;&#1073;&#1088;&#1085;&#1072;&#1091;&#1082;&#1080;.&#1088;&#1092;/%D0%B4%D0%BE%D0%BA%D1%83%D0%BC%D0%B5%D0%BD%D1%82%D1%8B/2257" TargetMode="External"/><Relationship Id="rId12" Type="http://schemas.openxmlformats.org/officeDocument/2006/relationships/hyperlink" Target="http://www.nanonewsnet.ru/news/2015/v-moskve-obsudili-perspektivy-finansirovaniya-nauki-innovatsii-v-tekushchikh-ekonomicheski" TargetMode="External"/><Relationship Id="rId17" Type="http://schemas.openxmlformats.org/officeDocument/2006/relationships/hyperlink" Target="http://fpi.gov.ru/" TargetMode="External"/><Relationship Id="rId25" Type="http://schemas.openxmlformats.org/officeDocument/2006/relationships/hyperlink" Target="http://www.nanonewsnet.ru/news/2015/rosnano-vsekitaiskaya-aerokosmicheskaya-korporatsiya-nauki-promyshlennosti-zaklyuchili-so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vernment.ru/media/files/41d47df26b496588f061.pdf" TargetMode="External"/><Relationship Id="rId20" Type="http://schemas.openxmlformats.org/officeDocument/2006/relationships/hyperlink" Target="http://www.strf.ru/material.aspx?CatalogId=221&amp;d_no=112739" TargetMode="External"/><Relationship Id="rId29" Type="http://schemas.openxmlformats.org/officeDocument/2006/relationships/hyperlink" Target="http://&#1084;&#1080;&#1085;&#1086;&#1073;&#1088;&#1085;&#1072;&#1091;&#1082;&#1080;.&#1088;&#1092;/%D1%81%D0%BF%D0%B5%D1%86%D0%BF%D1%80%D0%BE%D0%B5%D0%BA%D1%82%D1%8B/%D0%91%D0%A0%D0%98%D0%9A%D0%A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nonewsnet.ru/news/2015/v-moskve-obsudili-perspektivy-finansirovaniya-nauki-innovatsii-v-tekushchikh-ekonomicheski" TargetMode="External"/><Relationship Id="rId24" Type="http://schemas.openxmlformats.org/officeDocument/2006/relationships/hyperlink" Target="http://www.rusnano.com/about/structure/chubai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as.res.in/BRICS/brics.html" TargetMode="External"/><Relationship Id="rId23" Type="http://schemas.openxmlformats.org/officeDocument/2006/relationships/hyperlink" Target="http://www.rusnano.com/upload/images/infrastructure/%D0%A4%D0%98%D0%9E%D0%9F_%D0%A0%D0%9E%D0%A1%D0%9D%D0%90%D0%9D%D0%9E_%D0%9A%D0%BE%D0%BD%D1%86%D0%B5%D0%BF%D1%86%D0%B8%D1%8F_%D0%A2%D0%98%D0%9A_2013.pdf" TargetMode="External"/><Relationship Id="rId28" Type="http://schemas.openxmlformats.org/officeDocument/2006/relationships/hyperlink" Target="http://ria.ru/politics/20151224/1348170488.html" TargetMode="External"/><Relationship Id="rId10" Type="http://schemas.openxmlformats.org/officeDocument/2006/relationships/hyperlink" Target="http://www.nanonewsnet.ru/news/2015/v-moskve-obsudili-perspektivy-finansirovaniya-nauki-innovatsii-v-tekushchikh-ekonomicheski" TargetMode="External"/><Relationship Id="rId19" Type="http://schemas.openxmlformats.org/officeDocument/2006/relationships/hyperlink" Target="http://&#1084;&#1080;&#1085;&#1086;&#1073;&#1088;&#1085;&#1072;&#1091;&#1082;&#1080;.&#1088;&#1092;/%D0%B4%D0%BE%D0%BA%D1%83%D0%BC%D0%B5%D0%BD%D1%82%D1%8B/6072/%D1%84%D0%B0%D0%B9%D0%BB/5094/Prikaz_%E2%84%96_692_ot_07.07.2015.pd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1994/%D1%84%D0%B0%D0%B9%D0%BB/1237/10.04.09-%D0%9F%D0%BE%D1%81%D1%82%D0%B0%D0%BD%D0%BE%D0%B2%D0%BB%D0%B5%D0%BD%D0%B8%D0%B5_218.pdf" TargetMode="External"/><Relationship Id="rId14" Type="http://schemas.openxmlformats.org/officeDocument/2006/relationships/hyperlink" Target="http://www.consultant.ru/document/cons_doc_LAW_90201/" TargetMode="External"/><Relationship Id="rId22" Type="http://schemas.openxmlformats.org/officeDocument/2006/relationships/hyperlink" Target="http://&#1084;&#1080;&#1085;&#1086;&#1073;&#1088;&#1085;&#1072;&#1091;&#1082;&#1080;.&#1088;&#1092;/%D1%81%D0%BE%D0%B1%D1%8B%D1%82%D0%B8%D1%8F/6878" TargetMode="External"/><Relationship Id="rId27" Type="http://schemas.openxmlformats.org/officeDocument/2006/relationships/hyperlink" Target="http://www.nanonewsnet.ru/news/2015/podpisany-sovmestnye-rossiisko-kitaiskie-dokumenty-o-sotrudnichestve-v-energetike-nauke-e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17</Pages>
  <Words>5915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как мировой лидер в перспективных исследованиях и разработках –           условие успешности деятельности БРИКС в конкурентном мировом пространстве </dc:title>
  <dc:subject/>
  <dc:creator>Марина А. Крошкина</dc:creator>
  <cp:keywords/>
  <dc:description/>
  <cp:lastModifiedBy>1</cp:lastModifiedBy>
  <cp:revision>4</cp:revision>
  <cp:lastPrinted>2015-12-25T14:12:00Z</cp:lastPrinted>
  <dcterms:created xsi:type="dcterms:W3CDTF">2015-12-25T15:00:00Z</dcterms:created>
  <dcterms:modified xsi:type="dcterms:W3CDTF">2015-12-26T08:30:00Z</dcterms:modified>
</cp:coreProperties>
</file>