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18" w:rsidRPr="00193E05" w:rsidRDefault="00664418" w:rsidP="00B2624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93E05">
        <w:rPr>
          <w:rFonts w:ascii="Times New Roman" w:hAnsi="Times New Roman" w:cs="Times New Roman"/>
          <w:b/>
          <w:i/>
          <w:sz w:val="24"/>
          <w:szCs w:val="24"/>
        </w:rPr>
        <w:t>Нестеров</w:t>
      </w:r>
      <w:r w:rsidR="00B26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3E05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26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3E05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664418" w:rsidRDefault="00664418" w:rsidP="00B2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д.ю.н.,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ВШЭ</w:t>
      </w:r>
    </w:p>
    <w:p w:rsidR="00664418" w:rsidRPr="00193E05" w:rsidRDefault="00664418" w:rsidP="00B26246">
      <w:pPr>
        <w:rPr>
          <w:rFonts w:ascii="Times New Roman" w:hAnsi="Times New Roman" w:cs="Times New Roman"/>
          <w:sz w:val="24"/>
          <w:szCs w:val="24"/>
        </w:rPr>
      </w:pPr>
    </w:p>
    <w:p w:rsidR="00D83B08" w:rsidRPr="00664418" w:rsidRDefault="00664418" w:rsidP="00B2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О</w:t>
      </w:r>
      <w:r w:rsid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18">
        <w:rPr>
          <w:rFonts w:ascii="Times New Roman" w:hAnsi="Times New Roman" w:cs="Times New Roman"/>
          <w:b/>
          <w:sz w:val="24"/>
          <w:szCs w:val="24"/>
        </w:rPr>
        <w:t>СТАНДАРТЕ</w:t>
      </w:r>
      <w:r w:rsid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18">
        <w:rPr>
          <w:rFonts w:ascii="Times New Roman" w:hAnsi="Times New Roman" w:cs="Times New Roman"/>
          <w:b/>
          <w:sz w:val="24"/>
          <w:szCs w:val="24"/>
        </w:rPr>
        <w:t>(КОНЦЕПЦИИ)</w:t>
      </w:r>
      <w:r w:rsid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18">
        <w:rPr>
          <w:rFonts w:ascii="Times New Roman" w:hAnsi="Times New Roman" w:cs="Times New Roman"/>
          <w:b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18">
        <w:rPr>
          <w:rFonts w:ascii="Times New Roman" w:hAnsi="Times New Roman" w:cs="Times New Roman"/>
          <w:b/>
          <w:sz w:val="24"/>
          <w:szCs w:val="24"/>
        </w:rPr>
        <w:t>«ОТКРЫТОГО</w:t>
      </w:r>
      <w:r w:rsid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18">
        <w:rPr>
          <w:rFonts w:ascii="Times New Roman" w:hAnsi="Times New Roman" w:cs="Times New Roman"/>
          <w:b/>
          <w:sz w:val="24"/>
          <w:szCs w:val="24"/>
        </w:rPr>
        <w:t>ПРАВИТЕЛЬСТВА»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Правительственная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комиссия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координации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правительства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рассмотрела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приняла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основу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обязательным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всеми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министерствами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ведомствами.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="00B262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3B08">
        <w:rPr>
          <w:rFonts w:ascii="Times New Roman" w:hAnsi="Times New Roman" w:cs="Times New Roman"/>
          <w:sz w:val="24"/>
          <w:szCs w:val="24"/>
        </w:rPr>
        <w:t>тандарт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комплексный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состоящий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методических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рекомендаций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методики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мониторинга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оценки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26246" w:rsidRP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Публикация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сопровождалась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презентациями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докладов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83B08">
        <w:rPr>
          <w:rFonts w:ascii="Times New Roman" w:hAnsi="Times New Roman" w:cs="Times New Roman"/>
          <w:sz w:val="24"/>
          <w:szCs w:val="24"/>
        </w:rPr>
        <w:t>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посвященных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целям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задачам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судить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наличие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недостаточной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эффективности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обществом.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разработан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повышения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качества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функций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процедур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выработки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ФОИВ,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направлен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повышение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эффективности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ФОИВ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обществом».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Обнародование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портале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«открытого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правительства»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условным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названием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открытости»,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позволяет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анализ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рамках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называемой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экспертизы».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Если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называть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тогда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хотя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немного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соответствовать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требованиям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стандартизации,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формально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знакомы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разработчики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комплекта,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т.к.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упоминается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1.12-2004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«Стандартизация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Российской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Федерации.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Термины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определения».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lastRenderedPageBreak/>
        <w:t>Поэтому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указанном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комплекте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должен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терминологический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раздел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дефинициями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используемых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терминов.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Ссылки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ГОСТы,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отсутствуют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используемые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комплекте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термины,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привод</w:t>
      </w:r>
      <w:r w:rsidR="00B26246">
        <w:rPr>
          <w:rFonts w:ascii="Times New Roman" w:hAnsi="Times New Roman" w:cs="Times New Roman"/>
          <w:sz w:val="24"/>
          <w:szCs w:val="24"/>
        </w:rPr>
        <w:t>я</w:t>
      </w:r>
      <w:r w:rsidRPr="00D83B08">
        <w:rPr>
          <w:rFonts w:ascii="Times New Roman" w:hAnsi="Times New Roman" w:cs="Times New Roman"/>
          <w:sz w:val="24"/>
          <w:szCs w:val="24"/>
        </w:rPr>
        <w:t>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тому,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начинают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гадать,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обозначают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базовые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слова,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референтная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результативность,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эффективность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Одним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является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страдает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недостаточной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понятностью.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умышленно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причисляем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себя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экспертам»,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т.к.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метафоричное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используется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политологами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лишено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смысла,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хотя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законодатели</w:t>
      </w:r>
      <w:r w:rsidR="00B26246">
        <w:rPr>
          <w:rFonts w:ascii="Times New Roman" w:hAnsi="Times New Roman" w:cs="Times New Roman"/>
          <w:sz w:val="24"/>
          <w:szCs w:val="24"/>
        </w:rPr>
        <w:t>-</w:t>
      </w:r>
      <w:r w:rsidRPr="00D83B08">
        <w:rPr>
          <w:rFonts w:ascii="Times New Roman" w:hAnsi="Times New Roman" w:cs="Times New Roman"/>
          <w:sz w:val="24"/>
          <w:szCs w:val="24"/>
        </w:rPr>
        <w:t>политики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легализовали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начале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90-х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годов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прошлого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века,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дали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дефиниции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D83B08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Анализ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(действий)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совершать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самоназванные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ангажированные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эксперты»,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чья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независимость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специальная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компетентность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обсуждаемой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теме,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правило,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проверяется,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любые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компетентностные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обязательно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ученые).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Специальная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компетентность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аналитиков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документально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подтверждаться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основе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обнародованных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Интернете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и/или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опубликованных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журналах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статьях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обсуждаемой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теме.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сожалению,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практика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экспертов»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говорит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имитации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экспертизы»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организовавших,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альтернативных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аналитиков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практически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учитыва</w:t>
      </w:r>
      <w:r w:rsidR="00B26246">
        <w:rPr>
          <w:rFonts w:ascii="Times New Roman" w:hAnsi="Times New Roman" w:cs="Times New Roman"/>
          <w:sz w:val="24"/>
          <w:szCs w:val="24"/>
        </w:rPr>
        <w:t>ю</w:t>
      </w:r>
      <w:r w:rsidRPr="00D83B08">
        <w:rPr>
          <w:rFonts w:ascii="Times New Roman" w:hAnsi="Times New Roman" w:cs="Times New Roman"/>
          <w:sz w:val="24"/>
          <w:szCs w:val="24"/>
        </w:rPr>
        <w:t>тся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D83B08">
        <w:rPr>
          <w:rFonts w:ascii="Times New Roman" w:hAnsi="Times New Roman" w:cs="Times New Roman"/>
          <w:sz w:val="24"/>
          <w:szCs w:val="24"/>
        </w:rPr>
        <w:t>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Несомненно,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внедрение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является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большим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шагом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демократическому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государству.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Однако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терминологические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«детали»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стандарта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очередной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позволить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среднему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чиновнику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найти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причины,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чтобы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целеуказание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руководства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страны.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Недавний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пример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сокращением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количества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услуг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показывает,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смогли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нормально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предоставление,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между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собой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D83B08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Пока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сопрягаются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даже,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некоторых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случаях,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Поэтому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высшее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руководство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страны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решило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задействовать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однако,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путем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бюрократической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lastRenderedPageBreak/>
        <w:t>«привлечения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экспертов»»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называемому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контролю.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Власть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поняла,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обратными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связями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более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результативны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эффективны.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выступить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инициаторами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«драйверами»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улучшения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имиджа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международном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сообществе.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Таким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образом,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-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самоцель,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могущее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позволить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увеличить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доверие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органами.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Представители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(правительство,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губернаторы,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министры)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получать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поддержку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достижении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непопулярных,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необходимых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путем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обсуждения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объяснения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причин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целей,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достигаются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помощью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B26246" w:rsidRDefault="00D83B08" w:rsidP="00B26246">
      <w:pPr>
        <w:rPr>
          <w:rFonts w:ascii="Times New Roman" w:hAnsi="Times New Roman" w:cs="Times New Roman"/>
          <w:b/>
          <w:sz w:val="24"/>
          <w:szCs w:val="24"/>
        </w:rPr>
      </w:pPr>
      <w:r w:rsidRPr="00B26246">
        <w:rPr>
          <w:rFonts w:ascii="Times New Roman" w:hAnsi="Times New Roman" w:cs="Times New Roman"/>
          <w:b/>
          <w:sz w:val="24"/>
          <w:szCs w:val="24"/>
        </w:rPr>
        <w:t>Соотношение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открытости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прозрачности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упоминается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68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-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свидетельствует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подчиненном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значении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существует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процессов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принятия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механизмы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т.д.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дано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последовательное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неукоснительное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соблюдение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полномочий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функций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следующих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(далее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открытости):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а)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открытости;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б)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понятности;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вовлеченности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общества;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г)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подотчетности».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реализует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известное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конституционное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доступ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сведениям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(контенту),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содержащим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необходимую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публичной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расшифровывается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используется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совместно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«прозрачность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работы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механизма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lastRenderedPageBreak/>
        <w:t>(инструмента)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Наверное,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использование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связано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научных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публикациях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единого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подхода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значению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«прозрачности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системы)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довольно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сложное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D83B08">
        <w:rPr>
          <w:rFonts w:ascii="Times New Roman" w:hAnsi="Times New Roman" w:cs="Times New Roman"/>
          <w:sz w:val="24"/>
          <w:szCs w:val="24"/>
        </w:rPr>
        <w:t>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построение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достаточно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наукоемкое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трудоемкое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D83B08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Существует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подходов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определению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числе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Несомненно,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рассматриваемом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комплексе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документов,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речь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идет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авторы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книги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считают: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«…Принцип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предполагает,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администрация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внешнего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наблюдения,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означает,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наблюдении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насквозь».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Авторы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отмечают,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—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сколько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администрирование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достичь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либеральном,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демократическом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Ф.И.Белозор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демократическую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заключается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наличии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фактической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возможности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участвовать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формировании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политики,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муниципальных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управленческих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исполнения.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наш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взгляд,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характеризующее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фактическую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возможность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политические,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законодательные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и/или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образом,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подразумевает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все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имеют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фактический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доступ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очередь,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характеризующее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максимально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возможную,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законодательно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закрепленную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гарантированную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доступность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достоверной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lastRenderedPageBreak/>
        <w:t>информации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муниципального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администрирования.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двум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важным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примыкает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подотчетности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контролируемым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надзирающим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вышестоящим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инстанциям,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Однако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необходимо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различать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подконтрольность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публичную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подотчетность,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т.к.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рамках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публичной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прозрачности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предоставлять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сведения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(публичные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показатели),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характеризующие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влияющие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жизнедеятельность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</w:p>
    <w:p w:rsidR="00D83B08" w:rsidRPr="00B26246" w:rsidRDefault="00D83B08" w:rsidP="00B26246">
      <w:pPr>
        <w:rPr>
          <w:rFonts w:ascii="Times New Roman" w:hAnsi="Times New Roman" w:cs="Times New Roman"/>
          <w:b/>
          <w:sz w:val="24"/>
          <w:szCs w:val="24"/>
        </w:rPr>
      </w:pPr>
      <w:r w:rsidRPr="00B26246">
        <w:rPr>
          <w:rFonts w:ascii="Times New Roman" w:hAnsi="Times New Roman" w:cs="Times New Roman"/>
          <w:b/>
          <w:sz w:val="24"/>
          <w:szCs w:val="24"/>
        </w:rPr>
        <w:t>О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публичной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подотчетности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подконтрольности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органов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46">
        <w:rPr>
          <w:rFonts w:ascii="Times New Roman" w:hAnsi="Times New Roman" w:cs="Times New Roman"/>
          <w:b/>
          <w:sz w:val="24"/>
          <w:szCs w:val="24"/>
        </w:rPr>
        <w:t>власти</w:t>
      </w:r>
      <w:r w:rsidR="00B26246" w:rsidRPr="00B26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B08" w:rsidRPr="00D83B08" w:rsidRDefault="00D83B08" w:rsidP="00B26246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</w:pP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«Принцип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подотчетности»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подразумевает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наличие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комплекса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показателей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деятельности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федеральных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органов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исполнительной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власти,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отображающих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только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ее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результативность,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эффективность,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полезность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для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субъектов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гражданского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общества,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также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показывающих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уровень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качества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жизнедеятельности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этих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субъектов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мировом,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региональном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и/или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муниципальном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фоне.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D83B08" w:rsidRPr="00D83B08" w:rsidRDefault="00D83B08" w:rsidP="00B26246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</w:pP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Недавно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М.Абызов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vertAlign w:val="superscript"/>
          <w:lang w:eastAsia="ru-RU"/>
        </w:rPr>
        <w:footnoteReference w:id="10"/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констатировал,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народ,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наученный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многолетней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практикой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безрезультатности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общения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властью,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проявляет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необходимого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интереса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«открытому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правительству».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этом,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как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предполагалось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нами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ранее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vertAlign w:val="superscript"/>
          <w:lang w:eastAsia="ru-RU"/>
        </w:rPr>
        <w:footnoteReference w:id="11"/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руководство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проекта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обвинит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его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пассивности.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Предыдущий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опыт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реализации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как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технической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vertAlign w:val="superscript"/>
          <w:lang w:eastAsia="ru-RU"/>
        </w:rPr>
        <w:footnoteReference w:id="12"/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так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административной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vertAlign w:val="superscript"/>
          <w:lang w:eastAsia="ru-RU"/>
        </w:rPr>
        <w:footnoteReference w:id="13"/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реформы,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этом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плане</w:t>
      </w:r>
      <w:r w:rsidR="00B262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shd w:val="clear" w:color="auto" w:fill="FFFFFF"/>
          <w:lang w:eastAsia="ru-RU"/>
        </w:rPr>
        <w:t>показательны.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журналисту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«Известия»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отметил: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«Например,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ВЦИОМ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тчасти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выловить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потоке».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статистами,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статьях,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подыскать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«экспертов»,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напишут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создавшегося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правительства»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«усиление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группами»,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«качества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М.Абызов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писавшие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согласовывавшие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обозначили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перезагрузка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ведомствах.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очевидным,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«независимой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экспертизы»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Pr="00D83B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«референтными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группами»,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Если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правильно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поняли,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референтной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понимается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общими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интересами,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доверяют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осуществляющие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мониторинг.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Однако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инструмент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проверки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доверия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пока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известен.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связи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тем,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каждое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(министерство)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отвечает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категорией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Методике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указывается,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министерство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стороны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планов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«благополучателей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Минтруд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РФ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5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документа</w:t>
      </w:r>
      <w:r w:rsidR="00B54174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B54174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отобразил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референтных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«социальные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обладающие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схожими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запросами,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выступающие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Минтруда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отраслевыми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ориентирами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публичную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(данных),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D83B08" w:rsidRPr="00D83B08" w:rsidRDefault="00D83B08" w:rsidP="00B26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реординационного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подразумевает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фактическую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возможность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оказывать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регулятивные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основе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сведений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(данных)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представлен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«вовлеченности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–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обеспечивают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участие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Российской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Федерации,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предпринимательского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разработке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управленческих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учета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приоритетов,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также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создания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постоянного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информирования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диалога».</w:t>
      </w:r>
      <w:r w:rsidR="00B2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B08" w:rsidRPr="00B54174" w:rsidRDefault="00D83B08" w:rsidP="00B26246">
      <w:pPr>
        <w:rPr>
          <w:rFonts w:ascii="Times New Roman" w:hAnsi="Times New Roman" w:cs="Times New Roman"/>
          <w:b/>
          <w:sz w:val="24"/>
          <w:szCs w:val="24"/>
        </w:rPr>
      </w:pPr>
      <w:r w:rsidRPr="00B54174">
        <w:rPr>
          <w:rFonts w:ascii="Times New Roman" w:hAnsi="Times New Roman" w:cs="Times New Roman"/>
          <w:b/>
          <w:sz w:val="24"/>
          <w:szCs w:val="24"/>
        </w:rPr>
        <w:t>О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b/>
          <w:sz w:val="24"/>
          <w:szCs w:val="24"/>
        </w:rPr>
        <w:t>вовлечении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b/>
          <w:sz w:val="24"/>
          <w:szCs w:val="24"/>
        </w:rPr>
        <w:t>граждан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b/>
          <w:sz w:val="24"/>
          <w:szCs w:val="24"/>
        </w:rPr>
        <w:t>в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b/>
          <w:sz w:val="24"/>
          <w:szCs w:val="24"/>
        </w:rPr>
        <w:t>государством</w:t>
      </w:r>
      <w:r w:rsidR="00B26246" w:rsidRPr="00B54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Государственные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осуществляют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контрольно-надзорные,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правообеспечивающие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функции,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рамках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</w:t>
      </w:r>
      <w:r w:rsidR="00B54174">
        <w:rPr>
          <w:rFonts w:ascii="Times New Roman" w:hAnsi="Times New Roman" w:cs="Times New Roman"/>
          <w:sz w:val="24"/>
          <w:szCs w:val="24"/>
        </w:rPr>
        <w:t>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обязаны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предоставлять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услуги,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также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организовывать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«вовлечение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государством»).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выделить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организованного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самоорганизованных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сообществ,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отраслевых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и/или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отдельных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инициативных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групп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помощью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Интернета.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Например,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палату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РФ,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советы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отнести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первому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сожалению,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="00B54174">
        <w:rPr>
          <w:rFonts w:ascii="Times New Roman" w:hAnsi="Times New Roman" w:cs="Times New Roman"/>
          <w:sz w:val="24"/>
          <w:szCs w:val="24"/>
        </w:rPr>
        <w:t>в отношении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палаты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РФ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данным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ВЦИОМ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индекс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доверия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составляет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40%.</w:t>
      </w:r>
      <w:r w:rsidR="00B54174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="00B5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Словосочетания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«вовлечение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государством»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«общественный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воспринимать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метафоры,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т.к.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контролировать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(надзирать)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(управлять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государством)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вышестоящие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уполномоченные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(прокуратура,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Счетная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палата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РФ,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судебные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инстанции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т.д.).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представители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имеют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контрольных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функций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отношению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обладают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регулятивные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рамках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законодательства.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Хотя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lastRenderedPageBreak/>
        <w:t>Конституции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РФ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используется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значение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раскрывается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пункте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1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статьи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32: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«Граждане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Российской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имеют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участвовать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управлении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делами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непосредственно,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через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представителей»,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также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статье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33: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«Граждане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Российской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имеют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обращаться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лично,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также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направлять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индивидуальные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коллективные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обращения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местного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самоуправления».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Обозначим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предпринимательские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формируют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мнение,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совпадать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ведомственным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мнением,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выраженным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должностными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(ведомств).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Власть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принимать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акты,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воспринимаются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легитимные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добровольно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выполняются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тогда,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когда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имеется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фактическая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возможность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обсудить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ними,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гарантированная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обязанность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учитывать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обоснованные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требования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Субъекты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осуществлять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(регулятивное)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выражается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помощью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средств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(СМИ,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Интернета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обращения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власти).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Одним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из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элементов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являются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образованные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структурами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Несомненно,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отнести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специальным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средствам,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осуществляющим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получение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распространение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доступной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сведений,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Особенностью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современного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является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наличие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Интернета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альтернативной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информационной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среды,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материализуется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общественное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мнение.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Поэтому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активно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участвующих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создании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мнения,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сетевого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коллективного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Кроме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того,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качестве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представителей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выступать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обладающие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специальными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знаниями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(компетентностные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лица),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специальная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компетентность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подтверждена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документально.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сожалению,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стали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недоразумению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называть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«независимыми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экспертами»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D83B08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Таким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образом,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вовлеченности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необходимо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мотивации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увеличению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lastRenderedPageBreak/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участии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связях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(оказании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регулятивного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воздействия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власти).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Последний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понятности»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Концепции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определяет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«цели,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задачи,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планы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исполнительной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представляются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формах,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обеспечивающих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простоту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доступность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восприятия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обществом».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должен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обеспечить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пользовательский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интерфейс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сведений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федеральных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интуитивно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понятный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дружелюбный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простых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чтобы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они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обоснованно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оценить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Скорее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всего,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социологический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опрос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даст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положительного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результата,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если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будут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предусмотрены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гарантии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реализации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понятности.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3B0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D83B08">
        <w:rPr>
          <w:rFonts w:ascii="Times New Roman" w:hAnsi="Times New Roman" w:cs="Times New Roman"/>
          <w:sz w:val="24"/>
          <w:szCs w:val="24"/>
        </w:rPr>
        <w:t>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Если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руководство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страны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хочет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лице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«драйверов»,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обсуждают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инициативы,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инициируют,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позаботиться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гарантиях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того,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обоснованные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предложениях,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будут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учитываться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решениях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Необходимо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помнить,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является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системы,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может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использовано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="00B54174" w:rsidRPr="00D83B08">
        <w:rPr>
          <w:rFonts w:ascii="Times New Roman" w:hAnsi="Times New Roman" w:cs="Times New Roman"/>
          <w:sz w:val="24"/>
          <w:szCs w:val="24"/>
        </w:rPr>
        <w:t>для</w:t>
      </w:r>
      <w:r w:rsidR="00B54174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достижения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="00B54174" w:rsidRPr="00D83B08">
        <w:rPr>
          <w:rFonts w:ascii="Times New Roman" w:hAnsi="Times New Roman" w:cs="Times New Roman"/>
          <w:sz w:val="24"/>
          <w:szCs w:val="24"/>
        </w:rPr>
        <w:t>как</w:t>
      </w:r>
      <w:r w:rsidR="00B54174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благих,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негативных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целей.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Поэтому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свойство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только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быть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закреплено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конституционных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свобод,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и/или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объединений,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виде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обязанностей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ответственности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юридических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случае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нарушения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регулирующего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открытость,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частности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Свойство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власти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должно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использоваться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для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организации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связей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между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этим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органами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(ведомствами)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целью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нахождения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баланса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(законных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объединений)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предпринимательского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сообщества).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Нельзя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считать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ведомств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интересами,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т.к.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они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могут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противоречить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друг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другу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точки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зрения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демократического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правового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государства</w:t>
      </w:r>
      <w:r w:rsidRPr="00D83B08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D83B08">
        <w:rPr>
          <w:rFonts w:ascii="Times New Roman" w:hAnsi="Times New Roman" w:cs="Times New Roman"/>
          <w:sz w:val="24"/>
          <w:szCs w:val="24"/>
        </w:rPr>
        <w:t>.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t>Когда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говорят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качестве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администрирования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(управления),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необходимо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помнить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качестве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субъектов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общества.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08" w:rsidRPr="00D83B08" w:rsidRDefault="00D83B08" w:rsidP="00B26246">
      <w:pPr>
        <w:rPr>
          <w:rFonts w:ascii="Times New Roman" w:hAnsi="Times New Roman" w:cs="Times New Roman"/>
          <w:sz w:val="24"/>
          <w:szCs w:val="24"/>
        </w:rPr>
      </w:pPr>
      <w:r w:rsidRPr="00D83B08">
        <w:rPr>
          <w:rFonts w:ascii="Times New Roman" w:hAnsi="Times New Roman" w:cs="Times New Roman"/>
          <w:sz w:val="24"/>
          <w:szCs w:val="24"/>
        </w:rPr>
        <w:lastRenderedPageBreak/>
        <w:t>Таким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образом,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словосочетание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«стандарт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открытости»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можно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рассматривать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как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некоторую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политологическую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метафору,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помощью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которой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обозначается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совокупность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документов,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устанавливающих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определенные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требования,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предъявляемые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к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принципам,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процедурам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и/или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средствам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(инструментам,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механизмам),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регулирующим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реординационные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ФОИВ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(их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полномочия)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субъектами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гражданского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общества,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а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также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продукты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такого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D83B08">
        <w:rPr>
          <w:rFonts w:ascii="Times New Roman" w:hAnsi="Times New Roman" w:cs="Times New Roman"/>
          <w:sz w:val="24"/>
          <w:szCs w:val="24"/>
        </w:rPr>
        <w:t>взаимодействия.</w:t>
      </w:r>
    </w:p>
    <w:sectPr w:rsidR="00D83B08" w:rsidRPr="00D83B08" w:rsidSect="00B26246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46" w:rsidRDefault="00B26246" w:rsidP="00D83B08">
      <w:pPr>
        <w:spacing w:line="240" w:lineRule="auto"/>
      </w:pPr>
      <w:r>
        <w:separator/>
      </w:r>
    </w:p>
  </w:endnote>
  <w:endnote w:type="continuationSeparator" w:id="0">
    <w:p w:rsidR="00B26246" w:rsidRDefault="00B26246" w:rsidP="00D8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088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246" w:rsidRPr="00B26246" w:rsidRDefault="00B26246" w:rsidP="00B2624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2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2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2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D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62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46" w:rsidRDefault="00B26246" w:rsidP="00D83B08">
      <w:pPr>
        <w:spacing w:line="240" w:lineRule="auto"/>
      </w:pPr>
      <w:r>
        <w:separator/>
      </w:r>
    </w:p>
  </w:footnote>
  <w:footnote w:type="continuationSeparator" w:id="0">
    <w:p w:rsidR="00B26246" w:rsidRDefault="00B26246" w:rsidP="00D83B08">
      <w:pPr>
        <w:spacing w:line="240" w:lineRule="auto"/>
      </w:pPr>
      <w:r>
        <w:continuationSeparator/>
      </w:r>
    </w:p>
  </w:footnote>
  <w:footnote w:id="1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http://большоеправительство.рф/events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/5508409.</w:t>
      </w:r>
    </w:p>
  </w:footnote>
  <w:footnote w:id="2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Пономарев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Открытость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(Презентация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доклада)</w:t>
      </w:r>
      <w:r>
        <w:rPr>
          <w:rFonts w:ascii="Times New Roman" w:hAnsi="Times New Roman" w:cs="Times New Roman"/>
        </w:rPr>
        <w:t xml:space="preserve">. - </w:t>
      </w:r>
      <w:r w:rsidRPr="00B26246">
        <w:rPr>
          <w:rFonts w:ascii="Times New Roman" w:hAnsi="Times New Roman" w:cs="Times New Roman"/>
        </w:rPr>
        <w:t>grany-center.org›userfiles/File/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3Standart.pdf</w:t>
      </w:r>
      <w:r>
        <w:rPr>
          <w:rFonts w:ascii="Times New Roman" w:hAnsi="Times New Roman" w:cs="Times New Roman"/>
        </w:rPr>
        <w:t xml:space="preserve">; </w:t>
      </w:r>
      <w:r w:rsidRPr="00B26246">
        <w:rPr>
          <w:rFonts w:ascii="Times New Roman" w:hAnsi="Times New Roman" w:cs="Times New Roman"/>
        </w:rPr>
        <w:t>Стырин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Подходы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информационно-коммуникационных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технологий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элемента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открытости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(Презентация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доклада)</w:t>
      </w:r>
      <w:r>
        <w:rPr>
          <w:rFonts w:ascii="Times New Roman" w:hAnsi="Times New Roman" w:cs="Times New Roman"/>
        </w:rPr>
        <w:t xml:space="preserve">. - </w:t>
      </w:r>
      <w:r w:rsidRPr="00B26246">
        <w:rPr>
          <w:rFonts w:ascii="Times New Roman" w:hAnsi="Times New Roman" w:cs="Times New Roman"/>
        </w:rPr>
        <w:t>http://www.gosbook.ru/node/81276.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экспертизы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экспертика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судебной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экспертизы.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12-19.</w:t>
      </w:r>
    </w:p>
  </w:footnote>
  <w:footnote w:id="4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Поможет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«Открытое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правительство»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России?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Препринт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май,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НИУ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ВШЭ</w:t>
      </w:r>
      <w:r>
        <w:rPr>
          <w:rFonts w:ascii="Times New Roman" w:hAnsi="Times New Roman" w:cs="Times New Roman"/>
        </w:rPr>
        <w:t xml:space="preserve">. - </w:t>
      </w:r>
      <w:r w:rsidRPr="00B26246">
        <w:rPr>
          <w:rFonts w:ascii="Times New Roman" w:hAnsi="Times New Roman" w:cs="Times New Roman"/>
        </w:rPr>
        <w:t>pravo.hse.ru/expertika/announcements/59426056.html‎.</w:t>
      </w:r>
    </w:p>
  </w:footnote>
  <w:footnote w:id="5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реординации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«открытом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правительстве»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Регионы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Евразии: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Style w:val="aa"/>
          <w:rFonts w:ascii="Times New Roman" w:hAnsi="Times New Roman" w:cs="Times New Roman"/>
          <w:b w:val="0"/>
          <w:color w:val="474747"/>
        </w:rPr>
        <w:t>стратегии и механизмы модернизации, инновационно-технологического развития и сотрудничества</w:t>
      </w:r>
      <w:r w:rsidRPr="00B262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ИНИОН</w:t>
      </w:r>
      <w:r>
        <w:rPr>
          <w:rFonts w:ascii="Times New Roman" w:hAnsi="Times New Roman" w:cs="Times New Roman"/>
        </w:rPr>
        <w:t xml:space="preserve"> РАН</w:t>
      </w:r>
      <w:r w:rsidRPr="00B262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ukros.ru/wp-content/uploads/2013/11/нестеров.doc‎.</w:t>
      </w:r>
    </w:p>
  </w:footnote>
  <w:footnote w:id="6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Философия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Научно-техническая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информация.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Сер.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М., </w:t>
      </w:r>
      <w:r w:rsidRPr="00B26246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1-5.</w:t>
      </w:r>
    </w:p>
  </w:footnote>
  <w:footnote w:id="7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Информационные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Деловой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среды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Научно-техническая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информация.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Сер.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М., </w:t>
      </w:r>
      <w:r w:rsidRPr="00B26246"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 xml:space="preserve">.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5-9.</w:t>
      </w:r>
    </w:p>
  </w:footnote>
  <w:footnote w:id="8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Галлиган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Д.</w:t>
      </w:r>
      <w:r w:rsidR="009C7E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Полянский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В.В.</w:t>
      </w:r>
      <w:r w:rsidR="009C7E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Старилов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Административное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право.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концепции.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Юрист,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2002.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406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с.</w:t>
      </w:r>
    </w:p>
  </w:footnote>
  <w:footnote w:id="9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Белозор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открытости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прозрачности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. - </w:t>
      </w:r>
      <w:r w:rsidRPr="00B26246">
        <w:rPr>
          <w:rFonts w:ascii="Times New Roman" w:hAnsi="Times New Roman" w:cs="Times New Roman"/>
        </w:rPr>
        <w:t>www.rane-brf.ru/.../Белозор%20Ф.И._Расширение%20открытости%2.</w:t>
      </w:r>
    </w:p>
  </w:footnote>
  <w:footnote w:id="10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Абызов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законопроектам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ноль</w:t>
      </w:r>
      <w:r>
        <w:rPr>
          <w:rFonts w:ascii="Times New Roman" w:hAnsi="Times New Roman" w:cs="Times New Roman"/>
        </w:rPr>
        <w:t xml:space="preserve">. - </w:t>
      </w:r>
      <w:r w:rsidRPr="00B26246">
        <w:rPr>
          <w:rFonts w:ascii="Times New Roman" w:hAnsi="Times New Roman" w:cs="Times New Roman"/>
        </w:rPr>
        <w:t>http://izvestia.ru/news/561927</w:t>
      </w:r>
      <w:r>
        <w:rPr>
          <w:rFonts w:ascii="Times New Roman" w:hAnsi="Times New Roman" w:cs="Times New Roman"/>
        </w:rPr>
        <w:t>.</w:t>
      </w:r>
    </w:p>
  </w:footnote>
  <w:footnote w:id="11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Юридические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электронных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административных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регламентов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Вестник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правовой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академии.</w:t>
      </w:r>
      <w:r>
        <w:rPr>
          <w:rFonts w:ascii="Times New Roman" w:hAnsi="Times New Roman" w:cs="Times New Roman"/>
        </w:rPr>
        <w:t xml:space="preserve"> – М., </w:t>
      </w:r>
      <w:r w:rsidRPr="00B26246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13-17.</w:t>
      </w:r>
    </w:p>
  </w:footnote>
  <w:footnote w:id="12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техническом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регулировании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Государство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право.</w:t>
      </w:r>
      <w:r>
        <w:rPr>
          <w:rFonts w:ascii="Times New Roman" w:hAnsi="Times New Roman" w:cs="Times New Roman"/>
        </w:rPr>
        <w:t xml:space="preserve"> – М., </w:t>
      </w:r>
      <w:r w:rsidRPr="00B26246">
        <w:rPr>
          <w:rFonts w:ascii="Times New Roman" w:hAnsi="Times New Roman" w:cs="Times New Roman"/>
        </w:rPr>
        <w:t>2009.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93-96.</w:t>
      </w:r>
    </w:p>
  </w:footnote>
  <w:footnote w:id="13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власть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местное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самоуправление.</w:t>
      </w:r>
      <w:r>
        <w:rPr>
          <w:rFonts w:ascii="Times New Roman" w:hAnsi="Times New Roman" w:cs="Times New Roman"/>
        </w:rPr>
        <w:t xml:space="preserve"> – М., </w:t>
      </w:r>
      <w:r w:rsidRPr="00B26246">
        <w:rPr>
          <w:rFonts w:ascii="Times New Roman" w:hAnsi="Times New Roman" w:cs="Times New Roman"/>
        </w:rPr>
        <w:t>2007.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- </w:t>
      </w:r>
      <w:r w:rsidRPr="00B2624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5-8.</w:t>
      </w:r>
    </w:p>
  </w:footnote>
  <w:footnote w:id="14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Экспертное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дело.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н/Дону: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Книга,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2003.</w:t>
      </w:r>
    </w:p>
  </w:footnote>
  <w:footnote w:id="15">
    <w:p w:rsidR="00B54174" w:rsidRPr="00B54174" w:rsidRDefault="00B54174">
      <w:pPr>
        <w:pStyle w:val="a3"/>
      </w:pPr>
      <w:r>
        <w:rPr>
          <w:rStyle w:val="a5"/>
        </w:rPr>
        <w:footnoteRef/>
      </w:r>
      <w:r>
        <w:t xml:space="preserve"> </w:t>
      </w:r>
      <w:r w:rsidRPr="00B54174">
        <w:rPr>
          <w:rFonts w:ascii="Times New Roman" w:hAnsi="Times New Roman" w:cs="Times New Roman"/>
        </w:rPr>
        <w:t>www.rosmintrud.ru/.../Plan_obcshestv_obsuzhd_na_2013g_DOmir_rez</w:t>
      </w:r>
      <w:r>
        <w:rPr>
          <w:rFonts w:ascii="Times New Roman" w:hAnsi="Times New Roman" w:cs="Times New Roman"/>
        </w:rPr>
        <w:t>.</w:t>
      </w:r>
    </w:p>
  </w:footnote>
  <w:footnote w:id="16">
    <w:p w:rsidR="00B54174" w:rsidRPr="00B54174" w:rsidRDefault="00B54174">
      <w:pPr>
        <w:pStyle w:val="a3"/>
        <w:rPr>
          <w:rFonts w:ascii="Times New Roman" w:hAnsi="Times New Roman" w:cs="Times New Roman"/>
          <w:lang w:val="en-US"/>
        </w:rPr>
      </w:pPr>
      <w:r w:rsidRPr="00B54174">
        <w:rPr>
          <w:rStyle w:val="a5"/>
          <w:rFonts w:ascii="Times New Roman" w:hAnsi="Times New Roman" w:cs="Times New Roman"/>
        </w:rPr>
        <w:footnoteRef/>
      </w:r>
      <w:r w:rsidRPr="00B54174">
        <w:rPr>
          <w:rFonts w:ascii="Times New Roman" w:hAnsi="Times New Roman" w:cs="Times New Roman"/>
          <w:lang w:val="en-US"/>
        </w:rPr>
        <w:t xml:space="preserve"> </w:t>
      </w:r>
      <w:r w:rsidRPr="00B54174">
        <w:rPr>
          <w:rFonts w:ascii="Times New Roman" w:hAnsi="Times New Roman" w:cs="Times New Roman"/>
          <w:lang w:val="en-US"/>
        </w:rPr>
        <w:t>http://www.odnako.org/ blogs/show_26582.</w:t>
      </w:r>
    </w:p>
  </w:footnote>
  <w:footnote w:id="17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экспертное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сообщество?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Научное,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экспертно-аналитическое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информационное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национального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стратегического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проектирования,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приоритетных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национальных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проектов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программ.</w:t>
      </w:r>
      <w:r>
        <w:rPr>
          <w:rFonts w:ascii="Times New Roman" w:hAnsi="Times New Roman" w:cs="Times New Roman"/>
        </w:rPr>
        <w:t xml:space="preserve"> </w:t>
      </w:r>
      <w:r w:rsidR="00B5417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М</w:t>
      </w:r>
      <w:r w:rsidR="00B54174">
        <w:rPr>
          <w:rFonts w:ascii="Times New Roman" w:hAnsi="Times New Roman" w:cs="Times New Roman"/>
        </w:rPr>
        <w:t>.</w:t>
      </w:r>
      <w:r w:rsidRPr="00B262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ИНИОН</w:t>
      </w:r>
      <w:r w:rsidR="00B54174">
        <w:rPr>
          <w:rFonts w:ascii="Times New Roman" w:hAnsi="Times New Roman" w:cs="Times New Roman"/>
        </w:rPr>
        <w:t xml:space="preserve"> РАН</w:t>
      </w:r>
      <w:r w:rsidRPr="00B262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2009.</w:t>
      </w:r>
    </w:p>
  </w:footnote>
  <w:footnote w:id="18">
    <w:p w:rsidR="00B26246" w:rsidRPr="00B26246" w:rsidRDefault="00B26246" w:rsidP="00B26246">
      <w:pPr>
        <w:pStyle w:val="a3"/>
        <w:rPr>
          <w:rFonts w:ascii="Times New Roman" w:hAnsi="Times New Roman" w:cs="Times New Roman"/>
        </w:rPr>
      </w:pPr>
      <w:r w:rsidRPr="00B2624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Нестеров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«умном»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регулировании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лоббизме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(Препринт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апрель,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г.).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246">
        <w:rPr>
          <w:rFonts w:ascii="Times New Roman" w:hAnsi="Times New Roman" w:cs="Times New Roman"/>
        </w:rPr>
        <w:t>pravo.hse.ru/data/2012/04/08/1251129365</w:t>
      </w:r>
      <w:r w:rsidR="00B5417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B5"/>
    <w:rsid w:val="000167CE"/>
    <w:rsid w:val="0003015E"/>
    <w:rsid w:val="000678FE"/>
    <w:rsid w:val="00070D9B"/>
    <w:rsid w:val="000A690A"/>
    <w:rsid w:val="000B60CB"/>
    <w:rsid w:val="000E3DB4"/>
    <w:rsid w:val="000F119E"/>
    <w:rsid w:val="000F13A4"/>
    <w:rsid w:val="000F3BF5"/>
    <w:rsid w:val="00115F2C"/>
    <w:rsid w:val="001172DF"/>
    <w:rsid w:val="001376A7"/>
    <w:rsid w:val="001500DD"/>
    <w:rsid w:val="001618C1"/>
    <w:rsid w:val="001621EB"/>
    <w:rsid w:val="00185D9B"/>
    <w:rsid w:val="00191E22"/>
    <w:rsid w:val="001942B0"/>
    <w:rsid w:val="001A3381"/>
    <w:rsid w:val="001A3D6E"/>
    <w:rsid w:val="001D6AB3"/>
    <w:rsid w:val="002020B7"/>
    <w:rsid w:val="0020416D"/>
    <w:rsid w:val="002042A5"/>
    <w:rsid w:val="00205F37"/>
    <w:rsid w:val="00207C55"/>
    <w:rsid w:val="0024463F"/>
    <w:rsid w:val="002503D1"/>
    <w:rsid w:val="00263233"/>
    <w:rsid w:val="00267393"/>
    <w:rsid w:val="00274431"/>
    <w:rsid w:val="00277F3D"/>
    <w:rsid w:val="0029060E"/>
    <w:rsid w:val="002A3668"/>
    <w:rsid w:val="002C3F11"/>
    <w:rsid w:val="002E582A"/>
    <w:rsid w:val="002E7ECF"/>
    <w:rsid w:val="00301532"/>
    <w:rsid w:val="003131CD"/>
    <w:rsid w:val="00313436"/>
    <w:rsid w:val="00333E97"/>
    <w:rsid w:val="003635C7"/>
    <w:rsid w:val="00364EEC"/>
    <w:rsid w:val="00370C3B"/>
    <w:rsid w:val="00372164"/>
    <w:rsid w:val="00384FC4"/>
    <w:rsid w:val="003919F7"/>
    <w:rsid w:val="003A5F9E"/>
    <w:rsid w:val="003A6D1B"/>
    <w:rsid w:val="003A6D92"/>
    <w:rsid w:val="003C15AD"/>
    <w:rsid w:val="003C7F36"/>
    <w:rsid w:val="003D22FF"/>
    <w:rsid w:val="00413316"/>
    <w:rsid w:val="00422447"/>
    <w:rsid w:val="00432E51"/>
    <w:rsid w:val="004527CB"/>
    <w:rsid w:val="00455F3D"/>
    <w:rsid w:val="004673A4"/>
    <w:rsid w:val="004A369E"/>
    <w:rsid w:val="004B24C3"/>
    <w:rsid w:val="004B49FA"/>
    <w:rsid w:val="004D6B19"/>
    <w:rsid w:val="004D6BD3"/>
    <w:rsid w:val="004E0692"/>
    <w:rsid w:val="004E2A7C"/>
    <w:rsid w:val="00531266"/>
    <w:rsid w:val="005464FC"/>
    <w:rsid w:val="00551203"/>
    <w:rsid w:val="00564C7C"/>
    <w:rsid w:val="00573A1A"/>
    <w:rsid w:val="00573D78"/>
    <w:rsid w:val="005751AA"/>
    <w:rsid w:val="005831D8"/>
    <w:rsid w:val="005C0E4C"/>
    <w:rsid w:val="005C5AA4"/>
    <w:rsid w:val="005F691B"/>
    <w:rsid w:val="00617927"/>
    <w:rsid w:val="006428B1"/>
    <w:rsid w:val="00644318"/>
    <w:rsid w:val="00647EA2"/>
    <w:rsid w:val="00664418"/>
    <w:rsid w:val="006737C8"/>
    <w:rsid w:val="00696D05"/>
    <w:rsid w:val="006A0428"/>
    <w:rsid w:val="006C456A"/>
    <w:rsid w:val="006C7187"/>
    <w:rsid w:val="006F30F9"/>
    <w:rsid w:val="006F6AB9"/>
    <w:rsid w:val="007006AF"/>
    <w:rsid w:val="00707415"/>
    <w:rsid w:val="00713447"/>
    <w:rsid w:val="00733ECD"/>
    <w:rsid w:val="00734788"/>
    <w:rsid w:val="00761DBF"/>
    <w:rsid w:val="00762D2E"/>
    <w:rsid w:val="00764360"/>
    <w:rsid w:val="0077075B"/>
    <w:rsid w:val="00776EE0"/>
    <w:rsid w:val="007A1FD4"/>
    <w:rsid w:val="007B6F6D"/>
    <w:rsid w:val="007D62D8"/>
    <w:rsid w:val="007D7AA6"/>
    <w:rsid w:val="007F2EB5"/>
    <w:rsid w:val="00802E2B"/>
    <w:rsid w:val="00834E35"/>
    <w:rsid w:val="00837620"/>
    <w:rsid w:val="00851243"/>
    <w:rsid w:val="008573FC"/>
    <w:rsid w:val="00867D47"/>
    <w:rsid w:val="008813DE"/>
    <w:rsid w:val="008E0590"/>
    <w:rsid w:val="008E4A60"/>
    <w:rsid w:val="008F472D"/>
    <w:rsid w:val="00907F61"/>
    <w:rsid w:val="00943746"/>
    <w:rsid w:val="0095163F"/>
    <w:rsid w:val="0095436E"/>
    <w:rsid w:val="00960EDC"/>
    <w:rsid w:val="00961412"/>
    <w:rsid w:val="009662E3"/>
    <w:rsid w:val="009676B2"/>
    <w:rsid w:val="00976282"/>
    <w:rsid w:val="00985F6C"/>
    <w:rsid w:val="009927C2"/>
    <w:rsid w:val="009A108E"/>
    <w:rsid w:val="009A7391"/>
    <w:rsid w:val="009B4C40"/>
    <w:rsid w:val="009C792D"/>
    <w:rsid w:val="009C7E61"/>
    <w:rsid w:val="009F094E"/>
    <w:rsid w:val="009F314B"/>
    <w:rsid w:val="009F742E"/>
    <w:rsid w:val="00A0086E"/>
    <w:rsid w:val="00A06363"/>
    <w:rsid w:val="00A11545"/>
    <w:rsid w:val="00A1675A"/>
    <w:rsid w:val="00A171CA"/>
    <w:rsid w:val="00A42F2A"/>
    <w:rsid w:val="00A57069"/>
    <w:rsid w:val="00A62AEE"/>
    <w:rsid w:val="00A757CA"/>
    <w:rsid w:val="00A937C4"/>
    <w:rsid w:val="00A976B3"/>
    <w:rsid w:val="00AB059A"/>
    <w:rsid w:val="00AE0229"/>
    <w:rsid w:val="00B10317"/>
    <w:rsid w:val="00B14975"/>
    <w:rsid w:val="00B1556F"/>
    <w:rsid w:val="00B26246"/>
    <w:rsid w:val="00B309E5"/>
    <w:rsid w:val="00B334D0"/>
    <w:rsid w:val="00B54174"/>
    <w:rsid w:val="00B5672E"/>
    <w:rsid w:val="00B67914"/>
    <w:rsid w:val="00B72077"/>
    <w:rsid w:val="00B72CF5"/>
    <w:rsid w:val="00B7633D"/>
    <w:rsid w:val="00B84053"/>
    <w:rsid w:val="00B90D04"/>
    <w:rsid w:val="00B936D8"/>
    <w:rsid w:val="00B96C3D"/>
    <w:rsid w:val="00BA586A"/>
    <w:rsid w:val="00BB3413"/>
    <w:rsid w:val="00BB3877"/>
    <w:rsid w:val="00BC33D7"/>
    <w:rsid w:val="00BC4DAF"/>
    <w:rsid w:val="00BE3075"/>
    <w:rsid w:val="00BF04F5"/>
    <w:rsid w:val="00BF178B"/>
    <w:rsid w:val="00C039B3"/>
    <w:rsid w:val="00C20012"/>
    <w:rsid w:val="00C25622"/>
    <w:rsid w:val="00C27110"/>
    <w:rsid w:val="00C30C6C"/>
    <w:rsid w:val="00C3344A"/>
    <w:rsid w:val="00C37077"/>
    <w:rsid w:val="00C53CAD"/>
    <w:rsid w:val="00C5538F"/>
    <w:rsid w:val="00C56881"/>
    <w:rsid w:val="00CA48AD"/>
    <w:rsid w:val="00CD396D"/>
    <w:rsid w:val="00CE6370"/>
    <w:rsid w:val="00CF5491"/>
    <w:rsid w:val="00D21E04"/>
    <w:rsid w:val="00D242A3"/>
    <w:rsid w:val="00D31249"/>
    <w:rsid w:val="00D34A48"/>
    <w:rsid w:val="00D36E03"/>
    <w:rsid w:val="00D403A9"/>
    <w:rsid w:val="00D47019"/>
    <w:rsid w:val="00D47143"/>
    <w:rsid w:val="00D47966"/>
    <w:rsid w:val="00D513C1"/>
    <w:rsid w:val="00D73D09"/>
    <w:rsid w:val="00D80EF3"/>
    <w:rsid w:val="00D83B08"/>
    <w:rsid w:val="00D86A0F"/>
    <w:rsid w:val="00D925C7"/>
    <w:rsid w:val="00DA00AE"/>
    <w:rsid w:val="00DA2858"/>
    <w:rsid w:val="00DA7C96"/>
    <w:rsid w:val="00DC332D"/>
    <w:rsid w:val="00DE7952"/>
    <w:rsid w:val="00E26CDB"/>
    <w:rsid w:val="00E43AE4"/>
    <w:rsid w:val="00E47BF4"/>
    <w:rsid w:val="00E76183"/>
    <w:rsid w:val="00EB18FA"/>
    <w:rsid w:val="00EB2F2C"/>
    <w:rsid w:val="00EE2AA0"/>
    <w:rsid w:val="00EE4219"/>
    <w:rsid w:val="00EE5F89"/>
    <w:rsid w:val="00F1574B"/>
    <w:rsid w:val="00F248A6"/>
    <w:rsid w:val="00F2745C"/>
    <w:rsid w:val="00F42300"/>
    <w:rsid w:val="00F46202"/>
    <w:rsid w:val="00F55D9E"/>
    <w:rsid w:val="00F7241C"/>
    <w:rsid w:val="00F83944"/>
    <w:rsid w:val="00F907A4"/>
    <w:rsid w:val="00F958BE"/>
    <w:rsid w:val="00F962CF"/>
    <w:rsid w:val="00FA43F2"/>
    <w:rsid w:val="00FA7818"/>
    <w:rsid w:val="00FB4E88"/>
    <w:rsid w:val="00FB6B61"/>
    <w:rsid w:val="00FD23A4"/>
    <w:rsid w:val="00FE20D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B0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3B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3B0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262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246"/>
  </w:style>
  <w:style w:type="paragraph" w:styleId="a8">
    <w:name w:val="footer"/>
    <w:basedOn w:val="a"/>
    <w:link w:val="a9"/>
    <w:uiPriority w:val="99"/>
    <w:unhideWhenUsed/>
    <w:rsid w:val="00B262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246"/>
  </w:style>
  <w:style w:type="character" w:styleId="aa">
    <w:name w:val="Strong"/>
    <w:basedOn w:val="a0"/>
    <w:uiPriority w:val="22"/>
    <w:qFormat/>
    <w:rsid w:val="00B26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B0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3B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3B0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262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246"/>
  </w:style>
  <w:style w:type="paragraph" w:styleId="a8">
    <w:name w:val="footer"/>
    <w:basedOn w:val="a"/>
    <w:link w:val="a9"/>
    <w:uiPriority w:val="99"/>
    <w:unhideWhenUsed/>
    <w:rsid w:val="00B262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246"/>
  </w:style>
  <w:style w:type="character" w:styleId="aa">
    <w:name w:val="Strong"/>
    <w:basedOn w:val="a0"/>
    <w:uiPriority w:val="22"/>
    <w:qFormat/>
    <w:rsid w:val="00B26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56C2-F5F3-44EC-A5BD-242FA2F5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4</cp:revision>
  <dcterms:created xsi:type="dcterms:W3CDTF">2014-11-06T11:45:00Z</dcterms:created>
  <dcterms:modified xsi:type="dcterms:W3CDTF">2015-01-06T16:17:00Z</dcterms:modified>
</cp:coreProperties>
</file>