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2" w:rsidRPr="004A549A" w:rsidRDefault="006F5E42" w:rsidP="004A549A">
      <w:pPr>
        <w:spacing w:line="360" w:lineRule="auto"/>
        <w:ind w:firstLine="709"/>
        <w:jc w:val="both"/>
        <w:rPr>
          <w:b/>
          <w:i/>
        </w:rPr>
      </w:pPr>
      <w:bookmarkStart w:id="0" w:name="_GoBack"/>
      <w:bookmarkEnd w:id="0"/>
      <w:r w:rsidRPr="004A549A">
        <w:rPr>
          <w:b/>
          <w:i/>
        </w:rPr>
        <w:t>Теребова С.В.</w:t>
      </w:r>
      <w:r w:rsidRPr="004A549A">
        <w:rPr>
          <w:rStyle w:val="FootnoteReference"/>
          <w:b/>
          <w:i/>
        </w:rPr>
        <w:footnoteReference w:id="1"/>
      </w:r>
    </w:p>
    <w:p w:rsidR="006F5E42" w:rsidRDefault="006F5E42" w:rsidP="004A549A">
      <w:pPr>
        <w:spacing w:line="360" w:lineRule="auto"/>
        <w:ind w:firstLine="709"/>
        <w:jc w:val="both"/>
        <w:rPr>
          <w:b/>
          <w:lang w:val="en-US"/>
        </w:rPr>
      </w:pPr>
    </w:p>
    <w:p w:rsidR="006F5E42" w:rsidRPr="004A549A" w:rsidRDefault="006F5E42" w:rsidP="004A549A">
      <w:pPr>
        <w:spacing w:line="360" w:lineRule="auto"/>
        <w:ind w:left="708" w:firstLine="1"/>
        <w:jc w:val="center"/>
        <w:rPr>
          <w:b/>
        </w:rPr>
      </w:pPr>
      <w:r w:rsidRPr="004A549A">
        <w:rPr>
          <w:b/>
        </w:rPr>
        <w:t>МЕХАНИЗМЫ ИНФРАСТРУКТУРНОЙ ПОДДЕРЖКИ ИННОВАЦИОННЫХ КОМПАНИЙ: РЕГИОНАЛЬНЫЙ АСПЕКТ</w:t>
      </w:r>
    </w:p>
    <w:p w:rsidR="006F5E42" w:rsidRPr="004A549A" w:rsidRDefault="006F5E42" w:rsidP="004A549A">
      <w:pPr>
        <w:spacing w:line="360" w:lineRule="auto"/>
        <w:ind w:firstLine="709"/>
        <w:jc w:val="both"/>
      </w:pP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 xml:space="preserve">Повышение качества и уровня жизни населения </w:t>
      </w:r>
      <w:r w:rsidRPr="004A549A">
        <w:noBreakHyphen/>
        <w:t xml:space="preserve"> приоритетная цель социально-экономического развития России. В рамках ее достижения Президентом страны, В.В. Путиным, поставлена задача создать и модернизировать 25 млн. высокопроизводительных рабочих мест к 2020 году</w:t>
      </w:r>
      <w:r w:rsidRPr="004A549A">
        <w:rPr>
          <w:rStyle w:val="FootnoteReference"/>
        </w:rPr>
        <w:footnoteReference w:id="2"/>
      </w:r>
      <w:r w:rsidRPr="004A549A">
        <w:t xml:space="preserve">. Без развития в стране науки и инновационной деятельности решение выше обозначенной задачи невозможно. Несмотря на то, что в последние годы внимание к этой проблеме усилилось, до показателей, которые требуются в современных условиях, еще далеко. Так, сравнение целевых индикаторов стратегических документов инновационного развития РФ с фактическими данными официальной статистики свидетельствует о том, что они достигнуты не были (табл. 1). В то же время остро </w:t>
      </w:r>
      <w:r>
        <w:t>ощущается</w:t>
      </w:r>
      <w:r w:rsidRPr="004A549A">
        <w:t xml:space="preserve"> необходимость перевода отечественной экономики в новое качество, а именно, от сырьевой к инновационной.</w:t>
      </w:r>
    </w:p>
    <w:p w:rsidR="006F5E42" w:rsidRPr="004A549A" w:rsidRDefault="006F5E42" w:rsidP="004A549A">
      <w:pPr>
        <w:ind w:firstLine="709"/>
        <w:jc w:val="right"/>
        <w:rPr>
          <w:bCs/>
        </w:rPr>
      </w:pPr>
      <w:r w:rsidRPr="004A549A">
        <w:rPr>
          <w:bCs/>
        </w:rPr>
        <w:t>Таблица 1</w:t>
      </w:r>
    </w:p>
    <w:p w:rsidR="006F5E42" w:rsidRPr="004A549A" w:rsidRDefault="006F5E42" w:rsidP="004A549A">
      <w:pPr>
        <w:ind w:firstLine="709"/>
        <w:jc w:val="both"/>
        <w:rPr>
          <w:b/>
        </w:rPr>
      </w:pPr>
      <w:r w:rsidRPr="004A549A">
        <w:rPr>
          <w:b/>
        </w:rPr>
        <w:t>Сравнение целевых показателей стратегических документов инновационного развития РФ с фактическими данными официальной статистики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23"/>
        <w:gridCol w:w="696"/>
        <w:gridCol w:w="910"/>
        <w:gridCol w:w="1095"/>
        <w:gridCol w:w="734"/>
        <w:gridCol w:w="828"/>
        <w:gridCol w:w="700"/>
      </w:tblGrid>
      <w:tr w:rsidR="006F5E42" w:rsidRPr="004A549A" w:rsidTr="00AA43A2">
        <w:trPr>
          <w:trHeight w:val="401"/>
        </w:trPr>
        <w:tc>
          <w:tcPr>
            <w:tcW w:w="23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rPr>
                <w:bCs/>
              </w:rPr>
              <w:t>Показатель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2010 г.</w:t>
            </w:r>
          </w:p>
        </w:tc>
        <w:tc>
          <w:tcPr>
            <w:tcW w:w="10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Стратегия</w:t>
            </w:r>
          </w:p>
          <w:p w:rsidR="006F5E42" w:rsidRPr="004A549A" w:rsidRDefault="006F5E42" w:rsidP="004A549A">
            <w:pPr>
              <w:jc w:val="both"/>
            </w:pPr>
            <w:r w:rsidRPr="004A549A">
              <w:t>до 2015 г.**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Факт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 xml:space="preserve">Стратегия </w:t>
            </w:r>
          </w:p>
          <w:p w:rsidR="006F5E42" w:rsidRPr="004A549A" w:rsidRDefault="006F5E42" w:rsidP="004A549A">
            <w:pPr>
              <w:jc w:val="both"/>
            </w:pPr>
            <w:r w:rsidRPr="004A549A">
              <w:t>до 2020 г.*</w:t>
            </w:r>
          </w:p>
        </w:tc>
      </w:tr>
      <w:tr w:rsidR="006F5E42" w:rsidRPr="004A549A" w:rsidTr="00AA43A2">
        <w:trPr>
          <w:trHeight w:val="155"/>
        </w:trPr>
        <w:tc>
          <w:tcPr>
            <w:tcW w:w="23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  <w:tc>
          <w:tcPr>
            <w:tcW w:w="3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инерц.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позитив.</w:t>
            </w:r>
          </w:p>
        </w:tc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  <w:tc>
          <w:tcPr>
            <w:tcW w:w="88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</w:tr>
      <w:tr w:rsidR="006F5E42" w:rsidRPr="004A549A" w:rsidTr="00AA43A2">
        <w:trPr>
          <w:trHeight w:val="22"/>
        </w:trPr>
        <w:tc>
          <w:tcPr>
            <w:tcW w:w="23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  <w:tc>
          <w:tcPr>
            <w:tcW w:w="3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E42" w:rsidRPr="004A549A" w:rsidRDefault="006F5E42" w:rsidP="004A549A">
            <w:pPr>
              <w:jc w:val="both"/>
            </w:pPr>
          </w:p>
        </w:tc>
        <w:tc>
          <w:tcPr>
            <w:tcW w:w="13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2012 г.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2013 г.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2020 г.</w:t>
            </w:r>
          </w:p>
        </w:tc>
      </w:tr>
      <w:tr w:rsidR="006F5E42" w:rsidRPr="004A549A" w:rsidTr="00AA43A2">
        <w:trPr>
          <w:trHeight w:val="312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Внутренние затраты на исследования и разработки в ВВП, %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1,3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1,70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2,2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1,12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1,5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3,0</w:t>
            </w:r>
          </w:p>
        </w:tc>
      </w:tr>
      <w:tr w:rsidR="006F5E42" w:rsidRPr="004A549A" w:rsidTr="00AA43A2">
        <w:trPr>
          <w:trHeight w:val="936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Коэффициент изобретательской активности (число патентных заявок на изобретения, поданных российскими заявителями в стране, в расчете на 10 тыс. населения)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2,0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1,96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4,7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3,1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2,1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2,8</w:t>
            </w:r>
          </w:p>
        </w:tc>
      </w:tr>
      <w:tr w:rsidR="006F5E42" w:rsidRPr="004A549A" w:rsidTr="00AA43A2">
        <w:trPr>
          <w:trHeight w:val="167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Удельный вес инновационной продукции в общем объеме продаж промышленной продукции, %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4,8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8,5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16,2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7,8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7,2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25,0</w:t>
            </w:r>
          </w:p>
        </w:tc>
      </w:tr>
      <w:tr w:rsidR="006F5E42" w:rsidRPr="004A549A" w:rsidTr="00AA43A2">
        <w:trPr>
          <w:trHeight w:val="244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Удельный вес предприятий, осуществлявших технологические инновации, в их общем числе, %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9,3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14,4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17,0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10,3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9,6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25,0</w:t>
            </w:r>
          </w:p>
        </w:tc>
      </w:tr>
      <w:tr w:rsidR="006F5E42" w:rsidRPr="004A549A" w:rsidTr="00AA43A2">
        <w:trPr>
          <w:trHeight w:val="936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Удельный вес используемых передовых производственных технологий, включающих объекты интеллектуальной собственности, в общем их числе, %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–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4,9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6,2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3,2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–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–</w:t>
            </w:r>
          </w:p>
        </w:tc>
      </w:tr>
      <w:tr w:rsidR="006F5E42" w:rsidRPr="004A549A" w:rsidTr="00AA43A2">
        <w:trPr>
          <w:trHeight w:val="323"/>
        </w:trPr>
        <w:tc>
          <w:tcPr>
            <w:tcW w:w="2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5E42" w:rsidRPr="004A549A" w:rsidRDefault="006F5E42" w:rsidP="004A549A">
            <w:pPr>
              <w:jc w:val="both"/>
            </w:pPr>
            <w:r w:rsidRPr="004A549A">
              <w:t>Удельный вес исследователей в возрасте до 39 лет в общей численности исследователей, %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32,8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28,4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35,4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38,6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33,1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F5E42" w:rsidRPr="004A549A" w:rsidRDefault="006F5E42" w:rsidP="004A549A">
            <w:pPr>
              <w:jc w:val="both"/>
            </w:pPr>
            <w:r w:rsidRPr="004A549A">
              <w:t>35,0</w:t>
            </w:r>
          </w:p>
        </w:tc>
      </w:tr>
      <w:tr w:rsidR="006F5E42" w:rsidRPr="004A549A" w:rsidTr="00AA43A2">
        <w:trPr>
          <w:trHeight w:val="189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F5E42" w:rsidRPr="004A549A" w:rsidRDefault="006F5E42" w:rsidP="004A549A">
            <w:pPr>
              <w:jc w:val="both"/>
            </w:pPr>
            <w:r w:rsidRPr="004A549A">
              <w:rPr>
                <w:bCs/>
                <w:i/>
              </w:rPr>
              <w:t>Источники:</w:t>
            </w:r>
            <w:r w:rsidRPr="004A549A">
              <w:t xml:space="preserve"> Сайт Федеральной службы государственной статистики РФ</w:t>
            </w:r>
            <w:r>
              <w:t>.</w:t>
            </w:r>
            <w:r w:rsidRPr="004A549A">
              <w:t xml:space="preserve"> </w:t>
            </w:r>
            <w:r>
              <w:t xml:space="preserve">- </w:t>
            </w:r>
            <w:r w:rsidRPr="004A549A">
              <w:t xml:space="preserve">www.gks.ru; </w:t>
            </w:r>
          </w:p>
          <w:p w:rsidR="006F5E42" w:rsidRPr="004A549A" w:rsidRDefault="006F5E42" w:rsidP="004A549A">
            <w:pPr>
              <w:jc w:val="both"/>
            </w:pPr>
            <w:r w:rsidRPr="004A549A">
              <w:t xml:space="preserve">*Стратегия инновационного развития Российской Федерации на период до 2020 года. Утв. распоряжением Правительства Российской Федерации от 8 декабря 2011 г. №2227-р; </w:t>
            </w:r>
          </w:p>
          <w:p w:rsidR="006F5E42" w:rsidRPr="004A549A" w:rsidRDefault="006F5E42" w:rsidP="004A549A">
            <w:pPr>
              <w:jc w:val="both"/>
            </w:pPr>
            <w:r w:rsidRPr="004A549A">
              <w:t>**Стратегия развития науки и инноваций в Российской Федерации на период до 2015 года. Утв. Межведомственной комиссией по научно-инновационной политике (протокол от 15.02.2006 №1).</w:t>
            </w:r>
          </w:p>
        </w:tc>
      </w:tr>
    </w:tbl>
    <w:p w:rsidR="006F5E42" w:rsidRPr="004A549A" w:rsidRDefault="006F5E42" w:rsidP="004A549A">
      <w:pPr>
        <w:spacing w:line="360" w:lineRule="auto"/>
        <w:ind w:firstLine="709"/>
        <w:jc w:val="both"/>
      </w:pPr>
    </w:p>
    <w:p w:rsidR="006F5E42" w:rsidRPr="004A549A" w:rsidRDefault="006F5E42" w:rsidP="004A549A">
      <w:pPr>
        <w:spacing w:line="360" w:lineRule="auto"/>
        <w:ind w:firstLine="709"/>
        <w:jc w:val="both"/>
      </w:pPr>
      <w:r>
        <w:t>В п</w:t>
      </w:r>
      <w:r w:rsidRPr="004A549A">
        <w:t>оследние десятилетия во всех странах мира, кроме стран постсоветского пространства, последовательно увеличивается роль государства в финансировании НИОКР и стимулировании инновационной активности (табл. 2). Динамика финансирования российской науки, наоборот, характеризуется резким спадом. На долю России приходится «менее 2% мировых расходов на НИОКР по паритету покупательной способности и 1% по обменному курсу…Россия отстаёт от США по расходам на НИОКР в 17 раз, от Европейского Союза – в 12 раз, от Китая – в 6 раз, от Индии – в 1,5 раза… По государственным расходам на НИОКР на душу населения (86 долл.) Россия отстаёт от лидеров в 4 – 5 раз, а по частным расходам (40 долл.) – в 15 – 20 раз…»</w:t>
      </w:r>
      <w:r w:rsidRPr="004A549A">
        <w:rPr>
          <w:rStyle w:val="FootnoteReference"/>
        </w:rPr>
        <w:footnoteReference w:id="3"/>
      </w:r>
      <w:r w:rsidRPr="004A549A">
        <w:t>.</w:t>
      </w:r>
    </w:p>
    <w:p w:rsidR="006F5E42" w:rsidRPr="004A549A" w:rsidRDefault="006F5E42" w:rsidP="004A549A">
      <w:pPr>
        <w:ind w:firstLine="709"/>
        <w:jc w:val="right"/>
      </w:pPr>
      <w:r w:rsidRPr="004A549A">
        <w:t>Таблица 2</w:t>
      </w:r>
    </w:p>
    <w:p w:rsidR="006F5E42" w:rsidRPr="004A549A" w:rsidRDefault="006F5E42" w:rsidP="004A549A">
      <w:pPr>
        <w:ind w:firstLine="709"/>
        <w:jc w:val="both"/>
        <w:rPr>
          <w:b/>
        </w:rPr>
      </w:pPr>
      <w:r w:rsidRPr="004A549A">
        <w:rPr>
          <w:b/>
        </w:rPr>
        <w:t xml:space="preserve">Затраты на исследования и разработки, </w:t>
      </w:r>
      <w:r w:rsidRPr="004A549A">
        <w:t>в % от ВВП</w:t>
      </w:r>
    </w:p>
    <w:tbl>
      <w:tblPr>
        <w:tblW w:w="4849" w:type="dxa"/>
        <w:jc w:val="center"/>
        <w:tblInd w:w="2951" w:type="dxa"/>
        <w:tblCellMar>
          <w:left w:w="0" w:type="dxa"/>
          <w:right w:w="0" w:type="dxa"/>
        </w:tblCellMar>
        <w:tblLook w:val="00A0"/>
      </w:tblPr>
      <w:tblGrid>
        <w:gridCol w:w="2410"/>
        <w:gridCol w:w="2439"/>
      </w:tblGrid>
      <w:tr w:rsidR="006F5E42" w:rsidRPr="004A549A" w:rsidTr="00EE66E8">
        <w:trPr>
          <w:trHeight w:val="191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Страна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% ВВП</w:t>
            </w:r>
          </w:p>
        </w:tc>
      </w:tr>
      <w:tr w:rsidR="006F5E42" w:rsidRPr="004A549A" w:rsidTr="00EE66E8">
        <w:trPr>
          <w:trHeight w:val="22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Израиль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4,40</w:t>
            </w:r>
          </w:p>
        </w:tc>
      </w:tr>
      <w:tr w:rsidR="006F5E42" w:rsidRPr="004A549A" w:rsidTr="00EE66E8">
        <w:trPr>
          <w:trHeight w:val="241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Финляндия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3,88</w:t>
            </w:r>
          </w:p>
        </w:tc>
      </w:tr>
      <w:tr w:rsidR="006F5E42" w:rsidRPr="004A549A" w:rsidTr="00EE66E8">
        <w:trPr>
          <w:trHeight w:val="10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Корея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3,74</w:t>
            </w:r>
          </w:p>
        </w:tc>
      </w:tr>
      <w:tr w:rsidR="006F5E42" w:rsidRPr="004A549A" w:rsidTr="00EE66E8">
        <w:trPr>
          <w:trHeight w:val="12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Япония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3,26</w:t>
            </w:r>
          </w:p>
        </w:tc>
      </w:tr>
      <w:tr w:rsidR="006F5E42" w:rsidRPr="004A549A" w:rsidTr="00EE66E8">
        <w:trPr>
          <w:trHeight w:val="139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США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2,90</w:t>
            </w:r>
          </w:p>
        </w:tc>
      </w:tr>
      <w:tr w:rsidR="006F5E42" w:rsidRPr="004A549A" w:rsidTr="00EE66E8">
        <w:trPr>
          <w:trHeight w:val="156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Германия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2,82</w:t>
            </w:r>
          </w:p>
        </w:tc>
      </w:tr>
      <w:tr w:rsidR="006F5E42" w:rsidRPr="004A549A" w:rsidTr="00EE66E8">
        <w:trPr>
          <w:trHeight w:val="33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Франция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2,25</w:t>
            </w:r>
          </w:p>
        </w:tc>
      </w:tr>
      <w:tr w:rsidR="006F5E42" w:rsidRPr="004A549A" w:rsidTr="00EE66E8">
        <w:trPr>
          <w:trHeight w:val="64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Китай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1,77</w:t>
            </w:r>
          </w:p>
        </w:tc>
      </w:tr>
      <w:tr w:rsidR="006F5E42" w:rsidRPr="004A549A" w:rsidTr="00EE66E8">
        <w:trPr>
          <w:trHeight w:val="69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Великобритания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1,76</w:t>
            </w:r>
          </w:p>
        </w:tc>
      </w:tr>
      <w:tr w:rsidR="006F5E42" w:rsidRPr="004A549A" w:rsidTr="00EE66E8">
        <w:trPr>
          <w:trHeight w:val="2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Россия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</w:rPr>
              <w:t>1,3</w:t>
            </w:r>
          </w:p>
        </w:tc>
      </w:tr>
      <w:tr w:rsidR="006F5E42" w:rsidRPr="004A549A" w:rsidTr="00EE66E8">
        <w:trPr>
          <w:trHeight w:val="22"/>
          <w:jc w:val="center"/>
        </w:trPr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E42" w:rsidRPr="004A549A" w:rsidRDefault="006F5E42" w:rsidP="004A549A">
            <w:pPr>
              <w:jc w:val="both"/>
              <w:rPr>
                <w:bCs/>
              </w:rPr>
            </w:pPr>
            <w:r w:rsidRPr="004A549A">
              <w:rPr>
                <w:bCs/>
                <w:i/>
              </w:rPr>
              <w:t>Источник</w:t>
            </w:r>
            <w:r w:rsidRPr="004A549A">
              <w:rPr>
                <w:bCs/>
              </w:rPr>
              <w:t xml:space="preserve">: Наука, технологии и инновации </w:t>
            </w:r>
            <w:r>
              <w:rPr>
                <w:bCs/>
              </w:rPr>
              <w:t>России.</w:t>
            </w:r>
            <w:r w:rsidRPr="004A549A">
              <w:rPr>
                <w:bCs/>
              </w:rPr>
              <w:t xml:space="preserve"> 2012. - С. 68-70.</w:t>
            </w:r>
          </w:p>
        </w:tc>
      </w:tr>
    </w:tbl>
    <w:p w:rsidR="006F5E42" w:rsidRPr="004A549A" w:rsidRDefault="006F5E42" w:rsidP="004A549A">
      <w:pPr>
        <w:spacing w:line="360" w:lineRule="auto"/>
        <w:ind w:firstLine="709"/>
        <w:jc w:val="both"/>
        <w:rPr>
          <w:bCs/>
        </w:rPr>
      </w:pP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Проблемы инновационного развития усугубляются наличием в стране существенных территориальных диспропорций по уровню научно-технического потенциала. В 2011 г. выделялись, с одной стороны, территориальные единицы-лидеры, где финансирование науки сопоставимо с уровнем развитых стран и превышает 3% ВРП, в их числе: Нижегородская область (4,71% ВРП), Калужская область (3,74), Московская и Ульяновская (3,57% и 3,51%, соответственно), г. Санкт-Петербург (3,33%)</w:t>
      </w:r>
      <w:r w:rsidRPr="004A549A">
        <w:rPr>
          <w:rStyle w:val="FootnoteReference"/>
        </w:rPr>
        <w:footnoteReference w:id="4"/>
      </w:r>
      <w:r w:rsidRPr="004A549A">
        <w:t xml:space="preserve">. С другой стороны, в регионах-аутсайдерах выделяется средств на науку в разы </w:t>
      </w:r>
      <w:r>
        <w:t>меньше.</w:t>
      </w:r>
      <w:r w:rsidRPr="004A549A">
        <w:t xml:space="preserve"> </w:t>
      </w:r>
      <w:r>
        <w:t>Т</w:t>
      </w:r>
      <w:r w:rsidRPr="004A549A">
        <w:t>ак, в ряде территорий рассматриваемый показатель недотягивает и до 1%, а именно в Чукотском автономном округе, Республике Хакасии, Псковской, Костромской и Липецкой областях.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Важнейшим условием развития науки является наличие кадров, осуществляющих исследования и разработки. По числу исследователей РФ уступает развитым странам (табл. 3). Занятость в научном секторе в России в 1990</w:t>
      </w:r>
      <w:r>
        <w:t>-</w:t>
      </w:r>
      <w:r w:rsidRPr="004A549A">
        <w:t xml:space="preserve">2011 гг. уменьшилась в два с половиной раза </w:t>
      </w:r>
      <w:r w:rsidRPr="004A549A">
        <w:noBreakHyphen/>
        <w:t xml:space="preserve"> с 1943 тыс. человек до 735 тыс. человек, а количество исследователей - почти в 3 раза (с 992 тыс. человек до 374 тыс. человек)</w:t>
      </w:r>
      <w:r w:rsidRPr="004A549A">
        <w:rPr>
          <w:rStyle w:val="FootnoteReference"/>
        </w:rPr>
        <w:footnoteReference w:id="5"/>
      </w:r>
      <w:r w:rsidRPr="004A549A">
        <w:t>. Процесс сокращения занятых научными исследованиями и разработками продолжается.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По численности исследователей также наблюдается существенная дифференциация субъектов РФ. Территориально кадровый потенциал распределен неравномерно. В основном весь потенциал сконцентрирован в нескольких центрах. Расчеты показывают, что на Центральный федеральный округ приходится более 50% всей численности персонала, занятого исследованиями и разработками. Концентрация научного кадрового потенциала в столицах и региональных центрах характерна для всех стран СНГ. В таких «точках притяжения», как правило, сосредоточена вся фундаментальная и прикладная наука. Существующие на местном уровне научные учреждения заняты преимущественно решением более локальных задач.</w:t>
      </w:r>
    </w:p>
    <w:p w:rsidR="006F5E42" w:rsidRPr="004A549A" w:rsidRDefault="006F5E42" w:rsidP="00FB2AFB">
      <w:pPr>
        <w:ind w:firstLine="709"/>
        <w:jc w:val="right"/>
        <w:rPr>
          <w:bCs/>
        </w:rPr>
      </w:pPr>
      <w:r w:rsidRPr="004A549A">
        <w:rPr>
          <w:bCs/>
        </w:rPr>
        <w:t>Таблица 3</w:t>
      </w:r>
    </w:p>
    <w:p w:rsidR="006F5E42" w:rsidRPr="004A549A" w:rsidRDefault="006F5E42" w:rsidP="00FB2AFB">
      <w:pPr>
        <w:ind w:firstLine="709"/>
        <w:jc w:val="both"/>
      </w:pPr>
      <w:r w:rsidRPr="004A549A">
        <w:rPr>
          <w:b/>
          <w:bCs/>
        </w:rPr>
        <w:t>Численность персонала, занятого исследованиями и разработками, по некоторым странам, на 100 тыс. населения, чел.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64"/>
        <w:gridCol w:w="1158"/>
        <w:gridCol w:w="1260"/>
        <w:gridCol w:w="1275"/>
        <w:gridCol w:w="1333"/>
        <w:gridCol w:w="2768"/>
      </w:tblGrid>
      <w:tr w:rsidR="006F5E42" w:rsidRPr="004A549A" w:rsidTr="00907BF2">
        <w:trPr>
          <w:trHeight w:val="237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Территория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2000 г.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2005 г.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2009 г.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2010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2010 г. к 2000 г., в %</w:t>
            </w:r>
          </w:p>
        </w:tc>
      </w:tr>
      <w:tr w:rsidR="006F5E42" w:rsidRPr="004A549A" w:rsidTr="00907BF2">
        <w:trPr>
          <w:trHeight w:val="20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Финляндия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1012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1105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1058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1035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102,3</w:t>
            </w:r>
          </w:p>
        </w:tc>
      </w:tr>
      <w:tr w:rsidR="006F5E42" w:rsidRPr="004A549A" w:rsidTr="00907BF2">
        <w:trPr>
          <w:trHeight w:val="80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Япония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707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721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712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685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96,9</w:t>
            </w:r>
          </w:p>
        </w:tc>
      </w:tr>
      <w:tr w:rsidR="006F5E42" w:rsidRPr="004A549A" w:rsidTr="00907BF2">
        <w:trPr>
          <w:trHeight w:val="57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Германия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590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576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646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671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113,7</w:t>
            </w:r>
          </w:p>
        </w:tc>
      </w:tr>
      <w:tr w:rsidR="006F5E42" w:rsidRPr="004A549A" w:rsidTr="00907BF2">
        <w:trPr>
          <w:trHeight w:val="49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Франция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555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573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754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603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108,6</w:t>
            </w:r>
          </w:p>
        </w:tc>
      </w:tr>
      <w:tr w:rsidR="006F5E42" w:rsidRPr="004A549A" w:rsidTr="00907BF2">
        <w:trPr>
          <w:trHeight w:val="28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Россия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607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570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523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515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84,8</w:t>
            </w:r>
          </w:p>
        </w:tc>
      </w:tr>
      <w:tr w:rsidR="006F5E42" w:rsidRPr="004A549A" w:rsidTr="00907BF2">
        <w:trPr>
          <w:trHeight w:val="20"/>
        </w:trPr>
        <w:tc>
          <w:tcPr>
            <w:tcW w:w="836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Китай</w:t>
            </w:r>
          </w:p>
        </w:tc>
        <w:tc>
          <w:tcPr>
            <w:tcW w:w="6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73</w:t>
            </w:r>
          </w:p>
        </w:tc>
        <w:tc>
          <w:tcPr>
            <w:tcW w:w="67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105</w:t>
            </w:r>
          </w:p>
        </w:tc>
        <w:tc>
          <w:tcPr>
            <w:tcW w:w="681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148</w:t>
            </w:r>
          </w:p>
        </w:tc>
        <w:tc>
          <w:tcPr>
            <w:tcW w:w="712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  <w:i/>
                <w:iCs/>
              </w:rPr>
              <w:t>191</w:t>
            </w:r>
          </w:p>
        </w:tc>
        <w:tc>
          <w:tcPr>
            <w:tcW w:w="14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rPr>
                <w:bCs/>
              </w:rPr>
              <w:t>261,6</w:t>
            </w:r>
          </w:p>
        </w:tc>
      </w:tr>
      <w:tr w:rsidR="006F5E42" w:rsidRPr="00FB2AFB" w:rsidTr="00136321">
        <w:trPr>
          <w:trHeight w:val="20"/>
        </w:trPr>
        <w:tc>
          <w:tcPr>
            <w:tcW w:w="5000" w:type="pct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5E42" w:rsidRPr="00FB2AFB" w:rsidRDefault="006F5E42" w:rsidP="00FB2AFB">
            <w:pPr>
              <w:jc w:val="both"/>
              <w:rPr>
                <w:bCs/>
                <w:lang w:val="en-US"/>
              </w:rPr>
            </w:pPr>
            <w:r w:rsidRPr="004A549A">
              <w:rPr>
                <w:bCs/>
                <w:i/>
                <w:iCs/>
              </w:rPr>
              <w:t xml:space="preserve">Источник: </w:t>
            </w:r>
            <w:r w:rsidRPr="004A549A">
              <w:rPr>
                <w:bCs/>
                <w:iCs/>
              </w:rPr>
              <w:t xml:space="preserve">Россия и страны мира. </w:t>
            </w:r>
            <w:r w:rsidRPr="00FB2AFB">
              <w:rPr>
                <w:bCs/>
                <w:iCs/>
                <w:lang w:val="en-US"/>
              </w:rPr>
              <w:t xml:space="preserve">2010.: </w:t>
            </w:r>
            <w:r w:rsidRPr="004A549A">
              <w:rPr>
                <w:bCs/>
                <w:iCs/>
              </w:rPr>
              <w:t>Стат</w:t>
            </w:r>
            <w:r w:rsidRPr="00FB2AFB">
              <w:rPr>
                <w:bCs/>
                <w:iCs/>
                <w:lang w:val="en-US"/>
              </w:rPr>
              <w:t xml:space="preserve">. </w:t>
            </w:r>
            <w:r w:rsidRPr="004A549A">
              <w:rPr>
                <w:bCs/>
                <w:iCs/>
              </w:rPr>
              <w:t>сб</w:t>
            </w:r>
            <w:r w:rsidRPr="00FB2AFB">
              <w:rPr>
                <w:bCs/>
                <w:iCs/>
                <w:lang w:val="en-US"/>
              </w:rPr>
              <w:t xml:space="preserve">. / </w:t>
            </w:r>
            <w:r w:rsidRPr="004A549A">
              <w:rPr>
                <w:bCs/>
                <w:iCs/>
              </w:rPr>
              <w:t>Росстат</w:t>
            </w:r>
            <w:r w:rsidRPr="00FB2AFB">
              <w:rPr>
                <w:bCs/>
                <w:iCs/>
                <w:lang w:val="en-US"/>
              </w:rPr>
              <w:t xml:space="preserve">. - M., 2010. – 372 c.; Eurostathome - </w:t>
            </w:r>
            <w:r w:rsidRPr="004A549A">
              <w:rPr>
                <w:bCs/>
                <w:iCs/>
                <w:lang w:val="en-US"/>
              </w:rPr>
              <w:t>http</w:t>
            </w:r>
            <w:r w:rsidRPr="00FB2AFB">
              <w:rPr>
                <w:bCs/>
                <w:iCs/>
                <w:lang w:val="en-US"/>
              </w:rPr>
              <w:t>://</w:t>
            </w:r>
            <w:r w:rsidRPr="004A549A">
              <w:rPr>
                <w:bCs/>
                <w:iCs/>
                <w:lang w:val="en-US"/>
              </w:rPr>
              <w:t>epp</w:t>
            </w:r>
            <w:r w:rsidRPr="00FB2AFB">
              <w:rPr>
                <w:bCs/>
                <w:iCs/>
                <w:lang w:val="en-US"/>
              </w:rPr>
              <w:t>.</w:t>
            </w:r>
            <w:r w:rsidRPr="004A549A">
              <w:rPr>
                <w:bCs/>
                <w:iCs/>
                <w:lang w:val="en-US"/>
              </w:rPr>
              <w:t>eurostat</w:t>
            </w:r>
            <w:r w:rsidRPr="00FB2AFB">
              <w:rPr>
                <w:bCs/>
                <w:iCs/>
                <w:lang w:val="en-US"/>
              </w:rPr>
              <w:t>.</w:t>
            </w:r>
            <w:r w:rsidRPr="004A549A">
              <w:rPr>
                <w:bCs/>
                <w:iCs/>
                <w:lang w:val="en-US"/>
              </w:rPr>
              <w:t>ec</w:t>
            </w:r>
            <w:r w:rsidRPr="00FB2AFB">
              <w:rPr>
                <w:bCs/>
                <w:iCs/>
                <w:lang w:val="en-US"/>
              </w:rPr>
              <w:t>.</w:t>
            </w:r>
            <w:r w:rsidRPr="004A549A">
              <w:rPr>
                <w:bCs/>
                <w:iCs/>
                <w:lang w:val="en-US"/>
              </w:rPr>
              <w:t>europa</w:t>
            </w:r>
            <w:r w:rsidRPr="00FB2AFB">
              <w:rPr>
                <w:bCs/>
                <w:iCs/>
                <w:lang w:val="en-US"/>
              </w:rPr>
              <w:t>.</w:t>
            </w:r>
            <w:r w:rsidRPr="004A549A">
              <w:rPr>
                <w:bCs/>
                <w:iCs/>
                <w:lang w:val="en-US"/>
              </w:rPr>
              <w:t>eu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portal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page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portal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science</w:t>
            </w:r>
            <w:r w:rsidRPr="00FB2AFB">
              <w:rPr>
                <w:bCs/>
                <w:iCs/>
                <w:lang w:val="en-US"/>
              </w:rPr>
              <w:t xml:space="preserve"> _</w:t>
            </w:r>
            <w:r w:rsidRPr="004A549A">
              <w:rPr>
                <w:bCs/>
                <w:iCs/>
                <w:lang w:val="en-US"/>
              </w:rPr>
              <w:t>technology</w:t>
            </w:r>
            <w:r w:rsidRPr="00FB2AFB">
              <w:rPr>
                <w:bCs/>
                <w:iCs/>
                <w:lang w:val="en-US"/>
              </w:rPr>
              <w:t>_</w:t>
            </w:r>
            <w:r w:rsidRPr="004A549A">
              <w:rPr>
                <w:bCs/>
                <w:iCs/>
                <w:lang w:val="en-US"/>
              </w:rPr>
              <w:t>innovation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data</w:t>
            </w:r>
            <w:r w:rsidRPr="00FB2AFB">
              <w:rPr>
                <w:bCs/>
                <w:iCs/>
                <w:lang w:val="en-US"/>
              </w:rPr>
              <w:t>/</w:t>
            </w:r>
            <w:r w:rsidRPr="004A549A">
              <w:rPr>
                <w:bCs/>
                <w:iCs/>
                <w:lang w:val="en-US"/>
              </w:rPr>
              <w:t>database</w:t>
            </w:r>
            <w:r w:rsidRPr="00FB2AFB">
              <w:rPr>
                <w:bCs/>
                <w:iCs/>
                <w:lang w:val="en-US"/>
              </w:rPr>
              <w:t>.</w:t>
            </w:r>
          </w:p>
        </w:tc>
      </w:tr>
    </w:tbl>
    <w:p w:rsidR="006F5E42" w:rsidRPr="00FB2AFB" w:rsidRDefault="006F5E42" w:rsidP="004A549A">
      <w:pPr>
        <w:spacing w:line="360" w:lineRule="auto"/>
        <w:ind w:firstLine="709"/>
        <w:jc w:val="both"/>
        <w:rPr>
          <w:lang w:val="en-US"/>
        </w:rPr>
      </w:pP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Удельный вес организаций, осуществлявших инновационную деятельность, в РФ составляет порядка 10%, в то время как в развитых странах данный показатель превышает 50%. Для активизации инновационных процессов в стране требуется формирование инновационной инфраструктуры, способной оперативно и гибко реализовывать необходимые в данное время инновации, основанные на высоких производственных технологиях</w:t>
      </w:r>
      <w:r w:rsidRPr="004A549A">
        <w:rPr>
          <w:rStyle w:val="FootnoteReference"/>
        </w:rPr>
        <w:footnoteReference w:id="6"/>
      </w:r>
      <w:r w:rsidRPr="004A549A">
        <w:rPr>
          <w:bCs/>
        </w:rPr>
        <w:t>.</w:t>
      </w:r>
      <w:r w:rsidRPr="004A549A">
        <w:t xml:space="preserve"> Особое внимание этому необходимо уделять в субъектах с низким уровнем развития научно-технического потенциала. К их числу относится Вологодская область, выбранная в качестве объекта исследования.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В области действуют 25 организаций инновационной инфраструктуры (БУ ВО «Бизнес-инкубатор», Центр трансфера технологий при ИСЭРТ РАН, НО ВО «Фонд поддержки МСП» и др.). Однако уровень развития инфраструктуры недостаточный (табл. 4). Проведенный анализ объектов инновационной инфраструктуры региона позволяет сделать вывод о том, что они оказывают широкий спектр услуг</w:t>
      </w:r>
      <w:r w:rsidRPr="004A549A">
        <w:rPr>
          <w:rStyle w:val="FootnoteReference"/>
        </w:rPr>
        <w:footnoteReference w:id="7"/>
      </w:r>
      <w:r w:rsidRPr="004A549A">
        <w:t>. Наиболее распространенными из них, являются: предоставление юридических услуг, оформление прав на интеллектуальную собственность, поиск и привлечение инвестиций под конкретный проект. Однако они не решают проблему построения сетевых взаимовыгодных связей между предприятиями. Так, исследования показывают, что уровень кооперации между предприятиями региона, научными учреждениями и другими организациями по-прежнему низок. Кроме того, такие востребованные у предприятий региона услуги, как предоставление на льготных условиях в аренду производственных площадей, лабораторного оборудования, организациями инфраструктуры практически не оказываются.</w:t>
      </w:r>
    </w:p>
    <w:p w:rsidR="006F5E42" w:rsidRPr="004A549A" w:rsidRDefault="006F5E42" w:rsidP="00FB2AFB">
      <w:pPr>
        <w:ind w:firstLine="709"/>
        <w:jc w:val="right"/>
        <w:rPr>
          <w:bCs/>
        </w:rPr>
      </w:pPr>
      <w:r w:rsidRPr="004A549A">
        <w:rPr>
          <w:bCs/>
        </w:rPr>
        <w:t>Таблица 4</w:t>
      </w:r>
    </w:p>
    <w:p w:rsidR="006F5E42" w:rsidRPr="004A549A" w:rsidRDefault="006F5E42" w:rsidP="00FB2AFB">
      <w:pPr>
        <w:ind w:firstLine="709"/>
        <w:jc w:val="both"/>
        <w:rPr>
          <w:b/>
          <w:bCs/>
        </w:rPr>
      </w:pPr>
      <w:r w:rsidRPr="004A549A">
        <w:rPr>
          <w:b/>
          <w:bCs/>
        </w:rPr>
        <w:t xml:space="preserve">Индексы подсистем инновационной инфраструктуры Вологодской области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842"/>
        <w:gridCol w:w="1862"/>
        <w:gridCol w:w="1396"/>
        <w:gridCol w:w="1933"/>
      </w:tblGrid>
      <w:tr w:rsidR="006F5E42" w:rsidRPr="004A549A" w:rsidTr="00174EDB">
        <w:trPr>
          <w:trHeight w:val="284"/>
          <w:jc w:val="center"/>
        </w:trPr>
        <w:tc>
          <w:tcPr>
            <w:tcW w:w="1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Индекс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2010 г.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Характеристика уровня развития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2011 г.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Характеристика уровня развития</w:t>
            </w:r>
          </w:p>
        </w:tc>
      </w:tr>
      <w:tr w:rsidR="006F5E42" w:rsidRPr="004A549A" w:rsidTr="00174EDB">
        <w:trPr>
          <w:trHeight w:val="284"/>
          <w:jc w:val="center"/>
        </w:trPr>
        <w:tc>
          <w:tcPr>
            <w:tcW w:w="1787" w:type="pct"/>
          </w:tcPr>
          <w:p w:rsidR="006F5E42" w:rsidRPr="004A549A" w:rsidRDefault="006F5E42" w:rsidP="00FB2AFB">
            <w:pPr>
              <w:jc w:val="both"/>
              <w:rPr>
                <w:vertAlign w:val="superscript"/>
              </w:rPr>
            </w:pPr>
            <w:r w:rsidRPr="004A549A">
              <w:t>Индекс развития материально-технической подсистемы**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0,49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 xml:space="preserve">Очень </w:t>
            </w:r>
          </w:p>
          <w:p w:rsidR="006F5E42" w:rsidRPr="004A549A" w:rsidRDefault="006F5E42" w:rsidP="00FB2AFB">
            <w:pPr>
              <w:jc w:val="both"/>
            </w:pPr>
            <w:r w:rsidRPr="004A549A">
              <w:t>низкий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0,47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 xml:space="preserve">Очень </w:t>
            </w:r>
          </w:p>
          <w:p w:rsidR="006F5E42" w:rsidRPr="004A549A" w:rsidRDefault="006F5E42" w:rsidP="00FB2AFB">
            <w:pPr>
              <w:jc w:val="both"/>
            </w:pPr>
            <w:r w:rsidRPr="004A549A">
              <w:t>низкий</w:t>
            </w:r>
          </w:p>
        </w:tc>
      </w:tr>
      <w:tr w:rsidR="006F5E42" w:rsidRPr="004A549A" w:rsidTr="00174EDB">
        <w:trPr>
          <w:trHeight w:val="284"/>
          <w:jc w:val="center"/>
        </w:trPr>
        <w:tc>
          <w:tcPr>
            <w:tcW w:w="1787" w:type="pct"/>
          </w:tcPr>
          <w:p w:rsidR="006F5E42" w:rsidRPr="004A549A" w:rsidRDefault="006F5E42" w:rsidP="00FB2AFB">
            <w:pPr>
              <w:jc w:val="both"/>
            </w:pPr>
            <w:r w:rsidRPr="004A549A">
              <w:t>Индекс развития социальной подсистемы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0,55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Низкий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0,69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Низкий</w:t>
            </w:r>
          </w:p>
        </w:tc>
      </w:tr>
      <w:tr w:rsidR="006F5E42" w:rsidRPr="004A549A" w:rsidTr="00174EDB">
        <w:trPr>
          <w:trHeight w:val="284"/>
          <w:jc w:val="center"/>
        </w:trPr>
        <w:tc>
          <w:tcPr>
            <w:tcW w:w="1787" w:type="pct"/>
          </w:tcPr>
          <w:p w:rsidR="006F5E42" w:rsidRPr="004A549A" w:rsidRDefault="006F5E42" w:rsidP="00FB2AFB">
            <w:pPr>
              <w:jc w:val="both"/>
            </w:pPr>
            <w:r w:rsidRPr="004A549A">
              <w:t>Индекс развития финансовой подсистемы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0,76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Недостаточный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0,68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Низкий</w:t>
            </w:r>
          </w:p>
        </w:tc>
      </w:tr>
      <w:tr w:rsidR="006F5E42" w:rsidRPr="004A549A" w:rsidTr="00174EDB">
        <w:trPr>
          <w:trHeight w:val="299"/>
          <w:jc w:val="center"/>
        </w:trPr>
        <w:tc>
          <w:tcPr>
            <w:tcW w:w="1787" w:type="pct"/>
          </w:tcPr>
          <w:p w:rsidR="006F5E42" w:rsidRPr="004A549A" w:rsidRDefault="006F5E42" w:rsidP="00FB2AFB">
            <w:pPr>
              <w:jc w:val="both"/>
            </w:pPr>
            <w:r w:rsidRPr="004A549A">
              <w:t>Индекс развития информационно-маркетинговой подсистемы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0,79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Недостаточный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1,18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</w:pPr>
            <w:r w:rsidRPr="004A549A">
              <w:t>Высокий</w:t>
            </w:r>
          </w:p>
        </w:tc>
      </w:tr>
      <w:tr w:rsidR="006F5E42" w:rsidRPr="004A549A" w:rsidTr="00174EDB">
        <w:trPr>
          <w:trHeight w:val="284"/>
          <w:jc w:val="center"/>
        </w:trPr>
        <w:tc>
          <w:tcPr>
            <w:tcW w:w="1787" w:type="pct"/>
          </w:tcPr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rPr>
                <w:b/>
              </w:rPr>
              <w:t>Индекс развития региональной инновационной инфраструктуры*</w:t>
            </w:r>
          </w:p>
        </w:tc>
        <w:tc>
          <w:tcPr>
            <w:tcW w:w="489" w:type="pct"/>
            <w:vAlign w:val="center"/>
          </w:tcPr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rPr>
                <w:b/>
              </w:rPr>
              <w:t>2,59</w:t>
            </w:r>
          </w:p>
        </w:tc>
        <w:tc>
          <w:tcPr>
            <w:tcW w:w="946" w:type="pct"/>
            <w:vAlign w:val="center"/>
          </w:tcPr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rPr>
                <w:b/>
              </w:rPr>
              <w:t>Низкий</w:t>
            </w:r>
          </w:p>
        </w:tc>
        <w:tc>
          <w:tcPr>
            <w:tcW w:w="787" w:type="pct"/>
            <w:vAlign w:val="center"/>
          </w:tcPr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rPr>
                <w:b/>
              </w:rPr>
              <w:t>3,02</w:t>
            </w:r>
          </w:p>
        </w:tc>
        <w:tc>
          <w:tcPr>
            <w:tcW w:w="991" w:type="pct"/>
            <w:vAlign w:val="center"/>
          </w:tcPr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rPr>
                <w:b/>
              </w:rPr>
              <w:t>Недостаточный</w:t>
            </w:r>
          </w:p>
        </w:tc>
      </w:tr>
      <w:tr w:rsidR="006F5E42" w:rsidRPr="004A549A" w:rsidTr="00174EDB">
        <w:trPr>
          <w:trHeight w:val="284"/>
          <w:jc w:val="center"/>
        </w:trPr>
        <w:tc>
          <w:tcPr>
            <w:tcW w:w="5000" w:type="pct"/>
            <w:gridSpan w:val="5"/>
          </w:tcPr>
          <w:p w:rsidR="006F5E42" w:rsidRPr="004A549A" w:rsidRDefault="006F5E42" w:rsidP="00FB2AFB">
            <w:pPr>
              <w:jc w:val="both"/>
            </w:pPr>
            <w:r w:rsidRPr="004A549A">
              <w:t>Для расчета индексов развития инновационной инфраструктуры использовалась методика, разработанная сотрудниками ИСЭРТ РАН, в рамках выполнения НИР «Направления развития региональной инновационной инфраструктуры» / С.В, Теребова, О.Н. Агаметова. ИСЭРТ РАН, 2012</w:t>
            </w:r>
            <w:r>
              <w:t>. -</w:t>
            </w:r>
            <w:r w:rsidRPr="004A549A">
              <w:t xml:space="preserve"> 161 с. </w:t>
            </w:r>
          </w:p>
          <w:p w:rsidR="006F5E42" w:rsidRPr="004A549A" w:rsidRDefault="006F5E42" w:rsidP="00FB2AFB">
            <w:pPr>
              <w:jc w:val="both"/>
            </w:pPr>
            <w:r w:rsidRPr="004A549A">
              <w:t>*Шкала оценки для интегрального индекса: 1 – инфраструктура полностью неразвита; 1 – 1,99 – очень низкое развитие; 2 – 2,99 – низкое развитие, инфраструктура требует изменения; 3 – 3,99 – недостаточно развита, отдельные подсистемы инфраструктуры требуют изменений; 4 – 4,99 – развитая инфраструктура, имеются ресурсы для дальнейшего развития; 5 – абсолютно развита.</w:t>
            </w:r>
          </w:p>
          <w:p w:rsidR="006F5E42" w:rsidRPr="004A549A" w:rsidRDefault="006F5E42" w:rsidP="00FB2AFB">
            <w:pPr>
              <w:jc w:val="both"/>
              <w:rPr>
                <w:b/>
              </w:rPr>
            </w:pPr>
            <w:r w:rsidRPr="004A549A">
              <w:t xml:space="preserve">**Шкала оценки для подсистем выглядит следующим образом: менее 0,25 – подсистема полностью неразвита, 0,26 – 0,50 очень низкий уровень развития, 0,6 – 0,75 низкий уровень развития, 0,76 – 1,00 подсистема недостаточно развита, 1,01 – 1,24 высокий уровень развития подсистемы, 1,25 подсистема </w:t>
            </w:r>
            <w:r w:rsidRPr="004A549A">
              <w:rPr>
                <w:spacing w:val="-10"/>
              </w:rPr>
              <w:t>полностью развита.</w:t>
            </w:r>
          </w:p>
        </w:tc>
      </w:tr>
    </w:tbl>
    <w:p w:rsidR="006F5E42" w:rsidRPr="004A549A" w:rsidRDefault="006F5E42" w:rsidP="004A549A">
      <w:pPr>
        <w:spacing w:line="360" w:lineRule="auto"/>
        <w:ind w:firstLine="709"/>
        <w:jc w:val="both"/>
        <w:rPr>
          <w:bCs/>
        </w:rPr>
      </w:pP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 xml:space="preserve">Для сбалансированного и системного развития инновационной инфраструктуры на территории региона, в первую очередь, необходимо применение программно-целевого подхода. </w:t>
      </w:r>
      <w:r>
        <w:t>П</w:t>
      </w:r>
      <w:r w:rsidRPr="004A549A">
        <w:t xml:space="preserve">о-нашему мнению, такая задача должна быть отражена в документах, регламентирующих развитие региона. В рамках реализации данного направления сотрудниками ИСЭРТ РАН была разработана долгосрочная целевая программа «Развитие научно-технического потенциала Вологодской области на период до 2025 года», направленная на </w:t>
      </w:r>
      <w:r w:rsidRPr="004A549A">
        <w:rPr>
          <w:bCs/>
        </w:rPr>
        <w:t>повышение эффективности использования научно-технического потенциала региона для обеспечения движения региона по инновационно-ориентированному пути.</w:t>
      </w:r>
      <w:r w:rsidRPr="004A549A">
        <w:t xml:space="preserve"> Важнейшей ее задачей является </w:t>
      </w:r>
      <w:r w:rsidRPr="004A549A">
        <w:rPr>
          <w:bCs/>
        </w:rPr>
        <w:t>формирование комплексной среды, обеспечивающей эффективную связь между сферами генерации и потребления знаний в регионе. При этом предусматривается развитие уже существующих механизмов инфраструктурной поддержки инновационных компаний</w:t>
      </w:r>
      <w:r w:rsidRPr="004A549A">
        <w:t xml:space="preserve"> </w:t>
      </w:r>
      <w:r w:rsidRPr="004A549A">
        <w:rPr>
          <w:bCs/>
        </w:rPr>
        <w:t xml:space="preserve">в регионе и создание недостающих. </w: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i/>
          <w:iCs/>
          <w:color w:val="000000"/>
        </w:rPr>
      </w:pPr>
      <w:r w:rsidRPr="004A549A">
        <w:t xml:space="preserve">Так, </w:t>
      </w:r>
      <w:r w:rsidRPr="004A549A">
        <w:rPr>
          <w:i/>
          <w:iCs/>
          <w:color w:val="000000"/>
        </w:rPr>
        <w:t xml:space="preserve">разработана концептуальная модель Центра, содействующего активизации инновационных процессов в регионе. </w:t>
      </w:r>
      <w:r w:rsidRPr="004A549A">
        <w:t>В структуре Центра выделяются: экспертно-аналитический отдел; отдел сертификации и продвижения продукции; отдел подготовки инновационных менеджеров; лабораторно-экспериментальный отдел; отдел сопровождения проектов.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rPr>
          <w:iCs/>
          <w:color w:val="000000"/>
        </w:rPr>
        <w:t xml:space="preserve">По ряду разработанных теоретических положений, предложенных в модели, начата практическая реализация. С целью привлечения в регион передовых разработок создан такой инфраструктурный механизм как </w:t>
      </w:r>
      <w:r w:rsidRPr="004A549A">
        <w:rPr>
          <w:i/>
          <w:iCs/>
          <w:color w:val="000000"/>
        </w:rPr>
        <w:t>Центр трансфера технологий</w:t>
      </w:r>
      <w:r w:rsidRPr="004A549A">
        <w:rPr>
          <w:iCs/>
          <w:color w:val="000000"/>
        </w:rPr>
        <w:t xml:space="preserve"> (далее ЦТТ). Как известно, </w:t>
      </w:r>
      <w:r w:rsidRPr="004A549A">
        <w:t>полученная технология может стать катализатором при создании собственных технологий. Многие страны, в частности Германия и Япония, придавали особое значение импорту технологий, в результате эти страны сегодня входят в лидеры мирового научно-технического развития.</w:t>
      </w:r>
    </w:p>
    <w:p w:rsidR="006F5E42" w:rsidRPr="004A549A" w:rsidRDefault="006F5E42" w:rsidP="000974D5">
      <w:pPr>
        <w:spacing w:line="360" w:lineRule="auto"/>
        <w:jc w:val="both"/>
      </w:pPr>
      <w:r w:rsidRPr="004A549A">
        <w:object w:dxaOrig="13286" w:dyaOrig="1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406.5pt" o:ole="">
            <v:imagedata r:id="rId7" o:title=""/>
          </v:shape>
          <o:OLEObject Type="Embed" ProgID="Visio.Drawing.11" ShapeID="_x0000_i1025" DrawAspect="Content" ObjectID="_1460978696" r:id="rId8"/>
        </w:objec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b/>
          <w:iCs/>
          <w:color w:val="000000"/>
        </w:rPr>
      </w:pPr>
      <w:r w:rsidRPr="004A549A">
        <w:rPr>
          <w:b/>
          <w:iCs/>
          <w:color w:val="000000"/>
        </w:rPr>
        <w:t xml:space="preserve">Рис. </w:t>
      </w:r>
      <w:r>
        <w:rPr>
          <w:b/>
          <w:iCs/>
          <w:color w:val="000000"/>
        </w:rPr>
        <w:t xml:space="preserve">1. </w:t>
      </w:r>
      <w:r w:rsidRPr="004A549A">
        <w:rPr>
          <w:b/>
          <w:iCs/>
          <w:color w:val="000000"/>
        </w:rPr>
        <w:t>Концептуальная модель Центра содействия развитию инновационного бизнеса</w:t>
      </w:r>
      <w:r>
        <w:rPr>
          <w:b/>
          <w:iCs/>
          <w:color w:val="000000"/>
        </w:rPr>
        <w:t>.</w: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iCs/>
          <w:color w:val="000000"/>
        </w:rPr>
      </w:pPr>
    </w:p>
    <w:p w:rsidR="006F5E42" w:rsidRPr="004A549A" w:rsidRDefault="006F5E42" w:rsidP="004A549A">
      <w:pPr>
        <w:spacing w:line="360" w:lineRule="auto"/>
        <w:ind w:firstLine="709"/>
        <w:jc w:val="both"/>
        <w:rPr>
          <w:b/>
          <w:bCs/>
        </w:rPr>
      </w:pPr>
      <w:r w:rsidRPr="004A549A">
        <w:t>ЦТТ включен в Российскую сеть трансфера технологий (c 2005 г.), Сеть Республиканского центра трансфера технологий (Беларусь, с 2010 г.). На сегодняшний день в базе Центра размещено более 100 технологических профилей. Все они структурированы по следующим направлениям: биотехнологии; информационные технологии; медицина; новые материалы; промышленные технологии; экология, охрана окружающей среды. Необходимо отметить, что в развитых странах за последнее десятилетие доля разработок современного технологического уклада, базирующегося на микроэлектронике, биотехнологии и информатике, увеличилась с 30 – 35% до 40 – 45%; в России, в т. ч. и в Вологодской области пока этого не наблюдается. В структуре технологических предложений ИКТ и биотехнологии составляют незначительную величину.</w:t>
      </w:r>
      <w:r w:rsidRPr="004A549A">
        <w:rPr>
          <w:b/>
          <w:bCs/>
        </w:rPr>
        <w:t xml:space="preserve"> </w:t>
      </w:r>
      <w:r w:rsidRPr="004A549A">
        <w:t>На 50% технологических профилей были получены выражения интереса</w:t>
      </w:r>
      <w:r w:rsidRPr="004A549A">
        <w:rPr>
          <w:rStyle w:val="FootnoteReference"/>
        </w:rPr>
        <w:footnoteReference w:id="8"/>
      </w:r>
      <w:r w:rsidRPr="004A549A">
        <w:t>, т. е. на каждый второй профиль. География выражений интереса достаточно широкая: страны СНГ (Россия, Белоруссия, Казахстан, Киргизия, Узбекистан, Украина), страны ЕС (Австрия, Болгария, Германия, Греция, Латвия, Эстония), Армения, Англия, Китай, США, Турция.</w:t>
      </w:r>
      <w:r w:rsidRPr="004A549A">
        <w:rPr>
          <w:b/>
          <w:bCs/>
        </w:rPr>
        <w:t xml:space="preserve"> </w:t>
      </w:r>
      <w:r w:rsidRPr="004A549A">
        <w:t>Всего сотрудниками Центра получено более 100 выражений интереса, заключены четыре сделки по трансферу технологий. Процент успешности в сфере трансфера технологий составил 5,3% (у зарубежных ЦТТ составляет порядка 10%).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rPr>
          <w:iCs/>
          <w:color w:val="000000"/>
        </w:rPr>
        <w:t xml:space="preserve">ЦТТ оказывает содействие разработчикам в привлечении инвестиционных ресурсов для реализации инновационных проектов, находящихся на посевной стадии. </w:t>
      </w:r>
      <w:r w:rsidRPr="004A549A">
        <w:t>Всего за 2008</w:t>
      </w:r>
      <w:r>
        <w:t>-</w:t>
      </w:r>
      <w:r w:rsidRPr="004A549A">
        <w:t xml:space="preserve">2013 гг. подготовлено 80 проектов, из них 25 получили финансирование. При помощи ЦТТ </w:t>
      </w:r>
      <w:r w:rsidRPr="004A549A">
        <w:rPr>
          <w:iCs/>
          <w:color w:val="000000"/>
        </w:rPr>
        <w:t>создано 12 малых инновационных предприятий.</w: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iCs/>
          <w:color w:val="000000"/>
        </w:rPr>
      </w:pPr>
      <w:r w:rsidRPr="004A549A">
        <w:t xml:space="preserve">Еще одним эффективным механизмом развития инноваций является применение </w:t>
      </w:r>
      <w:r w:rsidRPr="004A549A">
        <w:rPr>
          <w:i/>
        </w:rPr>
        <w:t>кластерного подхода</w:t>
      </w:r>
      <w:r w:rsidRPr="004A549A">
        <w:t>. Роль кластеров в развитии инновационной деятельности заключается в том, что в их рамках образуются устойчивые связи между участниками инновационной системы («инновационные ядра» кластеров) и промышленными предприятиями («производственные площадки» кластеров).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Согласно нашим исследованиям, б</w:t>
      </w:r>
      <w:r w:rsidRPr="004A549A">
        <w:rPr>
          <w:color w:val="000000"/>
        </w:rPr>
        <w:t xml:space="preserve">олее 17% предприятий малого и среднего бизнеса региона желают вступить в какое-либо кластерное объединение с целью повышения результативности своей финансово-экономической деятельности. </w:t>
      </w:r>
      <w:r w:rsidRPr="004A549A">
        <w:t>Поэтому сегодня назрела необходимость помимо создания региональных центров инновационного развития, реализовывать мероприятия, направленные на выявление и стимулирование развития территориальных кластеров.</w:t>
      </w:r>
    </w:p>
    <w:p w:rsidR="006F5E42" w:rsidRPr="004A549A" w:rsidRDefault="006F5E42" w:rsidP="004A549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549A">
        <w:t xml:space="preserve">Поддержку их развития возможно осуществлять на основе создания </w:t>
      </w:r>
      <w:r w:rsidRPr="004A549A">
        <w:rPr>
          <w:i/>
        </w:rPr>
        <w:t>Центра кластерного развития</w:t>
      </w:r>
      <w:r w:rsidRPr="004A549A">
        <w:t xml:space="preserve"> (далее – ЦКР, Центр), миссией которого является повышение эффективности экономики региона на основе ее диверсификации, стимулирования развития производственной и инновационной деятельности малых и средних предприятий. Основными задачами работы Центра являются: разработка и информационно-аналитическое обеспечение реализации стратегий и программ развития кластеров; содействие участникам кластеров в выводе новых продукции и услуг на отечественные и зарубежные рынки, сертификации продукции; организация подготовки, переподготовки и повышения квалификации кадров в интересах участников кластеров региона и др. </w:t>
      </w:r>
      <w:r w:rsidRPr="004A549A">
        <w:rPr>
          <w:noProof/>
          <w:color w:val="000000"/>
          <w:spacing w:val="-4"/>
        </w:rPr>
        <w:t>В результате выполнения проекта к 2020 г.:</w:t>
      </w:r>
    </w:p>
    <w:p w:rsidR="006F5E42" w:rsidRPr="004A549A" w:rsidRDefault="006F5E42" w:rsidP="004A549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549A">
        <w:t>– на территории Вологодской области будут созданы кластер деревянного домостроения, информационных технологий, туристский кластер;</w:t>
      </w:r>
    </w:p>
    <w:p w:rsidR="006F5E42" w:rsidRPr="004A549A" w:rsidRDefault="006F5E42" w:rsidP="004A549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549A">
        <w:t>– предприятиями-участниками кластеров будет разработано порядка 100 инновационных технологий;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– будет создано около 30 малых инновационных компаний;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увеличится конкурентоспособность малых и средних предприятий региона, снизится ориентация </w:t>
      </w:r>
      <w:r w:rsidRPr="004A549A">
        <w:rPr>
          <w:spacing w:val="-4"/>
        </w:rPr>
        <w:t>региона на сырьевое производство вследствие развития высокотехнологичных</w:t>
      </w:r>
      <w:r w:rsidRPr="004A549A">
        <w:t xml:space="preserve"> отраслей.</w: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iCs/>
          <w:color w:val="000000"/>
        </w:rPr>
      </w:pPr>
      <w:r w:rsidRPr="004A549A">
        <w:rPr>
          <w:iCs/>
          <w:color w:val="000000"/>
        </w:rPr>
        <w:t xml:space="preserve">Следующий инфраструктурный механизм </w:t>
      </w:r>
      <w:r>
        <w:rPr>
          <w:iCs/>
          <w:color w:val="000000"/>
        </w:rPr>
        <w:t xml:space="preserve">- </w:t>
      </w:r>
      <w:r w:rsidRPr="004A549A">
        <w:rPr>
          <w:iCs/>
          <w:color w:val="000000"/>
        </w:rPr>
        <w:t xml:space="preserve">это создание площадок для точек роста инновационной экономики – </w:t>
      </w:r>
      <w:r w:rsidRPr="004A549A">
        <w:rPr>
          <w:i/>
          <w:iCs/>
          <w:color w:val="000000"/>
        </w:rPr>
        <w:t>промышленных парков</w:t>
      </w:r>
      <w:r w:rsidRPr="004A549A">
        <w:rPr>
          <w:iCs/>
          <w:color w:val="000000"/>
        </w:rPr>
        <w:t xml:space="preserve">. </w:t>
      </w:r>
      <w:r w:rsidRPr="004A549A">
        <w:rPr>
          <w:color w:val="000000"/>
        </w:rPr>
        <w:t>Одним из таких парков должен стать «Вологда-Восток» (далее – Парк, Промышленный парк). Е</w:t>
      </w:r>
      <w:r w:rsidRPr="004A549A">
        <w:rPr>
          <w:color w:val="000000"/>
          <w:spacing w:val="-4"/>
        </w:rPr>
        <w:t>го главной задачей является организация и повышение эффективности деятельности обрабатывающих производств (деревообработки, металлообработки, стройиндустрии, пищевой промышленности), а также реконструкция и строительство необходимой инженерной и логистической инфраструктуры.</w:t>
      </w:r>
    </w:p>
    <w:p w:rsidR="006F5E42" w:rsidRPr="004A549A" w:rsidRDefault="006F5E42" w:rsidP="004A549A">
      <w:pPr>
        <w:spacing w:line="360" w:lineRule="auto"/>
        <w:ind w:firstLine="709"/>
        <w:jc w:val="both"/>
        <w:rPr>
          <w:bCs/>
          <w:color w:val="000000"/>
        </w:rPr>
      </w:pPr>
      <w:r w:rsidRPr="004A549A">
        <w:rPr>
          <w:bCs/>
          <w:color w:val="000000"/>
        </w:rPr>
        <w:t xml:space="preserve">Промышленный парк «Вологда-Восток» </w:t>
      </w:r>
      <w:r>
        <w:rPr>
          <w:bCs/>
          <w:color w:val="000000"/>
          <w:spacing w:val="-2"/>
        </w:rPr>
        <w:t>является</w:t>
      </w:r>
      <w:r w:rsidRPr="004A549A">
        <w:rPr>
          <w:bCs/>
          <w:color w:val="000000"/>
        </w:rPr>
        <w:t xml:space="preserve"> </w:t>
      </w:r>
      <w:r w:rsidRPr="004A549A">
        <w:rPr>
          <w:bCs/>
          <w:color w:val="000000"/>
          <w:spacing w:val="-2"/>
        </w:rPr>
        <w:t xml:space="preserve">эффективным механизмом </w:t>
      </w:r>
      <w:r w:rsidRPr="004A549A">
        <w:rPr>
          <w:bCs/>
          <w:color w:val="000000"/>
        </w:rPr>
        <w:t xml:space="preserve">повышения инвестиционной активности и экономического развития города Вологды и области в целом. </w:t>
      </w:r>
      <w:r w:rsidRPr="004A549A">
        <w:t>На территории, определенной для создания Промышленного парка, функционируют более 30 предприятий, большинство из которых</w:t>
      </w:r>
      <w:r w:rsidRPr="004A549A">
        <w:rPr>
          <w:rStyle w:val="FootnoteReference"/>
        </w:rPr>
        <w:footnoteReference w:id="9"/>
      </w:r>
      <w:r w:rsidRPr="004A549A">
        <w:t xml:space="preserve"> поддерживают инициативу его создания, в том числе девять предприятий готовы реализовать инвестиционные проекты по размещению различных производств на территории Парка.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rPr>
          <w:color w:val="000000"/>
        </w:rPr>
        <w:t>Выделяются следующие укрупненные этапы развития инженерно-технического комплекса и инфраструктурных объектов Парка.</w:t>
      </w:r>
    </w:p>
    <w:p w:rsidR="006F5E42" w:rsidRPr="004A549A" w:rsidRDefault="006F5E42" w:rsidP="004A549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A549A">
        <w:rPr>
          <w:rFonts w:ascii="Times New Roman" w:hAnsi="Times New Roman"/>
          <w:i/>
          <w:iCs/>
          <w:color w:val="000000"/>
          <w:sz w:val="24"/>
          <w:szCs w:val="24"/>
        </w:rPr>
        <w:t>Первый этап 2014 г</w:t>
      </w:r>
      <w:r w:rsidRPr="004A549A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4A549A">
        <w:rPr>
          <w:rFonts w:ascii="Times New Roman" w:hAnsi="Times New Roman"/>
          <w:color w:val="000000"/>
          <w:sz w:val="24"/>
          <w:szCs w:val="24"/>
        </w:rPr>
        <w:t xml:space="preserve">Основная задача – </w:t>
      </w:r>
      <w:r w:rsidRPr="004A549A">
        <w:rPr>
          <w:rFonts w:ascii="Times New Roman" w:hAnsi="Times New Roman"/>
          <w:bCs/>
          <w:sz w:val="24"/>
          <w:szCs w:val="24"/>
        </w:rPr>
        <w:t>реконструкция автотранспортной инфраструктуры на территории Промышленного парка.</w:t>
      </w:r>
    </w:p>
    <w:p w:rsidR="006F5E42" w:rsidRPr="004A549A" w:rsidRDefault="006F5E42" w:rsidP="004A549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A549A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Второй этап – </w:t>
      </w:r>
      <w:r w:rsidRPr="004A549A">
        <w:rPr>
          <w:rFonts w:ascii="Times New Roman" w:hAnsi="Times New Roman"/>
          <w:bCs/>
          <w:i/>
          <w:spacing w:val="-4"/>
          <w:sz w:val="24"/>
          <w:szCs w:val="24"/>
        </w:rPr>
        <w:t>2015 – 2017 гг.</w:t>
      </w:r>
      <w:r w:rsidRPr="004A549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A549A">
        <w:rPr>
          <w:rFonts w:ascii="Times New Roman" w:hAnsi="Times New Roman"/>
          <w:color w:val="000000"/>
          <w:spacing w:val="-4"/>
          <w:sz w:val="24"/>
          <w:szCs w:val="24"/>
        </w:rPr>
        <w:t>Основная задача – п</w:t>
      </w:r>
      <w:r w:rsidRPr="004A549A">
        <w:rPr>
          <w:rFonts w:ascii="Times New Roman" w:hAnsi="Times New Roman"/>
          <w:bCs/>
          <w:spacing w:val="-4"/>
          <w:sz w:val="24"/>
          <w:szCs w:val="24"/>
        </w:rPr>
        <w:t>роектирование и строительство новых объектов инженерной инфраструктуры, привлечение инвесторов, с</w:t>
      </w:r>
      <w:r w:rsidRPr="004A549A">
        <w:rPr>
          <w:rFonts w:ascii="Times New Roman" w:hAnsi="Times New Roman"/>
          <w:spacing w:val="-4"/>
          <w:sz w:val="24"/>
          <w:szCs w:val="24"/>
        </w:rPr>
        <w:t>оздание новых предприятий.</w:t>
      </w:r>
    </w:p>
    <w:p w:rsidR="006F5E42" w:rsidRPr="004A549A" w:rsidRDefault="006F5E42" w:rsidP="004A549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A549A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Третий этап – </w:t>
      </w:r>
      <w:r w:rsidRPr="004A549A">
        <w:rPr>
          <w:rFonts w:ascii="Times New Roman" w:hAnsi="Times New Roman"/>
          <w:bCs/>
          <w:i/>
          <w:spacing w:val="-4"/>
          <w:sz w:val="24"/>
          <w:szCs w:val="24"/>
        </w:rPr>
        <w:t>2018 – 2022 гг.</w:t>
      </w:r>
      <w:r w:rsidRPr="004A549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A549A">
        <w:rPr>
          <w:rFonts w:ascii="Times New Roman" w:hAnsi="Times New Roman"/>
          <w:color w:val="000000"/>
          <w:spacing w:val="-4"/>
          <w:sz w:val="24"/>
          <w:szCs w:val="24"/>
        </w:rPr>
        <w:t>Основная задача – привлечение</w:t>
      </w:r>
      <w:r w:rsidRPr="004A549A">
        <w:rPr>
          <w:rFonts w:ascii="Times New Roman" w:hAnsi="Times New Roman"/>
          <w:color w:val="000000"/>
          <w:sz w:val="24"/>
          <w:szCs w:val="24"/>
        </w:rPr>
        <w:t xml:space="preserve"> инвесторов, строительство новых производственных предприятий.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 xml:space="preserve">Ожидаемые результаты проекта к 2022 году: 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создание более 2000 новых рабочих мест;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увеличение выпуска продукции предприятиями Промышленного парка в 1,85 раз до 5,5 млрд. руб.;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на каждый вложенный рубль бюджетных средств в инфраструктуру Парка ожидается привлечение не менее шести рублей частных инвестиций в развитие производства;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создание более 40 предприятий малого и среднего бизнеса, выпускающих высокотехнологичную продукцию;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noBreakHyphen/>
        <w:t xml:space="preserve"> бюджетный эффект от реализации проекта за 10 лет составит более 3,2 млрд. руб.</w:t>
      </w:r>
    </w:p>
    <w:p w:rsidR="006F5E42" w:rsidRPr="004A549A" w:rsidRDefault="006F5E42" w:rsidP="004A549A">
      <w:pPr>
        <w:spacing w:line="360" w:lineRule="auto"/>
        <w:ind w:firstLine="709"/>
        <w:jc w:val="both"/>
      </w:pPr>
      <w:r w:rsidRPr="004A549A">
        <w:t>Таким образом, развитие механизмов инфраструктурной поддержки инновационных компаний будет содействовать повышению инновационный активности предприятий и, как следствие, социально-экономическому развитию региона.</w:t>
      </w:r>
    </w:p>
    <w:sectPr w:rsidR="006F5E42" w:rsidRPr="004A549A" w:rsidSect="004A549A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42" w:rsidRDefault="006F5E42" w:rsidP="005C47BA">
      <w:r>
        <w:separator/>
      </w:r>
    </w:p>
  </w:endnote>
  <w:endnote w:type="continuationSeparator" w:id="0">
    <w:p w:rsidR="006F5E42" w:rsidRDefault="006F5E42" w:rsidP="005C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42" w:rsidRDefault="006F5E42" w:rsidP="00330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E42" w:rsidRDefault="006F5E42" w:rsidP="003304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42" w:rsidRDefault="006F5E42" w:rsidP="004A549A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42" w:rsidRDefault="006F5E42" w:rsidP="005C47BA">
      <w:r>
        <w:separator/>
      </w:r>
    </w:p>
  </w:footnote>
  <w:footnote w:type="continuationSeparator" w:id="0">
    <w:p w:rsidR="006F5E42" w:rsidRDefault="006F5E42" w:rsidP="005C47BA">
      <w:r>
        <w:continuationSeparator/>
      </w:r>
    </w:p>
  </w:footnote>
  <w:footnote w:id="1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Теребова Светлана Викторовна - к.э.н., зав. отделом инновационной экономики Института социально-экономического развития территорий РАН. Область научных интересов: научно-технический потенциал, инновационная экономика, малый и средний бизнес, международное сотрудничество. </w:t>
      </w:r>
      <w:r w:rsidRPr="004A549A">
        <w:rPr>
          <w:lang w:val="en-US"/>
        </w:rPr>
        <w:t>E</w:t>
      </w:r>
      <w:r w:rsidRPr="004A549A">
        <w:t>-</w:t>
      </w:r>
      <w:r w:rsidRPr="004A549A">
        <w:rPr>
          <w:lang w:val="en-US"/>
        </w:rPr>
        <w:t>mail</w:t>
      </w:r>
      <w:r w:rsidRPr="004A549A">
        <w:t xml:space="preserve">: </w:t>
      </w:r>
      <w:r w:rsidRPr="004A549A">
        <w:rPr>
          <w:lang w:val="en-US"/>
        </w:rPr>
        <w:t>Svetlana</w:t>
      </w:r>
      <w:r w:rsidRPr="004A549A">
        <w:t>-</w:t>
      </w:r>
      <w:r w:rsidRPr="004A549A">
        <w:rPr>
          <w:lang w:val="en-US"/>
        </w:rPr>
        <w:t>ter</w:t>
      </w:r>
      <w:r w:rsidRPr="004A549A">
        <w:t>@</w:t>
      </w:r>
      <w:r w:rsidRPr="004A549A">
        <w:rPr>
          <w:lang w:val="en-US"/>
        </w:rPr>
        <w:t>mail</w:t>
      </w:r>
      <w:r w:rsidRPr="004A549A">
        <w:t>.</w:t>
      </w:r>
      <w:r w:rsidRPr="004A549A">
        <w:rPr>
          <w:lang w:val="en-US"/>
        </w:rPr>
        <w:t>ru</w:t>
      </w:r>
      <w:r w:rsidRPr="004A549A">
        <w:t>.</w:t>
      </w:r>
    </w:p>
  </w:footnote>
  <w:footnote w:id="2">
    <w:p w:rsidR="006F5E42" w:rsidRDefault="006F5E42" w:rsidP="004A549A">
      <w:pPr>
        <w:ind w:firstLine="709"/>
        <w:jc w:val="both"/>
      </w:pPr>
      <w:r w:rsidRPr="004A549A">
        <w:rPr>
          <w:rStyle w:val="FootnoteReference"/>
          <w:sz w:val="20"/>
          <w:szCs w:val="20"/>
        </w:rPr>
        <w:footnoteRef/>
      </w:r>
      <w:r w:rsidRPr="004A549A">
        <w:rPr>
          <w:sz w:val="20"/>
          <w:szCs w:val="20"/>
        </w:rPr>
        <w:t xml:space="preserve"> </w:t>
      </w:r>
      <w:r w:rsidRPr="004A549A">
        <w:rPr>
          <w:rStyle w:val="blk"/>
          <w:sz w:val="20"/>
          <w:szCs w:val="20"/>
        </w:rPr>
        <w:t>Послание</w:t>
      </w:r>
      <w:r w:rsidRPr="004A549A">
        <w:rPr>
          <w:sz w:val="20"/>
          <w:szCs w:val="20"/>
        </w:rPr>
        <w:t xml:space="preserve"> </w:t>
      </w:r>
      <w:r w:rsidRPr="004A549A">
        <w:rPr>
          <w:rStyle w:val="blk"/>
          <w:sz w:val="20"/>
          <w:szCs w:val="20"/>
        </w:rPr>
        <w:t>Президента Российской Федерации</w:t>
      </w:r>
      <w:r w:rsidRPr="004A549A">
        <w:rPr>
          <w:sz w:val="20"/>
          <w:szCs w:val="20"/>
        </w:rPr>
        <w:t xml:space="preserve"> </w:t>
      </w:r>
      <w:r w:rsidRPr="004A549A">
        <w:rPr>
          <w:rStyle w:val="blk"/>
          <w:sz w:val="20"/>
          <w:szCs w:val="20"/>
        </w:rPr>
        <w:t>Федеральному Собранию Российской Федерации от 12 декабря 2012 года.</w:t>
      </w:r>
    </w:p>
  </w:footnote>
  <w:footnote w:id="3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</w:t>
      </w:r>
      <w:r w:rsidRPr="004A549A">
        <w:rPr>
          <w:bCs/>
          <w:spacing w:val="-2"/>
        </w:rPr>
        <w:t>Из доклада Рогова С.М. «Новая шоковая терапия и «реформа РАН»: реалии российской науки»</w:t>
      </w:r>
      <w:r>
        <w:rPr>
          <w:bCs/>
          <w:spacing w:val="-2"/>
        </w:rPr>
        <w:t>. –</w:t>
      </w:r>
      <w:r w:rsidRPr="004A549A">
        <w:rPr>
          <w:bCs/>
          <w:spacing w:val="-2"/>
        </w:rPr>
        <w:t xml:space="preserve"> М</w:t>
      </w:r>
      <w:r>
        <w:rPr>
          <w:bCs/>
          <w:spacing w:val="-2"/>
        </w:rPr>
        <w:t>.</w:t>
      </w:r>
      <w:r w:rsidRPr="004A549A">
        <w:rPr>
          <w:bCs/>
          <w:spacing w:val="-2"/>
        </w:rPr>
        <w:t>, 2013.</w:t>
      </w:r>
    </w:p>
  </w:footnote>
  <w:footnote w:id="4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Сайт Федеральной службы государственной статистики РФ</w:t>
      </w:r>
      <w:r>
        <w:t>.</w:t>
      </w:r>
      <w:r w:rsidRPr="004A549A">
        <w:t xml:space="preserve"> </w:t>
      </w:r>
      <w:r>
        <w:t>-</w:t>
      </w:r>
      <w:r w:rsidRPr="004A549A">
        <w:t xml:space="preserve"> www.gks.ru.</w:t>
      </w:r>
    </w:p>
  </w:footnote>
  <w:footnote w:id="5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</w:t>
      </w:r>
      <w:r w:rsidRPr="004A549A">
        <w:rPr>
          <w:bCs/>
        </w:rPr>
        <w:t>Источник: Тенденции развития кадров</w:t>
      </w:r>
      <w:r>
        <w:rPr>
          <w:bCs/>
        </w:rPr>
        <w:t>ого потенциала российской науки /</w:t>
      </w:r>
      <w:r w:rsidRPr="004A549A">
        <w:rPr>
          <w:bCs/>
        </w:rPr>
        <w:t xml:space="preserve"> Институт проблем развития науки РАН.</w:t>
      </w:r>
    </w:p>
  </w:footnote>
  <w:footnote w:id="6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Концепция долгосрочного социально-экономического развития Российской Федерации на период до 2020 года: утв. распор.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4A549A">
          <w:t>2008 г</w:t>
        </w:r>
      </w:smartTag>
      <w:r w:rsidRPr="004A549A">
        <w:t>. № 1662-р.</w:t>
      </w:r>
    </w:p>
  </w:footnote>
  <w:footnote w:id="7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Отчет о НИР «Направления развития региональной инновационной инфраструктуры» / С.В, Теребова, О.Н. Агаметова. ИСЭРТ РАН, 2012</w:t>
      </w:r>
      <w:r>
        <w:t>. -</w:t>
      </w:r>
      <w:r w:rsidRPr="004A549A">
        <w:t xml:space="preserve"> 161 с.</w:t>
      </w:r>
    </w:p>
  </w:footnote>
  <w:footnote w:id="8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Выражение интереса – это обращение в ЦТТ потенциального партнера, заинтересовавшегося размещенным в базе данных центра технологическим предложением или запросом.</w:t>
      </w:r>
    </w:p>
  </w:footnote>
  <w:footnote w:id="9">
    <w:p w:rsidR="006F5E42" w:rsidRDefault="006F5E42" w:rsidP="004A549A">
      <w:pPr>
        <w:pStyle w:val="FootnoteText"/>
        <w:ind w:firstLine="709"/>
        <w:jc w:val="both"/>
      </w:pPr>
      <w:r w:rsidRPr="004A549A">
        <w:rPr>
          <w:rStyle w:val="FootnoteReference"/>
        </w:rPr>
        <w:footnoteRef/>
      </w:r>
      <w:r w:rsidRPr="004A549A">
        <w:t xml:space="preserve"> По результатам опроса. Опрос проводился Институтом социально-экономического развития территорий РАН в декабре 2012 г. среди руководителей 30 организаций, функционирующих на территории проектируемого Промышленного парка.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303"/>
    <w:multiLevelType w:val="hybridMultilevel"/>
    <w:tmpl w:val="356A9DCE"/>
    <w:lvl w:ilvl="0" w:tplc="749E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6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4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0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6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41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4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73C92"/>
    <w:multiLevelType w:val="hybridMultilevel"/>
    <w:tmpl w:val="EB187AF6"/>
    <w:lvl w:ilvl="0" w:tplc="B978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6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6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2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C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8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5B5B7A"/>
    <w:multiLevelType w:val="hybridMultilevel"/>
    <w:tmpl w:val="45567272"/>
    <w:lvl w:ilvl="0" w:tplc="FB4E6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4D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6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7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1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C5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69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8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29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C27E7"/>
    <w:multiLevelType w:val="hybridMultilevel"/>
    <w:tmpl w:val="04301578"/>
    <w:lvl w:ilvl="0" w:tplc="FD8EE4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B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AF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5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5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AC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06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02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2B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B8"/>
    <w:rsid w:val="0002556F"/>
    <w:rsid w:val="00035797"/>
    <w:rsid w:val="000577EC"/>
    <w:rsid w:val="0007726F"/>
    <w:rsid w:val="000974D5"/>
    <w:rsid w:val="000B075A"/>
    <w:rsid w:val="000E3411"/>
    <w:rsid w:val="000E58C3"/>
    <w:rsid w:val="000F6F82"/>
    <w:rsid w:val="001059FA"/>
    <w:rsid w:val="001077E3"/>
    <w:rsid w:val="00110010"/>
    <w:rsid w:val="00136321"/>
    <w:rsid w:val="00155DFA"/>
    <w:rsid w:val="00166F3E"/>
    <w:rsid w:val="00173644"/>
    <w:rsid w:val="00174EDB"/>
    <w:rsid w:val="00182756"/>
    <w:rsid w:val="001A0335"/>
    <w:rsid w:val="001B0D03"/>
    <w:rsid w:val="001B6249"/>
    <w:rsid w:val="002052B0"/>
    <w:rsid w:val="002112A4"/>
    <w:rsid w:val="00215B66"/>
    <w:rsid w:val="002160EC"/>
    <w:rsid w:val="002437CA"/>
    <w:rsid w:val="00255513"/>
    <w:rsid w:val="00272C88"/>
    <w:rsid w:val="00276E4D"/>
    <w:rsid w:val="0028581B"/>
    <w:rsid w:val="002A3B4E"/>
    <w:rsid w:val="002B00DE"/>
    <w:rsid w:val="002C6DBF"/>
    <w:rsid w:val="002E1E52"/>
    <w:rsid w:val="002E7ACF"/>
    <w:rsid w:val="0030538B"/>
    <w:rsid w:val="00313E1E"/>
    <w:rsid w:val="00327BBD"/>
    <w:rsid w:val="003304F1"/>
    <w:rsid w:val="003554E4"/>
    <w:rsid w:val="00355A11"/>
    <w:rsid w:val="00366B6B"/>
    <w:rsid w:val="00390B84"/>
    <w:rsid w:val="003A2E9B"/>
    <w:rsid w:val="003B6FE7"/>
    <w:rsid w:val="003B7DD0"/>
    <w:rsid w:val="003C0CFD"/>
    <w:rsid w:val="003D52B2"/>
    <w:rsid w:val="003F3B5F"/>
    <w:rsid w:val="00400D20"/>
    <w:rsid w:val="004024D5"/>
    <w:rsid w:val="00402E64"/>
    <w:rsid w:val="00405286"/>
    <w:rsid w:val="00445042"/>
    <w:rsid w:val="00446F44"/>
    <w:rsid w:val="00462199"/>
    <w:rsid w:val="00464A72"/>
    <w:rsid w:val="00466B4A"/>
    <w:rsid w:val="00476001"/>
    <w:rsid w:val="00480385"/>
    <w:rsid w:val="004830E4"/>
    <w:rsid w:val="0049665A"/>
    <w:rsid w:val="004A549A"/>
    <w:rsid w:val="004B2370"/>
    <w:rsid w:val="004E0C68"/>
    <w:rsid w:val="004F210A"/>
    <w:rsid w:val="00523308"/>
    <w:rsid w:val="00571ABE"/>
    <w:rsid w:val="00572DBB"/>
    <w:rsid w:val="00597E25"/>
    <w:rsid w:val="005A3F88"/>
    <w:rsid w:val="005B0D23"/>
    <w:rsid w:val="005B33C7"/>
    <w:rsid w:val="005B63B3"/>
    <w:rsid w:val="005C47BA"/>
    <w:rsid w:val="005E0BB2"/>
    <w:rsid w:val="005F6DCA"/>
    <w:rsid w:val="005F73B9"/>
    <w:rsid w:val="00620856"/>
    <w:rsid w:val="00625FC0"/>
    <w:rsid w:val="00636BF7"/>
    <w:rsid w:val="00674238"/>
    <w:rsid w:val="00697199"/>
    <w:rsid w:val="006A1B69"/>
    <w:rsid w:val="006E4371"/>
    <w:rsid w:val="006F1204"/>
    <w:rsid w:val="006F5E42"/>
    <w:rsid w:val="0071568C"/>
    <w:rsid w:val="007503C7"/>
    <w:rsid w:val="007633F4"/>
    <w:rsid w:val="0076732A"/>
    <w:rsid w:val="00770CAC"/>
    <w:rsid w:val="00772EBD"/>
    <w:rsid w:val="007831E9"/>
    <w:rsid w:val="00796458"/>
    <w:rsid w:val="007A358D"/>
    <w:rsid w:val="007B5DB6"/>
    <w:rsid w:val="007E0A47"/>
    <w:rsid w:val="007E6D96"/>
    <w:rsid w:val="00804FB5"/>
    <w:rsid w:val="0081261E"/>
    <w:rsid w:val="0082149D"/>
    <w:rsid w:val="008245F5"/>
    <w:rsid w:val="0083258D"/>
    <w:rsid w:val="00853643"/>
    <w:rsid w:val="00881557"/>
    <w:rsid w:val="00882617"/>
    <w:rsid w:val="008863C1"/>
    <w:rsid w:val="008B5418"/>
    <w:rsid w:val="008B5D22"/>
    <w:rsid w:val="008C2E8E"/>
    <w:rsid w:val="008D067F"/>
    <w:rsid w:val="008E3865"/>
    <w:rsid w:val="008F31BF"/>
    <w:rsid w:val="00902A24"/>
    <w:rsid w:val="00907006"/>
    <w:rsid w:val="00907BF2"/>
    <w:rsid w:val="00937630"/>
    <w:rsid w:val="00961D16"/>
    <w:rsid w:val="00963A11"/>
    <w:rsid w:val="00986E3A"/>
    <w:rsid w:val="009928FF"/>
    <w:rsid w:val="009A4B37"/>
    <w:rsid w:val="009B43D6"/>
    <w:rsid w:val="009D09F7"/>
    <w:rsid w:val="009D2FD1"/>
    <w:rsid w:val="009F7EE3"/>
    <w:rsid w:val="00A60F4C"/>
    <w:rsid w:val="00A81B5E"/>
    <w:rsid w:val="00A84921"/>
    <w:rsid w:val="00AA43A2"/>
    <w:rsid w:val="00AA5AFF"/>
    <w:rsid w:val="00AC24AC"/>
    <w:rsid w:val="00AD44B8"/>
    <w:rsid w:val="00AD7015"/>
    <w:rsid w:val="00B31A1E"/>
    <w:rsid w:val="00B416FB"/>
    <w:rsid w:val="00B42099"/>
    <w:rsid w:val="00B44190"/>
    <w:rsid w:val="00B47844"/>
    <w:rsid w:val="00B80B91"/>
    <w:rsid w:val="00B81AE7"/>
    <w:rsid w:val="00B87949"/>
    <w:rsid w:val="00BA2284"/>
    <w:rsid w:val="00BA2557"/>
    <w:rsid w:val="00BA3D1B"/>
    <w:rsid w:val="00BD0DF3"/>
    <w:rsid w:val="00BD40BA"/>
    <w:rsid w:val="00BF3608"/>
    <w:rsid w:val="00C04508"/>
    <w:rsid w:val="00C15AE8"/>
    <w:rsid w:val="00C21F3B"/>
    <w:rsid w:val="00C27139"/>
    <w:rsid w:val="00C4660C"/>
    <w:rsid w:val="00C55A8F"/>
    <w:rsid w:val="00C63B21"/>
    <w:rsid w:val="00C65B9C"/>
    <w:rsid w:val="00C90BD3"/>
    <w:rsid w:val="00CA35AC"/>
    <w:rsid w:val="00CB4E93"/>
    <w:rsid w:val="00CD58DC"/>
    <w:rsid w:val="00D121BE"/>
    <w:rsid w:val="00D37948"/>
    <w:rsid w:val="00D45245"/>
    <w:rsid w:val="00D55382"/>
    <w:rsid w:val="00D772BF"/>
    <w:rsid w:val="00D818BF"/>
    <w:rsid w:val="00D84418"/>
    <w:rsid w:val="00D93405"/>
    <w:rsid w:val="00DA4B05"/>
    <w:rsid w:val="00DB319A"/>
    <w:rsid w:val="00DF0C3A"/>
    <w:rsid w:val="00DF2D82"/>
    <w:rsid w:val="00E0096A"/>
    <w:rsid w:val="00E353E2"/>
    <w:rsid w:val="00E6092F"/>
    <w:rsid w:val="00E60D0F"/>
    <w:rsid w:val="00E90A07"/>
    <w:rsid w:val="00EA3B79"/>
    <w:rsid w:val="00EB5276"/>
    <w:rsid w:val="00EB76BE"/>
    <w:rsid w:val="00EE26C3"/>
    <w:rsid w:val="00EE66E8"/>
    <w:rsid w:val="00F43837"/>
    <w:rsid w:val="00F67346"/>
    <w:rsid w:val="00F8140D"/>
    <w:rsid w:val="00F93A84"/>
    <w:rsid w:val="00F97F02"/>
    <w:rsid w:val="00FB2AFB"/>
    <w:rsid w:val="00FB7AA9"/>
    <w:rsid w:val="00FD0AF6"/>
    <w:rsid w:val="00FD4654"/>
    <w:rsid w:val="00FE2033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uiPriority w:val="99"/>
    <w:rsid w:val="005C47BA"/>
    <w:pPr>
      <w:spacing w:before="280" w:after="280"/>
    </w:pPr>
  </w:style>
  <w:style w:type="paragraph" w:styleId="FootnoteText">
    <w:name w:val="footnote text"/>
    <w:aliases w:val="Текст сноски-FN,Footnote Text Char Знак Знак,Footnote Text Char Знак,Table_Footnote_last Знак,Table_Footnote_last Знак Знак,Table_Footnote_last,Footnote Text Char Знак Знак Знак Знак,single space,Schriftart: 9 pt,-++,З,single space Знак"/>
    <w:basedOn w:val="Normal"/>
    <w:link w:val="FootnoteTextChar"/>
    <w:uiPriority w:val="99"/>
    <w:rsid w:val="005C47BA"/>
    <w:rPr>
      <w:rFonts w:eastAsia="Calibri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Table_Footnote_last Знак Char,Table_Footnote_last Знак Знак Char,Table_Footnote_last Char,Footnote Text Char Знак Знак Знак Знак Char,-++ Char,З Char"/>
    <w:basedOn w:val="DefaultParagraphFont"/>
    <w:link w:val="FootnoteText"/>
    <w:uiPriority w:val="99"/>
    <w:semiHidden/>
    <w:locked/>
    <w:rsid w:val="005C47BA"/>
    <w:rPr>
      <w:rFonts w:ascii="Times New Roman" w:hAnsi="Times New Roman"/>
      <w:sz w:val="20"/>
      <w:lang w:eastAsia="ar-SA" w:bidi="ar-SA"/>
    </w:rPr>
  </w:style>
  <w:style w:type="character" w:customStyle="1" w:styleId="a">
    <w:name w:val="Текст сноски Знак"/>
    <w:aliases w:val="single space Знак Знак,footnote text Знак Знак,Текст сноски Знак1 Знак Знак,Текст сноски Знак Знак Знак Знак,Текст сноски Знак1 Знак Знак Знак Знак,Текст сноски Знак Знак Знак Знак Знак Знак,-++ Знак Знак,Текст сноски Знак1 Знак1 Знак"/>
    <w:uiPriority w:val="99"/>
    <w:rsid w:val="005C47BA"/>
    <w:rPr>
      <w:rFonts w:ascii="Times New Roman" w:hAnsi="Times New Roman"/>
      <w:sz w:val="20"/>
      <w:lang w:eastAsia="ar-SA" w:bidi="ar-SA"/>
    </w:rPr>
  </w:style>
  <w:style w:type="paragraph" w:customStyle="1" w:styleId="1">
    <w:name w:val="Абзац списка1"/>
    <w:basedOn w:val="Normal"/>
    <w:uiPriority w:val="99"/>
    <w:rsid w:val="005C4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FootnoteReference">
    <w:name w:val="footnote reference"/>
    <w:aliases w:val="Знак сноски-FN,Знак сноски 1,Ciae niinee-FN,Referencia nota al pie"/>
    <w:basedOn w:val="DefaultParagraphFont"/>
    <w:uiPriority w:val="99"/>
    <w:rsid w:val="005C47BA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5C47BA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47BA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C47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7BA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5C47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085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856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37948"/>
    <w:pPr>
      <w:ind w:left="720"/>
      <w:contextualSpacing/>
    </w:pPr>
    <w:rPr>
      <w:lang w:eastAsia="ru-RU"/>
    </w:rPr>
  </w:style>
  <w:style w:type="paragraph" w:customStyle="1" w:styleId="13">
    <w:name w:val="Знак Знак13"/>
    <w:basedOn w:val="Normal"/>
    <w:uiPriority w:val="99"/>
    <w:rsid w:val="001827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uiPriority w:val="99"/>
    <w:rsid w:val="00366B6B"/>
  </w:style>
  <w:style w:type="paragraph" w:styleId="Header">
    <w:name w:val="header"/>
    <w:basedOn w:val="Normal"/>
    <w:link w:val="HeaderChar"/>
    <w:uiPriority w:val="99"/>
    <w:rsid w:val="004A5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49A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2478</Words>
  <Characters>14125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инфраструктурной поддержки инновационных компаний: региональный аспект</dc:title>
  <dc:subject/>
  <dc:creator>svt</dc:creator>
  <cp:keywords/>
  <dc:description/>
  <cp:lastModifiedBy>1</cp:lastModifiedBy>
  <cp:revision>8</cp:revision>
  <cp:lastPrinted>2013-12-16T13:31:00Z</cp:lastPrinted>
  <dcterms:created xsi:type="dcterms:W3CDTF">2013-12-16T16:56:00Z</dcterms:created>
  <dcterms:modified xsi:type="dcterms:W3CDTF">2014-05-07T10:39:00Z</dcterms:modified>
</cp:coreProperties>
</file>