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5F" w:rsidRPr="008A26F9" w:rsidRDefault="00E2395F" w:rsidP="008A26F9">
      <w:pPr>
        <w:pStyle w:val="BodyText2"/>
        <w:spacing w:after="0" w:line="360" w:lineRule="auto"/>
        <w:ind w:firstLine="709"/>
        <w:rPr>
          <w:b/>
          <w:i/>
          <w:sz w:val="24"/>
          <w:szCs w:val="24"/>
        </w:rPr>
      </w:pPr>
      <w:bookmarkStart w:id="0" w:name="_GoBack"/>
      <w:bookmarkEnd w:id="0"/>
      <w:r w:rsidRPr="008A26F9">
        <w:rPr>
          <w:b/>
          <w:i/>
          <w:sz w:val="24"/>
          <w:szCs w:val="24"/>
        </w:rPr>
        <w:t xml:space="preserve">Маслов Д.В. </w:t>
      </w:r>
    </w:p>
    <w:p w:rsidR="00E2395F" w:rsidRPr="008E4C05" w:rsidRDefault="00E2395F" w:rsidP="008A26F9">
      <w:pPr>
        <w:pStyle w:val="BodyText2"/>
        <w:spacing w:after="0" w:line="360" w:lineRule="auto"/>
        <w:ind w:firstLine="709"/>
        <w:rPr>
          <w:sz w:val="24"/>
          <w:szCs w:val="24"/>
        </w:rPr>
      </w:pPr>
      <w:r w:rsidRPr="008E4C05">
        <w:rPr>
          <w:sz w:val="24"/>
          <w:szCs w:val="24"/>
        </w:rPr>
        <w:t>д.и.н.,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зав.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кафедрой</w:t>
      </w:r>
      <w:r>
        <w:rPr>
          <w:sz w:val="24"/>
          <w:szCs w:val="24"/>
        </w:rPr>
        <w:t xml:space="preserve"> ф</w:t>
      </w:r>
      <w:r w:rsidRPr="008E4C05">
        <w:rPr>
          <w:sz w:val="24"/>
          <w:szCs w:val="24"/>
        </w:rPr>
        <w:t>илиала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МГИУ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Сергиевом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Посаде</w:t>
      </w:r>
    </w:p>
    <w:p w:rsidR="00E2395F" w:rsidRPr="008A26F9" w:rsidRDefault="00E2395F" w:rsidP="008A26F9">
      <w:pPr>
        <w:pStyle w:val="BodyText2"/>
        <w:spacing w:after="0" w:line="360" w:lineRule="auto"/>
        <w:ind w:firstLine="709"/>
        <w:rPr>
          <w:b/>
          <w:sz w:val="24"/>
          <w:szCs w:val="24"/>
        </w:rPr>
      </w:pPr>
    </w:p>
    <w:p w:rsidR="00E2395F" w:rsidRPr="008E4C05" w:rsidRDefault="00E2395F" w:rsidP="008A26F9">
      <w:pPr>
        <w:pStyle w:val="BodyText2"/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8E4C05">
        <w:rPr>
          <w:b/>
          <w:sz w:val="24"/>
          <w:szCs w:val="24"/>
        </w:rPr>
        <w:t>РОССИЯ</w:t>
      </w:r>
      <w:r>
        <w:rPr>
          <w:b/>
          <w:sz w:val="24"/>
          <w:szCs w:val="24"/>
        </w:rPr>
        <w:t xml:space="preserve"> </w:t>
      </w:r>
      <w:r w:rsidRPr="008E4C05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8E4C05">
        <w:rPr>
          <w:b/>
          <w:sz w:val="24"/>
          <w:szCs w:val="24"/>
        </w:rPr>
        <w:t>УКРАИНА</w:t>
      </w:r>
      <w:r>
        <w:rPr>
          <w:b/>
          <w:sz w:val="24"/>
          <w:szCs w:val="24"/>
        </w:rPr>
        <w:t xml:space="preserve"> </w:t>
      </w:r>
      <w:r w:rsidRPr="008E4C0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8E4C05">
        <w:rPr>
          <w:b/>
          <w:sz w:val="24"/>
          <w:szCs w:val="24"/>
        </w:rPr>
        <w:t>ПРОЦЕССЕ</w:t>
      </w:r>
      <w:r>
        <w:rPr>
          <w:b/>
          <w:sz w:val="24"/>
          <w:szCs w:val="24"/>
        </w:rPr>
        <w:t xml:space="preserve"> </w:t>
      </w:r>
      <w:r w:rsidRPr="008E4C05">
        <w:rPr>
          <w:b/>
          <w:sz w:val="24"/>
          <w:szCs w:val="24"/>
        </w:rPr>
        <w:t>СУВЕРЕНИЗАЦИИ</w:t>
      </w:r>
      <w:r>
        <w:rPr>
          <w:b/>
          <w:sz w:val="24"/>
          <w:szCs w:val="24"/>
        </w:rPr>
        <w:t xml:space="preserve"> </w:t>
      </w:r>
      <w:r w:rsidRPr="008E4C05">
        <w:rPr>
          <w:b/>
          <w:sz w:val="24"/>
          <w:szCs w:val="24"/>
        </w:rPr>
        <w:t>СОВЕТСКИХ</w:t>
      </w:r>
      <w:r>
        <w:rPr>
          <w:b/>
          <w:sz w:val="24"/>
          <w:szCs w:val="24"/>
        </w:rPr>
        <w:t xml:space="preserve"> </w:t>
      </w:r>
      <w:r w:rsidRPr="008E4C05">
        <w:rPr>
          <w:b/>
          <w:sz w:val="24"/>
          <w:szCs w:val="24"/>
        </w:rPr>
        <w:t>РЕСПУБЛИК</w:t>
      </w:r>
    </w:p>
    <w:p w:rsidR="00E2395F" w:rsidRPr="008E4C05" w:rsidRDefault="00E2395F" w:rsidP="008A26F9">
      <w:pPr>
        <w:pStyle w:val="BodyText2"/>
        <w:spacing w:after="0" w:line="360" w:lineRule="auto"/>
        <w:ind w:firstLine="709"/>
        <w:rPr>
          <w:sz w:val="24"/>
          <w:szCs w:val="24"/>
        </w:rPr>
      </w:pPr>
    </w:p>
    <w:p w:rsidR="00E2395F" w:rsidRPr="008E4C05" w:rsidRDefault="00E2395F" w:rsidP="008A26F9">
      <w:pPr>
        <w:pStyle w:val="BodyText2"/>
        <w:spacing w:after="0" w:line="360" w:lineRule="auto"/>
        <w:ind w:firstLine="709"/>
        <w:rPr>
          <w:sz w:val="24"/>
          <w:szCs w:val="24"/>
        </w:rPr>
      </w:pPr>
      <w:r w:rsidRPr="008E4C05">
        <w:rPr>
          <w:sz w:val="24"/>
          <w:szCs w:val="24"/>
        </w:rPr>
        <w:t>Стремление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украинского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руководства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войти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европейские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структуры</w:t>
      </w:r>
      <w:r>
        <w:rPr>
          <w:sz w:val="24"/>
          <w:szCs w:val="24"/>
        </w:rPr>
        <w:t xml:space="preserve"> многократно выражалось в </w:t>
      </w:r>
      <w:r w:rsidRPr="008E4C05">
        <w:rPr>
          <w:sz w:val="24"/>
          <w:szCs w:val="24"/>
        </w:rPr>
        <w:t>последние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годы.</w:t>
      </w:r>
      <w:r>
        <w:rPr>
          <w:sz w:val="24"/>
          <w:szCs w:val="24"/>
        </w:rPr>
        <w:t xml:space="preserve"> Особенно характерным в этой связи является </w:t>
      </w:r>
      <w:r w:rsidRPr="008E4C05">
        <w:rPr>
          <w:sz w:val="24"/>
          <w:szCs w:val="24"/>
        </w:rPr>
        <w:t>период,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политику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этого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государства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определяли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Ющенко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Ю.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Тимошенко.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поучительным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понимания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современной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ситуации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A26F9">
        <w:rPr>
          <w:sz w:val="24"/>
          <w:szCs w:val="24"/>
        </w:rPr>
        <w:t>российско</w:t>
      </w:r>
      <w:r w:rsidRPr="008E4C05">
        <w:rPr>
          <w:sz w:val="24"/>
          <w:szCs w:val="24"/>
        </w:rPr>
        <w:t>-украинских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отношениях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события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двадцатилетней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давности,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сценарий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близок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сегодняшнему.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Подзабытые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уроки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тех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стоит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напомнить,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чтобы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лучше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понять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смысл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логику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текущих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событий.</w:t>
      </w:r>
    </w:p>
    <w:p w:rsidR="00E2395F" w:rsidRPr="008E4C05" w:rsidRDefault="00E2395F" w:rsidP="008A26F9">
      <w:pPr>
        <w:pStyle w:val="BodyText2"/>
        <w:spacing w:after="0" w:line="360" w:lineRule="auto"/>
        <w:ind w:firstLine="709"/>
        <w:rPr>
          <w:sz w:val="24"/>
          <w:szCs w:val="24"/>
        </w:rPr>
      </w:pP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1990-</w:t>
      </w:r>
      <w:r>
        <w:rPr>
          <w:sz w:val="24"/>
          <w:szCs w:val="24"/>
        </w:rPr>
        <w:t>19</w:t>
      </w:r>
      <w:r w:rsidRPr="008E4C05">
        <w:rPr>
          <w:sz w:val="24"/>
          <w:szCs w:val="24"/>
        </w:rPr>
        <w:t>91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гг.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сделала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первую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современной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истории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попытку</w:t>
      </w:r>
      <w:r>
        <w:rPr>
          <w:sz w:val="24"/>
          <w:szCs w:val="24"/>
        </w:rPr>
        <w:t xml:space="preserve">, </w:t>
      </w:r>
      <w:r w:rsidRPr="008E4C05">
        <w:rPr>
          <w:sz w:val="24"/>
          <w:szCs w:val="24"/>
        </w:rPr>
        <w:t>вырвавшись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«объятий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СССР»</w:t>
      </w:r>
      <w:r>
        <w:rPr>
          <w:sz w:val="24"/>
          <w:szCs w:val="24"/>
        </w:rPr>
        <w:t xml:space="preserve">, </w:t>
      </w:r>
      <w:r w:rsidRPr="008E4C05">
        <w:rPr>
          <w:sz w:val="24"/>
          <w:szCs w:val="24"/>
        </w:rPr>
        <w:t>приблизиться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Западу.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этого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процесса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показывает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удивительное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сходство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механизмов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прозападного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тренда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Украины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тогда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сейчас.</w:t>
      </w:r>
    </w:p>
    <w:p w:rsidR="00E2395F" w:rsidRPr="008E4C05" w:rsidRDefault="00E2395F" w:rsidP="008A26F9">
      <w:pPr>
        <w:pStyle w:val="BodyText2"/>
        <w:spacing w:after="0" w:line="360" w:lineRule="auto"/>
        <w:ind w:firstLine="709"/>
        <w:rPr>
          <w:sz w:val="24"/>
          <w:szCs w:val="24"/>
        </w:rPr>
      </w:pPr>
      <w:r w:rsidRPr="008E4C05">
        <w:rPr>
          <w:sz w:val="24"/>
          <w:szCs w:val="24"/>
        </w:rPr>
        <w:t>Накануне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референдума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1991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западные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наблюдатели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надеялись,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отрицательный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Союза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исход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способствовать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интеграции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Польшей,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Литвой,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Белоруссией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(возможно,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другими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странами),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причем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скрывалось,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такое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сближение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иметь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антироссийский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характер.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«За»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Союз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проголосовало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чуть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70%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числа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участвовавших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голосовании,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самым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низким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показателем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среди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союзных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автономных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республик</w:t>
      </w:r>
      <w:r w:rsidRPr="008E4C05">
        <w:rPr>
          <w:rStyle w:val="FootnoteReference"/>
          <w:sz w:val="24"/>
          <w:szCs w:val="24"/>
        </w:rPr>
        <w:footnoteReference w:id="1"/>
      </w:r>
      <w:r w:rsidRPr="008E4C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тем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звучало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весомо.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Просоюзные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референдума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даже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чисто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украинских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областях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лишь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отодвинули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планов.</w:t>
      </w:r>
    </w:p>
    <w:p w:rsidR="00E2395F" w:rsidRPr="008E4C05" w:rsidRDefault="00E2395F" w:rsidP="008A26F9">
      <w:pPr>
        <w:pStyle w:val="BodyText2"/>
        <w:spacing w:after="0" w:line="360" w:lineRule="auto"/>
        <w:ind w:firstLine="709"/>
        <w:rPr>
          <w:sz w:val="24"/>
          <w:szCs w:val="24"/>
        </w:rPr>
      </w:pPr>
      <w:r w:rsidRPr="008E4C05">
        <w:rPr>
          <w:sz w:val="24"/>
          <w:szCs w:val="24"/>
        </w:rPr>
        <w:t>Вскоре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августовского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кризиса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1991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Верховная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Рада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Украины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приняла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Акт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провозглашения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независимости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республики,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которым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провозгласила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исключительное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действие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Конституции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законов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Украины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территории</w:t>
      </w:r>
      <w:r w:rsidRPr="008E4C05">
        <w:rPr>
          <w:rStyle w:val="FootnoteReference"/>
          <w:sz w:val="24"/>
          <w:szCs w:val="24"/>
        </w:rPr>
        <w:footnoteReference w:id="2"/>
      </w:r>
      <w:r w:rsidRPr="008E4C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Новое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«коммунистическое»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руководство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Украины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главе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Л.М.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Кравчуком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использовало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всю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мощь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разрушенного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партаппарата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помощи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сепаратистам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«Руха».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сентябре-октябре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1991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был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раздут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скандал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из-за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якобы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непоставок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Россией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бумаги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Украину,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позволяющей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печатать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«свободную»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украинскую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прессу.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хотя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ложь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опровергнута,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украинская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общественность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уже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«заведена»</w:t>
      </w:r>
      <w:r w:rsidRPr="008E4C05">
        <w:rPr>
          <w:rStyle w:val="FootnoteReference"/>
          <w:sz w:val="24"/>
          <w:szCs w:val="24"/>
        </w:rPr>
        <w:footnoteReference w:id="3"/>
      </w:r>
      <w:r w:rsidRPr="008E4C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2395F" w:rsidRPr="008E4C05" w:rsidRDefault="00E2395F" w:rsidP="008A26F9">
      <w:pPr>
        <w:pStyle w:val="BodyText2"/>
        <w:spacing w:after="0" w:line="360" w:lineRule="auto"/>
        <w:ind w:firstLine="709"/>
        <w:rPr>
          <w:sz w:val="24"/>
          <w:szCs w:val="24"/>
        </w:rPr>
      </w:pPr>
      <w:r w:rsidRPr="008E4C05">
        <w:rPr>
          <w:sz w:val="24"/>
          <w:szCs w:val="24"/>
        </w:rPr>
        <w:t>Гораздо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серьезные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последствия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имела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официальная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пропаганда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«объедаемой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москалями»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республики.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Местная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пресса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сообщала,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Москва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ежегодно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якобы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забирает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тонн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золота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220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тонн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серебра,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электроэнергии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1,2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млрд</w:t>
      </w:r>
      <w:r>
        <w:rPr>
          <w:sz w:val="24"/>
          <w:szCs w:val="24"/>
        </w:rPr>
        <w:t xml:space="preserve">. </w:t>
      </w:r>
      <w:r w:rsidRPr="008E4C05">
        <w:rPr>
          <w:sz w:val="24"/>
          <w:szCs w:val="24"/>
        </w:rPr>
        <w:t>долларов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т.п.</w:t>
      </w:r>
      <w:r w:rsidRPr="008E4C05">
        <w:rPr>
          <w:rStyle w:val="FootnoteReference"/>
          <w:sz w:val="24"/>
          <w:szCs w:val="24"/>
        </w:rPr>
        <w:footnoteReference w:id="4"/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этом,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естественно,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сообщалось,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сколько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дает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Россия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Союз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целом,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иметь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виду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хотя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поставки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энергоносителей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(чем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таких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благ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отнюдь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исчерпывается).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Неудивительно,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соответствующих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цен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распада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СССР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было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многих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украинских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обывателей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шоком,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некоторой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неожиданностью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своё-то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собирались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переводить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мировые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цены,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импорт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старой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традиции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рассчитывали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получать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задешево.</w:t>
      </w:r>
      <w:r>
        <w:rPr>
          <w:sz w:val="24"/>
          <w:szCs w:val="24"/>
        </w:rPr>
        <w:t xml:space="preserve"> </w:t>
      </w:r>
    </w:p>
    <w:p w:rsidR="00E2395F" w:rsidRPr="008E4C05" w:rsidRDefault="00E2395F" w:rsidP="008A26F9">
      <w:pPr>
        <w:pStyle w:val="BodyText2"/>
        <w:spacing w:after="0" w:line="360" w:lineRule="auto"/>
        <w:ind w:firstLine="709"/>
        <w:rPr>
          <w:sz w:val="24"/>
          <w:szCs w:val="24"/>
        </w:rPr>
      </w:pPr>
      <w:r w:rsidRPr="008E4C05">
        <w:rPr>
          <w:sz w:val="24"/>
          <w:szCs w:val="24"/>
        </w:rPr>
        <w:t>Нетрудно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заметить,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сегодняшние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дискуссии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руководителей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наших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государств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неизбежно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вращаются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вокруг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ценовой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темы.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опять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украинское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руководство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видит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своими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прозападными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намерениями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изменением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содержания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экономических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отношений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государств.</w:t>
      </w:r>
    </w:p>
    <w:p w:rsidR="00E2395F" w:rsidRPr="008E4C05" w:rsidRDefault="00E2395F" w:rsidP="008A26F9">
      <w:pPr>
        <w:pStyle w:val="BodyText2"/>
        <w:spacing w:after="0" w:line="360" w:lineRule="auto"/>
        <w:ind w:firstLine="709"/>
        <w:rPr>
          <w:sz w:val="24"/>
          <w:szCs w:val="24"/>
        </w:rPr>
      </w:pPr>
      <w:r w:rsidRPr="008E4C05">
        <w:rPr>
          <w:sz w:val="24"/>
          <w:szCs w:val="24"/>
        </w:rPr>
        <w:t>Важным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элементом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процессе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суверенизации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Украины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стала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поддержка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намерений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радикально-демократическими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силами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России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западными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элитами.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касается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россиян,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аналогии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1991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нашим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временем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очевидны: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России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сегодня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либеральная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общественность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полагает,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Россия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теряет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последних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союзников,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хотя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друзей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постсоветском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пространстве.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этим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можно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подискутировать.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последние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годы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позиции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России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ближнем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зарубежье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некоторых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вопросах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(по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линии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Таможенного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союза,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например)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укреплялись,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чего,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судя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всему,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нельзя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сказать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двусторонних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отношениях.</w:t>
      </w:r>
    </w:p>
    <w:p w:rsidR="00E2395F" w:rsidRPr="008E4C05" w:rsidRDefault="00E2395F" w:rsidP="008A26F9">
      <w:pPr>
        <w:pStyle w:val="BodyText2"/>
        <w:spacing w:after="0" w:line="360" w:lineRule="auto"/>
        <w:ind w:firstLine="709"/>
        <w:rPr>
          <w:sz w:val="24"/>
          <w:szCs w:val="24"/>
        </w:rPr>
      </w:pPr>
      <w:r w:rsidRPr="008E4C05">
        <w:rPr>
          <w:sz w:val="24"/>
          <w:szCs w:val="24"/>
        </w:rPr>
        <w:t>Однако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стоит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внимательнее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присмотреться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мотивации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западной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поддержки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украинцев.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начале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1990-х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гг.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Западе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скрывали,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такая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поддержка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геополитическую,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вполне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конкретную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экономическую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основу.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Независимой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этих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планах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отводилась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роль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донора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модернизации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экономик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восточноевропейских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стран,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освободившихся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влияния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СССР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начавших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трудный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переход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рынку.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ресурсами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дешевой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рабочей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силой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становилась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важным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фактором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этого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процесса.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Параллели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днем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сегодняшним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очевидны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европейская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интеграция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зашла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тупик,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столкнулась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серьезными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трудностями,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«старая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Европа»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бесконечно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оплачивать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долги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младших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партнеров.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Появление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этом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долговом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поле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такого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игрока,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призвано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смягчить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последствия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финансово-экономического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кризиса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доказать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себе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самим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всему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миру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жизнеспособность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«общеевропейского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дома».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Россия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вновь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окажется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положении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европейского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изгоя.</w:t>
      </w:r>
      <w:r>
        <w:rPr>
          <w:sz w:val="24"/>
          <w:szCs w:val="24"/>
        </w:rPr>
        <w:t xml:space="preserve"> </w:t>
      </w:r>
    </w:p>
    <w:p w:rsidR="00E2395F" w:rsidRPr="008E4C05" w:rsidRDefault="00E2395F" w:rsidP="008A26F9">
      <w:pPr>
        <w:pStyle w:val="BodyText2"/>
        <w:spacing w:after="0" w:line="360" w:lineRule="auto"/>
        <w:ind w:firstLine="709"/>
        <w:rPr>
          <w:sz w:val="24"/>
          <w:szCs w:val="24"/>
        </w:rPr>
      </w:pPr>
      <w:r w:rsidRPr="008E4C05">
        <w:rPr>
          <w:sz w:val="24"/>
          <w:szCs w:val="24"/>
        </w:rPr>
        <w:t>Понимает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украинское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руководство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отведенную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государству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роль?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Просчитаны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преимущества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такого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шага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Украины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(они,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конечно,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есть),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издержки?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Ближайшее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будущее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покажет.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история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двадцатилетней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давности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исключает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варианта,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грехи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руководителей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расплачиваться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предстоит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простым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гражданам.</w:t>
      </w:r>
      <w:r>
        <w:rPr>
          <w:sz w:val="24"/>
          <w:szCs w:val="24"/>
        </w:rPr>
        <w:t xml:space="preserve"> </w:t>
      </w:r>
    </w:p>
    <w:p w:rsidR="00E2395F" w:rsidRPr="008E4C05" w:rsidRDefault="00E2395F" w:rsidP="008A26F9">
      <w:pPr>
        <w:pStyle w:val="BodyText2"/>
        <w:spacing w:after="0" w:line="360" w:lineRule="auto"/>
        <w:ind w:firstLine="709"/>
        <w:rPr>
          <w:sz w:val="24"/>
          <w:szCs w:val="24"/>
        </w:rPr>
      </w:pPr>
      <w:r w:rsidRPr="008E4C05">
        <w:rPr>
          <w:sz w:val="24"/>
          <w:szCs w:val="24"/>
        </w:rPr>
        <w:t>Безусловно,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событиях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начала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1990-х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гг.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активную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роль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играла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Украина,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другие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союзные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особенно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Россия.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Политическую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распад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СССР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несут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союзные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лидеры,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республиканские.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фактов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показывает,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маловразумительного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содержанию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украинского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референдума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1991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шансы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сохранение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СССР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упали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совсем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низко.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избранный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Президентом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Украины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Л.М.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Кравчук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категорически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отказывался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даже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выслушивать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предложения,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употреблялось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слово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«союз»</w:t>
      </w:r>
      <w:r w:rsidRPr="008E4C05">
        <w:rPr>
          <w:rStyle w:val="FootnoteReference"/>
          <w:sz w:val="24"/>
          <w:szCs w:val="24"/>
        </w:rPr>
        <w:footnoteReference w:id="5"/>
      </w:r>
      <w:r w:rsidRPr="008E4C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Российское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руководство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главе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Б.Н.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Ельциным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проявляло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некоторые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колебания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(хотя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целом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позиция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ближе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сепаратистской).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именно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упорство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Кравчука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склонило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Ельцина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Шушкевича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подписанию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Беловежских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соглашений.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Это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лишний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раз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доказывает,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пресловутая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роль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личности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переломные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моменты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истории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бывает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очень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важна.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Впрочем,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ряд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исследователей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полага</w:t>
      </w:r>
      <w:r>
        <w:rPr>
          <w:sz w:val="24"/>
          <w:szCs w:val="24"/>
        </w:rPr>
        <w:t>е</w:t>
      </w:r>
      <w:r w:rsidRPr="008E4C05">
        <w:rPr>
          <w:sz w:val="24"/>
          <w:szCs w:val="24"/>
        </w:rPr>
        <w:t>т,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еще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декабре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1991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шансы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сохранение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Союза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семи-восьми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республик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сохранялись,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могло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подтолкнуть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возвращению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остальных.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Б.Н.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Ельцина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такой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вариант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уже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устраивал</w:t>
      </w:r>
      <w:r w:rsidRPr="008E4C05">
        <w:rPr>
          <w:rStyle w:val="FootnoteReference"/>
          <w:sz w:val="24"/>
          <w:szCs w:val="24"/>
        </w:rPr>
        <w:footnoteReference w:id="6"/>
      </w:r>
      <w:r w:rsidRPr="008E4C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2395F" w:rsidRPr="008E4C05" w:rsidRDefault="00E2395F" w:rsidP="008A26F9">
      <w:pPr>
        <w:pStyle w:val="BodyText2"/>
        <w:spacing w:after="0" w:line="360" w:lineRule="auto"/>
        <w:ind w:firstLine="709"/>
        <w:rPr>
          <w:sz w:val="24"/>
          <w:szCs w:val="24"/>
        </w:rPr>
      </w:pPr>
      <w:r w:rsidRPr="008E4C05">
        <w:rPr>
          <w:sz w:val="24"/>
          <w:szCs w:val="24"/>
        </w:rPr>
        <w:t>Таким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образом,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сравнительный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указывает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сходство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исторических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ситуаций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и,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следовательно,</w:t>
      </w:r>
      <w:r>
        <w:rPr>
          <w:sz w:val="24"/>
          <w:szCs w:val="24"/>
        </w:rPr>
        <w:t xml:space="preserve"> на </w:t>
      </w:r>
      <w:r w:rsidRPr="008E4C05">
        <w:rPr>
          <w:sz w:val="24"/>
          <w:szCs w:val="24"/>
        </w:rPr>
        <w:t>возможност</w:t>
      </w:r>
      <w:r>
        <w:rPr>
          <w:sz w:val="24"/>
          <w:szCs w:val="24"/>
        </w:rPr>
        <w:t xml:space="preserve">ь </w:t>
      </w:r>
      <w:r w:rsidRPr="008E4C05">
        <w:rPr>
          <w:sz w:val="24"/>
          <w:szCs w:val="24"/>
        </w:rPr>
        <w:t>выявлять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определенные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закономерности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западных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трендов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ряда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постсоветских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государств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грамотно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определять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политику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уже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современных</w:t>
      </w:r>
      <w:r>
        <w:rPr>
          <w:sz w:val="24"/>
          <w:szCs w:val="24"/>
        </w:rPr>
        <w:t xml:space="preserve"> </w:t>
      </w:r>
      <w:r w:rsidRPr="008E4C05">
        <w:rPr>
          <w:sz w:val="24"/>
          <w:szCs w:val="24"/>
        </w:rPr>
        <w:t>условиях.</w:t>
      </w:r>
    </w:p>
    <w:sectPr w:rsidR="00E2395F" w:rsidRPr="008E4C05" w:rsidSect="008A26F9">
      <w:footerReference w:type="default" r:id="rId6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5F" w:rsidRDefault="00E2395F" w:rsidP="00E21452">
      <w:pPr>
        <w:spacing w:after="0" w:line="240" w:lineRule="auto"/>
      </w:pPr>
      <w:r>
        <w:separator/>
      </w:r>
    </w:p>
  </w:endnote>
  <w:endnote w:type="continuationSeparator" w:id="0">
    <w:p w:rsidR="00E2395F" w:rsidRDefault="00E2395F" w:rsidP="00E2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F" w:rsidRPr="0089643B" w:rsidRDefault="00E2395F" w:rsidP="0089643B">
    <w:pPr>
      <w:pStyle w:val="Foot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89643B">
      <w:rPr>
        <w:rFonts w:ascii="Times New Roman" w:hAnsi="Times New Roman"/>
        <w:sz w:val="24"/>
        <w:szCs w:val="24"/>
      </w:rPr>
      <w:fldChar w:fldCharType="begin"/>
    </w:r>
    <w:r w:rsidRPr="0089643B">
      <w:rPr>
        <w:rFonts w:ascii="Times New Roman" w:hAnsi="Times New Roman"/>
        <w:sz w:val="24"/>
        <w:szCs w:val="24"/>
      </w:rPr>
      <w:instrText>PAGE   \* MERGEFORMAT</w:instrText>
    </w:r>
    <w:r w:rsidRPr="0089643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89643B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5F" w:rsidRDefault="00E2395F" w:rsidP="00E21452">
      <w:pPr>
        <w:spacing w:after="0" w:line="240" w:lineRule="auto"/>
      </w:pPr>
      <w:r>
        <w:separator/>
      </w:r>
    </w:p>
  </w:footnote>
  <w:footnote w:type="continuationSeparator" w:id="0">
    <w:p w:rsidR="00E2395F" w:rsidRDefault="00E2395F" w:rsidP="00E21452">
      <w:pPr>
        <w:spacing w:after="0" w:line="240" w:lineRule="auto"/>
      </w:pPr>
      <w:r>
        <w:continuationSeparator/>
      </w:r>
    </w:p>
  </w:footnote>
  <w:footnote w:id="1">
    <w:p w:rsidR="00E2395F" w:rsidRDefault="00E2395F" w:rsidP="0089643B">
      <w:pPr>
        <w:pStyle w:val="FootnoteText"/>
        <w:ind w:firstLine="709"/>
        <w:jc w:val="both"/>
      </w:pPr>
      <w:r w:rsidRPr="0089643B">
        <w:rPr>
          <w:rStyle w:val="FootnoteReference"/>
          <w:rFonts w:ascii="Times New Roman" w:hAnsi="Times New Roman"/>
        </w:rPr>
        <w:footnoteRef/>
      </w:r>
      <w:r w:rsidRPr="0089643B">
        <w:rPr>
          <w:rFonts w:ascii="Times New Roman" w:hAnsi="Times New Roman"/>
        </w:rPr>
        <w:t xml:space="preserve"> Союз можно было сохранить. Белая книга: Документы и факты о политике М.С. Горбачева по реформированию и сохранению многонационального государства. </w:t>
      </w:r>
      <w:r>
        <w:rPr>
          <w:rFonts w:ascii="Times New Roman" w:hAnsi="Times New Roman"/>
        </w:rPr>
        <w:t xml:space="preserve">- </w:t>
      </w:r>
      <w:r w:rsidRPr="0089643B">
        <w:rPr>
          <w:rFonts w:ascii="Times New Roman" w:hAnsi="Times New Roman"/>
        </w:rPr>
        <w:t xml:space="preserve">М., 2007. </w:t>
      </w:r>
      <w:r>
        <w:rPr>
          <w:rFonts w:ascii="Times New Roman" w:hAnsi="Times New Roman"/>
        </w:rPr>
        <w:t xml:space="preserve">- </w:t>
      </w:r>
      <w:r w:rsidRPr="0089643B">
        <w:rPr>
          <w:rFonts w:ascii="Times New Roman" w:hAnsi="Times New Roman"/>
        </w:rPr>
        <w:t>С.216.</w:t>
      </w:r>
    </w:p>
  </w:footnote>
  <w:footnote w:id="2">
    <w:p w:rsidR="00E2395F" w:rsidRDefault="00E2395F" w:rsidP="0089643B">
      <w:pPr>
        <w:pStyle w:val="FootnoteText"/>
        <w:ind w:firstLine="709"/>
        <w:jc w:val="both"/>
      </w:pPr>
      <w:r w:rsidRPr="0089643B">
        <w:rPr>
          <w:rStyle w:val="FootnoteReference"/>
          <w:rFonts w:ascii="Times New Roman" w:hAnsi="Times New Roman"/>
        </w:rPr>
        <w:footnoteRef/>
      </w:r>
      <w:r w:rsidRPr="0089643B">
        <w:rPr>
          <w:rFonts w:ascii="Times New Roman" w:hAnsi="Times New Roman"/>
        </w:rPr>
        <w:t xml:space="preserve"> История современной России: Документы и материалы (1985-1999): В 2 ч. Ч. 1. / Под общ. ред. С.М. Шахрая и А.А. Клишаса (Сост. С.М. Попова, А.А. Яник). </w:t>
      </w:r>
      <w:r>
        <w:rPr>
          <w:rFonts w:ascii="Times New Roman" w:hAnsi="Times New Roman"/>
        </w:rPr>
        <w:t xml:space="preserve">- </w:t>
      </w:r>
      <w:r w:rsidRPr="0089643B">
        <w:rPr>
          <w:rFonts w:ascii="Times New Roman" w:hAnsi="Times New Roman"/>
        </w:rPr>
        <w:t xml:space="preserve">М., 2011. </w:t>
      </w:r>
      <w:r>
        <w:rPr>
          <w:rFonts w:ascii="Times New Roman" w:hAnsi="Times New Roman"/>
        </w:rPr>
        <w:t xml:space="preserve">- </w:t>
      </w:r>
      <w:r w:rsidRPr="0089643B">
        <w:rPr>
          <w:rFonts w:ascii="Times New Roman" w:hAnsi="Times New Roman"/>
        </w:rPr>
        <w:t>С. 557.</w:t>
      </w:r>
    </w:p>
  </w:footnote>
  <w:footnote w:id="3">
    <w:p w:rsidR="00E2395F" w:rsidRDefault="00E2395F" w:rsidP="0089643B">
      <w:pPr>
        <w:pStyle w:val="FootnoteText"/>
        <w:ind w:firstLine="709"/>
        <w:jc w:val="both"/>
      </w:pPr>
      <w:r w:rsidRPr="0089643B">
        <w:rPr>
          <w:rStyle w:val="FootnoteReference"/>
          <w:rFonts w:ascii="Times New Roman" w:hAnsi="Times New Roman"/>
        </w:rPr>
        <w:footnoteRef/>
      </w:r>
      <w:r w:rsidRPr="0089643B">
        <w:rPr>
          <w:rFonts w:ascii="Times New Roman" w:hAnsi="Times New Roman"/>
        </w:rPr>
        <w:t xml:space="preserve"> Исаков В.Б. Расчлененка. </w:t>
      </w:r>
      <w:r>
        <w:rPr>
          <w:rFonts w:ascii="Times New Roman" w:hAnsi="Times New Roman"/>
        </w:rPr>
        <w:t xml:space="preserve">- </w:t>
      </w:r>
      <w:r w:rsidRPr="0089643B">
        <w:rPr>
          <w:rFonts w:ascii="Times New Roman" w:hAnsi="Times New Roman"/>
        </w:rPr>
        <w:t>М., 1998.</w:t>
      </w:r>
      <w:r>
        <w:rPr>
          <w:rFonts w:ascii="Times New Roman" w:hAnsi="Times New Roman"/>
        </w:rPr>
        <w:t xml:space="preserve"> -</w:t>
      </w:r>
      <w:r w:rsidRPr="0089643B">
        <w:rPr>
          <w:rFonts w:ascii="Times New Roman" w:hAnsi="Times New Roman"/>
        </w:rPr>
        <w:t xml:space="preserve"> С. 67-68.</w:t>
      </w:r>
    </w:p>
  </w:footnote>
  <w:footnote w:id="4">
    <w:p w:rsidR="00E2395F" w:rsidRDefault="00E2395F" w:rsidP="0089643B">
      <w:pPr>
        <w:pStyle w:val="FootnoteText"/>
        <w:ind w:firstLine="709"/>
        <w:jc w:val="both"/>
      </w:pPr>
      <w:r w:rsidRPr="0089643B">
        <w:rPr>
          <w:rStyle w:val="FootnoteReference"/>
          <w:rFonts w:ascii="Times New Roman" w:hAnsi="Times New Roman"/>
        </w:rPr>
        <w:footnoteRef/>
      </w:r>
      <w:r w:rsidRPr="0089643B">
        <w:rPr>
          <w:rFonts w:ascii="Times New Roman" w:hAnsi="Times New Roman"/>
        </w:rPr>
        <w:t xml:space="preserve"> Там же, с. 69.</w:t>
      </w:r>
    </w:p>
  </w:footnote>
  <w:footnote w:id="5">
    <w:p w:rsidR="00E2395F" w:rsidRDefault="00E2395F" w:rsidP="0089643B">
      <w:pPr>
        <w:pStyle w:val="FootnoteText"/>
        <w:ind w:firstLine="709"/>
        <w:jc w:val="both"/>
      </w:pPr>
      <w:r w:rsidRPr="0089643B">
        <w:rPr>
          <w:rStyle w:val="FootnoteReference"/>
          <w:rFonts w:ascii="Times New Roman" w:hAnsi="Times New Roman"/>
        </w:rPr>
        <w:footnoteRef/>
      </w:r>
      <w:r w:rsidRPr="0089643B">
        <w:rPr>
          <w:rFonts w:ascii="Times New Roman" w:hAnsi="Times New Roman"/>
        </w:rPr>
        <w:t xml:space="preserve"> Авен П., Кох А. Революция Гайдара: История реформ 90-х из первых рук. </w:t>
      </w:r>
      <w:r>
        <w:rPr>
          <w:rFonts w:ascii="Times New Roman" w:hAnsi="Times New Roman"/>
        </w:rPr>
        <w:t xml:space="preserve">- </w:t>
      </w:r>
      <w:r w:rsidRPr="0089643B">
        <w:rPr>
          <w:rFonts w:ascii="Times New Roman" w:hAnsi="Times New Roman"/>
        </w:rPr>
        <w:t>М., 2013.</w:t>
      </w:r>
      <w:r>
        <w:rPr>
          <w:rFonts w:ascii="Times New Roman" w:hAnsi="Times New Roman"/>
        </w:rPr>
        <w:t xml:space="preserve"> -</w:t>
      </w:r>
      <w:r w:rsidRPr="0089643B">
        <w:rPr>
          <w:rFonts w:ascii="Times New Roman" w:hAnsi="Times New Roman"/>
        </w:rPr>
        <w:t xml:space="preserve"> С. 69; Шахрай С.М. Как распался Советский Союз // Известия. </w:t>
      </w:r>
      <w:r>
        <w:rPr>
          <w:rFonts w:ascii="Times New Roman" w:hAnsi="Times New Roman"/>
        </w:rPr>
        <w:t xml:space="preserve">– М., </w:t>
      </w:r>
      <w:r w:rsidRPr="0089643B">
        <w:rPr>
          <w:rFonts w:ascii="Times New Roman" w:hAnsi="Times New Roman"/>
        </w:rPr>
        <w:t xml:space="preserve">2002. </w:t>
      </w:r>
      <w:r>
        <w:rPr>
          <w:rFonts w:ascii="Times New Roman" w:hAnsi="Times New Roman"/>
        </w:rPr>
        <w:t xml:space="preserve">- </w:t>
      </w:r>
      <w:r w:rsidRPr="0089643B">
        <w:rPr>
          <w:rFonts w:ascii="Times New Roman" w:hAnsi="Times New Roman"/>
        </w:rPr>
        <w:t>№ 51.</w:t>
      </w:r>
    </w:p>
  </w:footnote>
  <w:footnote w:id="6">
    <w:p w:rsidR="00E2395F" w:rsidRDefault="00E2395F" w:rsidP="0089643B">
      <w:pPr>
        <w:pStyle w:val="FootnoteText"/>
        <w:ind w:firstLine="709"/>
        <w:jc w:val="both"/>
      </w:pPr>
      <w:r w:rsidRPr="0089643B">
        <w:rPr>
          <w:rStyle w:val="FootnoteReference"/>
          <w:rFonts w:ascii="Times New Roman" w:hAnsi="Times New Roman"/>
        </w:rPr>
        <w:footnoteRef/>
      </w:r>
      <w:r w:rsidRPr="0089643B">
        <w:rPr>
          <w:rFonts w:ascii="Times New Roman" w:hAnsi="Times New Roman"/>
        </w:rPr>
        <w:t xml:space="preserve"> Коэн С. «Вопрос вопросов»: почему не стало Советского Союза? </w:t>
      </w:r>
      <w:r>
        <w:rPr>
          <w:rFonts w:ascii="Times New Roman" w:hAnsi="Times New Roman"/>
        </w:rPr>
        <w:t xml:space="preserve">- </w:t>
      </w:r>
      <w:r w:rsidRPr="0089643B">
        <w:rPr>
          <w:rFonts w:ascii="Times New Roman" w:hAnsi="Times New Roman"/>
        </w:rPr>
        <w:t>М., 2011.</w:t>
      </w:r>
      <w:r>
        <w:rPr>
          <w:rFonts w:ascii="Times New Roman" w:hAnsi="Times New Roman"/>
        </w:rPr>
        <w:t xml:space="preserve"> -</w:t>
      </w:r>
      <w:r w:rsidRPr="0089643B">
        <w:rPr>
          <w:rFonts w:ascii="Times New Roman" w:hAnsi="Times New Roman"/>
        </w:rPr>
        <w:t>. 68-69.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F91"/>
    <w:rsid w:val="000F05EC"/>
    <w:rsid w:val="00111263"/>
    <w:rsid w:val="001555BE"/>
    <w:rsid w:val="002331B8"/>
    <w:rsid w:val="0027626A"/>
    <w:rsid w:val="002937D7"/>
    <w:rsid w:val="002F315A"/>
    <w:rsid w:val="003C3DE7"/>
    <w:rsid w:val="00473DBE"/>
    <w:rsid w:val="00473F91"/>
    <w:rsid w:val="004C77F9"/>
    <w:rsid w:val="00517542"/>
    <w:rsid w:val="00536108"/>
    <w:rsid w:val="00624D0A"/>
    <w:rsid w:val="0063233E"/>
    <w:rsid w:val="00637D4F"/>
    <w:rsid w:val="00791FBE"/>
    <w:rsid w:val="008231DC"/>
    <w:rsid w:val="008746E2"/>
    <w:rsid w:val="0089643B"/>
    <w:rsid w:val="008A26F9"/>
    <w:rsid w:val="008A6763"/>
    <w:rsid w:val="008E4C05"/>
    <w:rsid w:val="009316F0"/>
    <w:rsid w:val="00B1585D"/>
    <w:rsid w:val="00BF2CB1"/>
    <w:rsid w:val="00C7308C"/>
    <w:rsid w:val="00D0152B"/>
    <w:rsid w:val="00D857D4"/>
    <w:rsid w:val="00E21452"/>
    <w:rsid w:val="00E2395F"/>
    <w:rsid w:val="00F10251"/>
    <w:rsid w:val="00FF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473F91"/>
    <w:pPr>
      <w:spacing w:after="240" w:line="240" w:lineRule="auto"/>
      <w:jc w:val="both"/>
    </w:pPr>
    <w:rPr>
      <w:rFonts w:ascii="Times New Roman" w:hAnsi="Times New Roman"/>
      <w:sz w:val="52"/>
      <w:szCs w:val="52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73F91"/>
    <w:rPr>
      <w:rFonts w:ascii="Times New Roman" w:hAnsi="Times New Roman"/>
      <w:sz w:val="52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2145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1452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E2145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9643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643B"/>
    <w:rPr>
      <w:lang w:eastAsia="en-US"/>
    </w:rPr>
  </w:style>
  <w:style w:type="paragraph" w:styleId="Footer">
    <w:name w:val="footer"/>
    <w:basedOn w:val="Normal"/>
    <w:link w:val="FooterChar"/>
    <w:uiPriority w:val="99"/>
    <w:rsid w:val="0089643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643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944</Words>
  <Characters>5387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и Украина в процессе суверенизации советских республик</dc:title>
  <dc:subject/>
  <dc:creator>Home</dc:creator>
  <cp:keywords/>
  <dc:description/>
  <cp:lastModifiedBy>1</cp:lastModifiedBy>
  <cp:revision>7</cp:revision>
  <dcterms:created xsi:type="dcterms:W3CDTF">2013-12-14T19:14:00Z</dcterms:created>
  <dcterms:modified xsi:type="dcterms:W3CDTF">2014-03-01T10:29:00Z</dcterms:modified>
</cp:coreProperties>
</file>